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thumbnail" Target="docProps/thumbnail.emf"/><Relationship Id="rId2" Type="http://schemas.microsoft.com/office/2011/relationships/webextensiontaskpanes" Target="word/webextensions/taskpanes.xml"/><Relationship Id="rId1" Type="http://schemas.openxmlformats.org/officeDocument/2006/relationships/officeDocument" Target="word/document.xml"/><Relationship Id="rId6" Type="http://schemas.openxmlformats.org/officeDocument/2006/relationships/custom-properties" Target="docProps/custom.xml"/><Relationship Id="rId5" Type="http://schemas.openxmlformats.org/officeDocument/2006/relationships/extended-properties" Target="docProps/app.xml"/><Relationship Id="rId4" Type="http://schemas.openxmlformats.org/package/2006/relationships/metadata/core-properties" Target="docProps/core.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9C2BD7F" w14:textId="6582D31F" w:rsidR="00CA48E2" w:rsidRDefault="00E24E73" w:rsidP="00882858">
      <w:pPr>
        <w:pStyle w:val="NoSpacing"/>
        <w:jc w:val="center"/>
        <w:rPr>
          <w:rFonts w:ascii="Times New Roman" w:hAnsi="Times New Roman"/>
          <w:b/>
          <w:bCs/>
          <w:sz w:val="32"/>
          <w:szCs w:val="32"/>
        </w:rPr>
      </w:pPr>
      <w:bookmarkStart w:id="0" w:name="_Hlk122278612"/>
      <w:bookmarkStart w:id="1" w:name="_GoBack"/>
      <w:bookmarkEnd w:id="1"/>
      <w:r>
        <w:rPr>
          <w:rFonts w:ascii="Times New Roman" w:hAnsi="Times New Roman"/>
          <w:b/>
          <w:bCs/>
          <w:sz w:val="32"/>
          <w:szCs w:val="32"/>
        </w:rPr>
        <w:t xml:space="preserve"> </w:t>
      </w:r>
    </w:p>
    <w:p w14:paraId="7E835150" w14:textId="39E46350" w:rsidR="00796856" w:rsidRPr="008B1465" w:rsidRDefault="00796856" w:rsidP="00882858">
      <w:pPr>
        <w:pStyle w:val="NoSpacing"/>
        <w:jc w:val="center"/>
        <w:rPr>
          <w:rFonts w:ascii="Times New Roman" w:hAnsi="Times New Roman"/>
          <w:b/>
          <w:bCs/>
          <w:sz w:val="28"/>
          <w:szCs w:val="28"/>
        </w:rPr>
      </w:pPr>
      <w:r w:rsidRPr="008B1465">
        <w:rPr>
          <w:rFonts w:ascii="Times New Roman" w:hAnsi="Times New Roman"/>
          <w:b/>
          <w:bCs/>
          <w:sz w:val="32"/>
          <w:szCs w:val="32"/>
        </w:rPr>
        <w:t xml:space="preserve">FORENSIC </w:t>
      </w:r>
      <w:r w:rsidRPr="008B1465">
        <w:rPr>
          <w:rFonts w:ascii="Times New Roman" w:hAnsi="Times New Roman"/>
          <w:b/>
          <w:bCs/>
          <w:sz w:val="28"/>
          <w:szCs w:val="28"/>
        </w:rPr>
        <w:t>ACCOUNTING TECHNIQUES AND FINANCIAL MISCONDUCT AMONG FEDERAL UNIVERSITIES IN SOUTHWEST, NIGERIA</w:t>
      </w:r>
    </w:p>
    <w:p w14:paraId="0ED37129" w14:textId="77777777" w:rsidR="00796856" w:rsidRPr="008B1465" w:rsidRDefault="00796856" w:rsidP="00796856">
      <w:pPr>
        <w:spacing w:after="0" w:line="360" w:lineRule="auto"/>
        <w:jc w:val="center"/>
        <w:rPr>
          <w:rFonts w:ascii="Times New Roman" w:eastAsia="Calibri" w:hAnsi="Times New Roman"/>
          <w:b/>
          <w:bCs/>
          <w:sz w:val="28"/>
          <w:szCs w:val="28"/>
        </w:rPr>
      </w:pPr>
    </w:p>
    <w:p w14:paraId="60A8F88D" w14:textId="77777777" w:rsidR="00796856" w:rsidRPr="008B1465" w:rsidRDefault="00796856" w:rsidP="00796856">
      <w:pPr>
        <w:spacing w:after="0" w:line="360" w:lineRule="auto"/>
        <w:jc w:val="center"/>
        <w:rPr>
          <w:rFonts w:ascii="Times New Roman" w:eastAsia="Calibri" w:hAnsi="Times New Roman"/>
          <w:b/>
          <w:bCs/>
          <w:sz w:val="28"/>
          <w:szCs w:val="28"/>
        </w:rPr>
      </w:pPr>
    </w:p>
    <w:p w14:paraId="4D541E13" w14:textId="77777777" w:rsidR="00796856" w:rsidRPr="008B1465" w:rsidRDefault="00796856" w:rsidP="00796856">
      <w:pPr>
        <w:spacing w:after="0" w:line="360" w:lineRule="auto"/>
        <w:jc w:val="center"/>
        <w:rPr>
          <w:rFonts w:ascii="Times New Roman" w:eastAsia="Calibri" w:hAnsi="Times New Roman"/>
          <w:b/>
          <w:bCs/>
          <w:sz w:val="28"/>
          <w:szCs w:val="28"/>
        </w:rPr>
      </w:pPr>
    </w:p>
    <w:p w14:paraId="150F453C" w14:textId="7BFABD22" w:rsidR="00C50BA7" w:rsidRPr="008B1465" w:rsidRDefault="00C50BA7" w:rsidP="00C50BA7">
      <w:pPr>
        <w:spacing w:before="0" w:beforeAutospacing="0" w:after="0" w:line="360" w:lineRule="auto"/>
        <w:jc w:val="center"/>
        <w:rPr>
          <w:rFonts w:ascii="Times New Roman" w:eastAsia="Calibri" w:hAnsi="Times New Roman"/>
          <w:b/>
          <w:bCs/>
          <w:sz w:val="28"/>
          <w:szCs w:val="28"/>
        </w:rPr>
      </w:pPr>
      <w:r w:rsidRPr="008B1465">
        <w:rPr>
          <w:rFonts w:ascii="Times New Roman" w:eastAsia="Calibri" w:hAnsi="Times New Roman"/>
          <w:sz w:val="28"/>
          <w:szCs w:val="28"/>
        </w:rPr>
        <w:t>ALEXANDER TUNDE</w:t>
      </w:r>
      <w:r w:rsidR="00232245" w:rsidRPr="008B1465">
        <w:rPr>
          <w:rFonts w:ascii="Times New Roman" w:eastAsia="Calibri" w:hAnsi="Times New Roman"/>
          <w:b/>
          <w:bCs/>
          <w:sz w:val="28"/>
          <w:szCs w:val="28"/>
        </w:rPr>
        <w:t xml:space="preserve"> OGUNTUASE</w:t>
      </w:r>
    </w:p>
    <w:p w14:paraId="05DFD4A2" w14:textId="643CC901" w:rsidR="00C50BA7" w:rsidRPr="008B1465" w:rsidRDefault="00464A85" w:rsidP="00C50BA7">
      <w:pPr>
        <w:spacing w:before="0" w:beforeAutospacing="0" w:after="0" w:line="360" w:lineRule="auto"/>
        <w:jc w:val="center"/>
        <w:rPr>
          <w:rFonts w:ascii="Times New Roman" w:eastAsia="Calibri" w:hAnsi="Times New Roman"/>
          <w:sz w:val="28"/>
          <w:szCs w:val="28"/>
        </w:rPr>
      </w:pPr>
      <w:r w:rsidRPr="008B1465">
        <w:rPr>
          <w:rFonts w:ascii="Times New Roman" w:eastAsia="Calibri" w:hAnsi="Times New Roman"/>
          <w:sz w:val="28"/>
          <w:szCs w:val="28"/>
        </w:rPr>
        <w:t>(</w:t>
      </w:r>
      <w:r w:rsidR="00C50BA7" w:rsidRPr="008B1465">
        <w:rPr>
          <w:rFonts w:ascii="Times New Roman" w:eastAsia="Calibri" w:hAnsi="Times New Roman"/>
          <w:sz w:val="28"/>
          <w:szCs w:val="28"/>
        </w:rPr>
        <w:t>PG18/06/006</w:t>
      </w:r>
      <w:r w:rsidRPr="008B1465">
        <w:rPr>
          <w:rFonts w:ascii="Times New Roman" w:eastAsia="Calibri" w:hAnsi="Times New Roman"/>
          <w:sz w:val="28"/>
          <w:szCs w:val="28"/>
        </w:rPr>
        <w:t>)</w:t>
      </w:r>
    </w:p>
    <w:p w14:paraId="7A0C1F44" w14:textId="3D0ECEE7" w:rsidR="000542B2" w:rsidRPr="008B1465" w:rsidRDefault="000542B2" w:rsidP="000542B2">
      <w:pPr>
        <w:spacing w:before="0" w:beforeAutospacing="0" w:after="0" w:line="360" w:lineRule="auto"/>
        <w:jc w:val="center"/>
        <w:rPr>
          <w:rFonts w:ascii="Times New Roman" w:hAnsi="Times New Roman"/>
          <w:sz w:val="28"/>
          <w:szCs w:val="28"/>
        </w:rPr>
      </w:pPr>
      <w:r w:rsidRPr="008B1465">
        <w:rPr>
          <w:rFonts w:ascii="Times New Roman" w:hAnsi="Times New Roman"/>
          <w:sz w:val="28"/>
          <w:szCs w:val="28"/>
        </w:rPr>
        <w:t>Diploma in Accounting; B</w:t>
      </w:r>
      <w:r w:rsidR="004250AE">
        <w:rPr>
          <w:rFonts w:ascii="Times New Roman" w:hAnsi="Times New Roman"/>
          <w:sz w:val="28"/>
          <w:szCs w:val="28"/>
        </w:rPr>
        <w:t xml:space="preserve"> </w:t>
      </w:r>
      <w:r w:rsidRPr="008B1465">
        <w:rPr>
          <w:rFonts w:ascii="Times New Roman" w:hAnsi="Times New Roman"/>
          <w:sz w:val="28"/>
          <w:szCs w:val="28"/>
        </w:rPr>
        <w:t>Sc. (Hon</w:t>
      </w:r>
      <w:r w:rsidR="002334B6" w:rsidRPr="008B1465">
        <w:rPr>
          <w:rFonts w:ascii="Times New Roman" w:hAnsi="Times New Roman"/>
          <w:sz w:val="28"/>
          <w:szCs w:val="28"/>
        </w:rPr>
        <w:t>s</w:t>
      </w:r>
      <w:r w:rsidRPr="008B1465">
        <w:rPr>
          <w:rFonts w:ascii="Times New Roman" w:hAnsi="Times New Roman"/>
          <w:sz w:val="28"/>
          <w:szCs w:val="28"/>
        </w:rPr>
        <w:t xml:space="preserve">). Accounting (AAUA); </w:t>
      </w:r>
    </w:p>
    <w:p w14:paraId="3E1865E5" w14:textId="14C29FF1" w:rsidR="000542B2" w:rsidRPr="008B1465" w:rsidRDefault="000542B2" w:rsidP="000542B2">
      <w:pPr>
        <w:spacing w:before="0" w:beforeAutospacing="0" w:after="0" w:line="360" w:lineRule="auto"/>
        <w:jc w:val="center"/>
        <w:rPr>
          <w:rFonts w:ascii="Times New Roman" w:eastAsia="Calibri" w:hAnsi="Times New Roman"/>
          <w:b/>
          <w:bCs/>
          <w:sz w:val="28"/>
          <w:szCs w:val="28"/>
        </w:rPr>
      </w:pPr>
      <w:r w:rsidRPr="008B1465">
        <w:rPr>
          <w:rFonts w:ascii="Times New Roman" w:hAnsi="Times New Roman"/>
          <w:sz w:val="28"/>
          <w:szCs w:val="28"/>
        </w:rPr>
        <w:t>M</w:t>
      </w:r>
      <w:r w:rsidR="004250AE">
        <w:rPr>
          <w:rFonts w:ascii="Times New Roman" w:hAnsi="Times New Roman"/>
          <w:sz w:val="28"/>
          <w:szCs w:val="28"/>
        </w:rPr>
        <w:t xml:space="preserve"> </w:t>
      </w:r>
      <w:r w:rsidRPr="008B1465">
        <w:rPr>
          <w:rFonts w:ascii="Times New Roman" w:hAnsi="Times New Roman"/>
          <w:sz w:val="28"/>
          <w:szCs w:val="28"/>
        </w:rPr>
        <w:t>Sc. Accounting (Crawford</w:t>
      </w:r>
      <w:r w:rsidR="00204E19" w:rsidRPr="008B1465">
        <w:rPr>
          <w:rFonts w:ascii="Times New Roman" w:hAnsi="Times New Roman"/>
          <w:sz w:val="28"/>
          <w:szCs w:val="28"/>
        </w:rPr>
        <w:t xml:space="preserve"> University</w:t>
      </w:r>
      <w:r w:rsidRPr="008B1465">
        <w:rPr>
          <w:rFonts w:ascii="Times New Roman" w:hAnsi="Times New Roman"/>
          <w:sz w:val="28"/>
          <w:szCs w:val="28"/>
        </w:rPr>
        <w:t>)</w:t>
      </w:r>
    </w:p>
    <w:p w14:paraId="49CCA5EF" w14:textId="77777777" w:rsidR="00796856" w:rsidRPr="008B1465" w:rsidRDefault="00796856" w:rsidP="00796856">
      <w:pPr>
        <w:spacing w:after="0" w:line="360" w:lineRule="auto"/>
        <w:jc w:val="center"/>
        <w:rPr>
          <w:rFonts w:ascii="Times New Roman" w:eastAsia="Calibri" w:hAnsi="Times New Roman"/>
          <w:b/>
          <w:bCs/>
          <w:sz w:val="28"/>
          <w:szCs w:val="28"/>
        </w:rPr>
      </w:pPr>
    </w:p>
    <w:p w14:paraId="4B06A567" w14:textId="77777777" w:rsidR="00796856" w:rsidRPr="008B1465" w:rsidRDefault="00796856" w:rsidP="00796856">
      <w:pPr>
        <w:spacing w:after="0" w:line="360" w:lineRule="auto"/>
        <w:jc w:val="center"/>
        <w:rPr>
          <w:rFonts w:ascii="Times New Roman" w:eastAsia="Calibri" w:hAnsi="Times New Roman"/>
          <w:b/>
          <w:bCs/>
          <w:sz w:val="28"/>
          <w:szCs w:val="28"/>
        </w:rPr>
      </w:pPr>
    </w:p>
    <w:p w14:paraId="5904499E" w14:textId="77777777" w:rsidR="00796856" w:rsidRPr="008B1465" w:rsidRDefault="00796856" w:rsidP="00796856">
      <w:pPr>
        <w:spacing w:after="0" w:line="240" w:lineRule="auto"/>
        <w:jc w:val="center"/>
        <w:rPr>
          <w:rFonts w:ascii="Times New Roman" w:eastAsia="Calibri" w:hAnsi="Times New Roman"/>
          <w:b/>
          <w:bCs/>
          <w:sz w:val="28"/>
          <w:szCs w:val="28"/>
        </w:rPr>
      </w:pPr>
    </w:p>
    <w:p w14:paraId="14890D24" w14:textId="77777777" w:rsidR="00796856" w:rsidRPr="008B1465" w:rsidRDefault="00796856" w:rsidP="00796856">
      <w:pPr>
        <w:spacing w:after="0" w:line="240" w:lineRule="auto"/>
        <w:rPr>
          <w:rFonts w:ascii="Times New Roman" w:eastAsia="Calibri" w:hAnsi="Times New Roman"/>
          <w:b/>
          <w:bCs/>
          <w:sz w:val="28"/>
          <w:szCs w:val="28"/>
        </w:rPr>
      </w:pPr>
    </w:p>
    <w:p w14:paraId="35CDEFED" w14:textId="14E45993" w:rsidR="00796856" w:rsidRPr="008B1465" w:rsidRDefault="00A20B2D" w:rsidP="00D432A7">
      <w:pPr>
        <w:pStyle w:val="Heading1"/>
        <w:numPr>
          <w:ilvl w:val="0"/>
          <w:numId w:val="0"/>
        </w:numPr>
        <w:rPr>
          <w:color w:val="FFFFFF" w:themeColor="background1"/>
          <w:sz w:val="28"/>
          <w:szCs w:val="28"/>
        </w:rPr>
      </w:pPr>
      <w:bookmarkStart w:id="2" w:name="_Toc145951057"/>
      <w:r w:rsidRPr="008B1465">
        <w:rPr>
          <w:color w:val="FFFFFF" w:themeColor="background1"/>
          <w:sz w:val="28"/>
          <w:szCs w:val="28"/>
        </w:rPr>
        <w:t>COVER PAGE</w:t>
      </w:r>
      <w:bookmarkEnd w:id="2"/>
    </w:p>
    <w:p w14:paraId="71BB6788" w14:textId="77777777" w:rsidR="00D72F51" w:rsidRPr="008B1465" w:rsidRDefault="00D72F51" w:rsidP="00D72F51">
      <w:pPr>
        <w:spacing w:after="0" w:line="360" w:lineRule="auto"/>
        <w:rPr>
          <w:rFonts w:ascii="Times New Roman" w:eastAsia="Calibri" w:hAnsi="Times New Roman"/>
          <w:b/>
          <w:bCs/>
          <w:sz w:val="28"/>
          <w:szCs w:val="28"/>
        </w:rPr>
      </w:pPr>
    </w:p>
    <w:p w14:paraId="3C311C7D" w14:textId="32B6C92F" w:rsidR="00796856" w:rsidRPr="008B1465" w:rsidRDefault="005637E7" w:rsidP="00F50959">
      <w:pPr>
        <w:spacing w:after="0" w:line="360" w:lineRule="auto"/>
        <w:jc w:val="center"/>
        <w:rPr>
          <w:rFonts w:ascii="Times New Roman" w:eastAsia="Calibri" w:hAnsi="Times New Roman"/>
          <w:b/>
          <w:bCs/>
          <w:sz w:val="28"/>
          <w:szCs w:val="28"/>
        </w:rPr>
      </w:pPr>
      <w:r w:rsidRPr="008B1465">
        <w:rPr>
          <w:rFonts w:ascii="Times New Roman" w:eastAsia="Calibri" w:hAnsi="Times New Roman"/>
          <w:b/>
          <w:bCs/>
          <w:sz w:val="28"/>
          <w:szCs w:val="28"/>
        </w:rPr>
        <w:t>Ju</w:t>
      </w:r>
      <w:r w:rsidR="00C70B30">
        <w:rPr>
          <w:rFonts w:ascii="Times New Roman" w:eastAsia="Calibri" w:hAnsi="Times New Roman"/>
          <w:b/>
          <w:bCs/>
          <w:sz w:val="28"/>
          <w:szCs w:val="28"/>
        </w:rPr>
        <w:t>ly</w:t>
      </w:r>
      <w:r w:rsidR="006225D2">
        <w:rPr>
          <w:rFonts w:ascii="Times New Roman" w:eastAsia="Calibri" w:hAnsi="Times New Roman"/>
          <w:b/>
          <w:bCs/>
          <w:sz w:val="28"/>
          <w:szCs w:val="28"/>
        </w:rPr>
        <w:t>,</w:t>
      </w:r>
      <w:r w:rsidR="00CA48E2" w:rsidRPr="008B1465">
        <w:rPr>
          <w:rFonts w:ascii="Times New Roman" w:eastAsia="Calibri" w:hAnsi="Times New Roman"/>
          <w:b/>
          <w:bCs/>
          <w:sz w:val="28"/>
          <w:szCs w:val="28"/>
        </w:rPr>
        <w:t xml:space="preserve"> </w:t>
      </w:r>
      <w:r w:rsidR="00796856" w:rsidRPr="008B1465">
        <w:rPr>
          <w:rFonts w:ascii="Times New Roman" w:eastAsia="Calibri" w:hAnsi="Times New Roman"/>
          <w:b/>
          <w:bCs/>
          <w:sz w:val="28"/>
          <w:szCs w:val="28"/>
        </w:rPr>
        <w:t>202</w:t>
      </w:r>
      <w:r w:rsidR="00CA48E2" w:rsidRPr="008B1465">
        <w:rPr>
          <w:rFonts w:ascii="Times New Roman" w:eastAsia="Calibri" w:hAnsi="Times New Roman"/>
          <w:b/>
          <w:bCs/>
          <w:sz w:val="28"/>
          <w:szCs w:val="28"/>
        </w:rPr>
        <w:t>3</w:t>
      </w:r>
    </w:p>
    <w:p w14:paraId="0BFA1C2B" w14:textId="77777777" w:rsidR="00796856" w:rsidRPr="008B1465" w:rsidRDefault="00796856" w:rsidP="00CA48E2">
      <w:pPr>
        <w:pageBreakBefore/>
        <w:spacing w:after="0" w:line="360" w:lineRule="auto"/>
        <w:jc w:val="center"/>
        <w:rPr>
          <w:rFonts w:ascii="Times New Roman" w:hAnsi="Times New Roman"/>
          <w:b/>
          <w:bCs/>
          <w:sz w:val="24"/>
          <w:szCs w:val="24"/>
        </w:rPr>
      </w:pPr>
      <w:bookmarkStart w:id="3" w:name="_Hlk134860255"/>
      <w:r w:rsidRPr="008B1465">
        <w:rPr>
          <w:rFonts w:ascii="Times New Roman" w:eastAsia="Calibri" w:hAnsi="Times New Roman"/>
          <w:b/>
          <w:bCs/>
          <w:sz w:val="24"/>
          <w:szCs w:val="24"/>
        </w:rPr>
        <w:lastRenderedPageBreak/>
        <w:t>FORENSIC ACCOUNTING TECHNIQUES AND FINANCIAL MISCONDUCT AMONG FEDERAL UNIVERSITIES IN SOUTHWEST, NIGERIA</w:t>
      </w:r>
    </w:p>
    <w:bookmarkEnd w:id="3"/>
    <w:p w14:paraId="151762EF" w14:textId="77777777" w:rsidR="00796856" w:rsidRPr="008B1465" w:rsidRDefault="00796856" w:rsidP="00796856">
      <w:pPr>
        <w:spacing w:after="0" w:line="360" w:lineRule="auto"/>
        <w:jc w:val="center"/>
        <w:rPr>
          <w:rFonts w:ascii="Times New Roman" w:eastAsia="Calibri" w:hAnsi="Times New Roman"/>
          <w:b/>
          <w:bCs/>
          <w:sz w:val="24"/>
          <w:szCs w:val="24"/>
        </w:rPr>
      </w:pPr>
    </w:p>
    <w:p w14:paraId="3D3B1EFA" w14:textId="77777777" w:rsidR="00796856" w:rsidRPr="008B1465" w:rsidRDefault="00796856" w:rsidP="00796856">
      <w:pPr>
        <w:spacing w:after="0" w:line="360" w:lineRule="auto"/>
        <w:jc w:val="center"/>
        <w:rPr>
          <w:rFonts w:ascii="Times New Roman" w:eastAsia="Calibri" w:hAnsi="Times New Roman"/>
          <w:b/>
          <w:bCs/>
          <w:sz w:val="24"/>
          <w:szCs w:val="24"/>
        </w:rPr>
      </w:pPr>
    </w:p>
    <w:p w14:paraId="2020207C" w14:textId="77777777" w:rsidR="00796856" w:rsidRPr="008B1465" w:rsidRDefault="00796856" w:rsidP="00796856">
      <w:pPr>
        <w:spacing w:after="0" w:line="360" w:lineRule="auto"/>
        <w:jc w:val="center"/>
        <w:rPr>
          <w:rFonts w:ascii="Times New Roman" w:eastAsia="Calibri" w:hAnsi="Times New Roman"/>
          <w:b/>
          <w:bCs/>
          <w:sz w:val="24"/>
          <w:szCs w:val="24"/>
        </w:rPr>
      </w:pPr>
    </w:p>
    <w:p w14:paraId="0B8AE95A" w14:textId="16197E9F" w:rsidR="00796856" w:rsidRPr="008B1465" w:rsidRDefault="00B92BE1" w:rsidP="00796856">
      <w:pPr>
        <w:spacing w:before="0" w:beforeAutospacing="0" w:after="0" w:line="360" w:lineRule="auto"/>
        <w:jc w:val="center"/>
        <w:rPr>
          <w:rFonts w:ascii="Times New Roman" w:eastAsia="Calibri" w:hAnsi="Times New Roman"/>
          <w:b/>
          <w:bCs/>
          <w:sz w:val="24"/>
          <w:szCs w:val="24"/>
        </w:rPr>
      </w:pPr>
      <w:r w:rsidRPr="008B1465">
        <w:rPr>
          <w:rFonts w:ascii="Times New Roman" w:eastAsia="Calibri" w:hAnsi="Times New Roman"/>
          <w:b/>
          <w:bCs/>
          <w:sz w:val="24"/>
          <w:szCs w:val="24"/>
        </w:rPr>
        <w:t>Alexander Tunde</w:t>
      </w:r>
      <w:r w:rsidR="00560832" w:rsidRPr="008B1465">
        <w:rPr>
          <w:rFonts w:ascii="Times New Roman" w:eastAsia="Calibri" w:hAnsi="Times New Roman"/>
          <w:b/>
          <w:bCs/>
          <w:sz w:val="24"/>
          <w:szCs w:val="24"/>
        </w:rPr>
        <w:t xml:space="preserve"> OGUNTUASE</w:t>
      </w:r>
    </w:p>
    <w:p w14:paraId="6B26CCED" w14:textId="2A2052F4" w:rsidR="00796856" w:rsidRPr="008B1465" w:rsidRDefault="00560832" w:rsidP="00796856">
      <w:pPr>
        <w:spacing w:before="0" w:beforeAutospacing="0" w:after="0" w:line="360" w:lineRule="auto"/>
        <w:jc w:val="center"/>
        <w:rPr>
          <w:rFonts w:ascii="Times New Roman" w:eastAsia="Calibri" w:hAnsi="Times New Roman"/>
          <w:sz w:val="24"/>
          <w:szCs w:val="24"/>
        </w:rPr>
      </w:pPr>
      <w:r w:rsidRPr="008B1465">
        <w:rPr>
          <w:rFonts w:ascii="Times New Roman" w:eastAsia="Calibri" w:hAnsi="Times New Roman"/>
          <w:sz w:val="24"/>
          <w:szCs w:val="24"/>
        </w:rPr>
        <w:t>(</w:t>
      </w:r>
      <w:r w:rsidR="00796856" w:rsidRPr="008B1465">
        <w:rPr>
          <w:rFonts w:ascii="Times New Roman" w:eastAsia="Calibri" w:hAnsi="Times New Roman"/>
          <w:sz w:val="24"/>
          <w:szCs w:val="24"/>
        </w:rPr>
        <w:t>PG18/06/006</w:t>
      </w:r>
      <w:r w:rsidRPr="008B1465">
        <w:rPr>
          <w:rFonts w:ascii="Times New Roman" w:eastAsia="Calibri" w:hAnsi="Times New Roman"/>
          <w:sz w:val="24"/>
          <w:szCs w:val="24"/>
        </w:rPr>
        <w:t>)</w:t>
      </w:r>
    </w:p>
    <w:p w14:paraId="1DE82C31" w14:textId="48C8AAA8" w:rsidR="00CA48E2" w:rsidRPr="008B1465" w:rsidRDefault="006504DB" w:rsidP="00796856">
      <w:pPr>
        <w:spacing w:before="0" w:beforeAutospacing="0" w:after="0" w:line="360" w:lineRule="auto"/>
        <w:jc w:val="center"/>
        <w:rPr>
          <w:rFonts w:ascii="Times New Roman" w:hAnsi="Times New Roman"/>
          <w:sz w:val="24"/>
          <w:szCs w:val="24"/>
        </w:rPr>
      </w:pPr>
      <w:r w:rsidRPr="008B1465">
        <w:rPr>
          <w:rFonts w:ascii="Times New Roman" w:hAnsi="Times New Roman"/>
          <w:sz w:val="24"/>
          <w:szCs w:val="24"/>
        </w:rPr>
        <w:t>Diploma in Accounting</w:t>
      </w:r>
      <w:r w:rsidR="009731A4" w:rsidRPr="008B1465">
        <w:rPr>
          <w:rFonts w:ascii="Times New Roman" w:hAnsi="Times New Roman"/>
          <w:sz w:val="24"/>
          <w:szCs w:val="24"/>
        </w:rPr>
        <w:t xml:space="preserve">; </w:t>
      </w:r>
      <w:r w:rsidR="00293F95" w:rsidRPr="008B1465">
        <w:rPr>
          <w:rFonts w:ascii="Times New Roman" w:hAnsi="Times New Roman"/>
          <w:sz w:val="24"/>
          <w:szCs w:val="24"/>
        </w:rPr>
        <w:t>B</w:t>
      </w:r>
      <w:r w:rsidR="004250AE">
        <w:rPr>
          <w:rFonts w:ascii="Times New Roman" w:hAnsi="Times New Roman"/>
          <w:sz w:val="24"/>
          <w:szCs w:val="24"/>
        </w:rPr>
        <w:t xml:space="preserve"> </w:t>
      </w:r>
      <w:r w:rsidR="00293F95" w:rsidRPr="008B1465">
        <w:rPr>
          <w:rFonts w:ascii="Times New Roman" w:hAnsi="Times New Roman"/>
          <w:sz w:val="24"/>
          <w:szCs w:val="24"/>
        </w:rPr>
        <w:t>Sc</w:t>
      </w:r>
      <w:r w:rsidR="00E01D7D" w:rsidRPr="008B1465">
        <w:rPr>
          <w:rFonts w:ascii="Times New Roman" w:hAnsi="Times New Roman"/>
          <w:sz w:val="24"/>
          <w:szCs w:val="24"/>
        </w:rPr>
        <w:t>. (Hon</w:t>
      </w:r>
      <w:r w:rsidR="00C7586E" w:rsidRPr="008B1465">
        <w:rPr>
          <w:rFonts w:ascii="Times New Roman" w:hAnsi="Times New Roman"/>
          <w:sz w:val="24"/>
          <w:szCs w:val="24"/>
        </w:rPr>
        <w:t>s</w:t>
      </w:r>
      <w:r w:rsidR="00E01D7D" w:rsidRPr="008B1465">
        <w:rPr>
          <w:rFonts w:ascii="Times New Roman" w:hAnsi="Times New Roman"/>
          <w:sz w:val="24"/>
          <w:szCs w:val="24"/>
        </w:rPr>
        <w:t>)</w:t>
      </w:r>
      <w:r w:rsidR="00293F95" w:rsidRPr="008B1465">
        <w:rPr>
          <w:rFonts w:ascii="Times New Roman" w:hAnsi="Times New Roman"/>
          <w:sz w:val="24"/>
          <w:szCs w:val="24"/>
        </w:rPr>
        <w:t>. Accounting</w:t>
      </w:r>
      <w:r w:rsidR="009731A4" w:rsidRPr="008B1465">
        <w:rPr>
          <w:rFonts w:ascii="Times New Roman" w:hAnsi="Times New Roman"/>
          <w:sz w:val="24"/>
          <w:szCs w:val="24"/>
        </w:rPr>
        <w:t xml:space="preserve"> (AAUA);</w:t>
      </w:r>
      <w:r w:rsidR="00293F95" w:rsidRPr="008B1465">
        <w:rPr>
          <w:rFonts w:ascii="Times New Roman" w:hAnsi="Times New Roman"/>
          <w:sz w:val="24"/>
          <w:szCs w:val="24"/>
        </w:rPr>
        <w:t xml:space="preserve"> </w:t>
      </w:r>
    </w:p>
    <w:p w14:paraId="7BBD1E7D" w14:textId="1CB472A2" w:rsidR="00293F95" w:rsidRPr="008B1465" w:rsidRDefault="006504DB" w:rsidP="00796856">
      <w:pPr>
        <w:spacing w:before="0" w:beforeAutospacing="0" w:after="0" w:line="360" w:lineRule="auto"/>
        <w:jc w:val="center"/>
        <w:rPr>
          <w:rFonts w:ascii="Times New Roman" w:eastAsia="Calibri" w:hAnsi="Times New Roman"/>
          <w:b/>
          <w:bCs/>
          <w:sz w:val="24"/>
          <w:szCs w:val="24"/>
        </w:rPr>
      </w:pPr>
      <w:r w:rsidRPr="008B1465">
        <w:rPr>
          <w:rFonts w:ascii="Times New Roman" w:hAnsi="Times New Roman"/>
          <w:sz w:val="24"/>
          <w:szCs w:val="24"/>
        </w:rPr>
        <w:t>M</w:t>
      </w:r>
      <w:r w:rsidR="004250AE">
        <w:rPr>
          <w:rFonts w:ascii="Times New Roman" w:hAnsi="Times New Roman"/>
          <w:sz w:val="24"/>
          <w:szCs w:val="24"/>
        </w:rPr>
        <w:t xml:space="preserve"> </w:t>
      </w:r>
      <w:r w:rsidRPr="008B1465">
        <w:rPr>
          <w:rFonts w:ascii="Times New Roman" w:hAnsi="Times New Roman"/>
          <w:sz w:val="24"/>
          <w:szCs w:val="24"/>
        </w:rPr>
        <w:t>Sc. Accounting</w:t>
      </w:r>
      <w:r w:rsidR="009731A4" w:rsidRPr="008B1465">
        <w:rPr>
          <w:rFonts w:ascii="Times New Roman" w:hAnsi="Times New Roman"/>
          <w:sz w:val="24"/>
          <w:szCs w:val="24"/>
        </w:rPr>
        <w:t xml:space="preserve"> </w:t>
      </w:r>
      <w:r w:rsidR="000542B2" w:rsidRPr="008B1465">
        <w:rPr>
          <w:rFonts w:ascii="Times New Roman" w:hAnsi="Times New Roman"/>
          <w:sz w:val="24"/>
          <w:szCs w:val="24"/>
        </w:rPr>
        <w:t>(</w:t>
      </w:r>
      <w:r w:rsidR="009731A4" w:rsidRPr="008B1465">
        <w:rPr>
          <w:rFonts w:ascii="Times New Roman" w:hAnsi="Times New Roman"/>
          <w:sz w:val="24"/>
          <w:szCs w:val="24"/>
        </w:rPr>
        <w:t>Crawford</w:t>
      </w:r>
      <w:r w:rsidR="002334B6" w:rsidRPr="008B1465">
        <w:rPr>
          <w:rFonts w:ascii="Times New Roman" w:hAnsi="Times New Roman"/>
          <w:sz w:val="24"/>
          <w:szCs w:val="24"/>
        </w:rPr>
        <w:t xml:space="preserve"> University</w:t>
      </w:r>
      <w:r w:rsidR="000542B2" w:rsidRPr="008B1465">
        <w:rPr>
          <w:rFonts w:ascii="Times New Roman" w:hAnsi="Times New Roman"/>
          <w:sz w:val="24"/>
          <w:szCs w:val="24"/>
        </w:rPr>
        <w:t>)</w:t>
      </w:r>
    </w:p>
    <w:p w14:paraId="4A9098E2" w14:textId="2070A69C" w:rsidR="00796856" w:rsidRPr="008B1465" w:rsidRDefault="004250AE" w:rsidP="00796856">
      <w:pPr>
        <w:spacing w:after="0" w:line="360" w:lineRule="auto"/>
        <w:jc w:val="center"/>
        <w:rPr>
          <w:rFonts w:ascii="Times New Roman" w:eastAsia="Calibri" w:hAnsi="Times New Roman"/>
          <w:b/>
          <w:bCs/>
          <w:sz w:val="24"/>
          <w:szCs w:val="24"/>
        </w:rPr>
      </w:pPr>
      <w:r>
        <w:rPr>
          <w:rFonts w:ascii="Times New Roman" w:eastAsia="Calibri" w:hAnsi="Times New Roman"/>
          <w:b/>
          <w:bCs/>
          <w:sz w:val="24"/>
          <w:szCs w:val="24"/>
        </w:rPr>
        <w:t xml:space="preserve"> </w:t>
      </w:r>
    </w:p>
    <w:p w14:paraId="2845E873" w14:textId="77777777" w:rsidR="00796856" w:rsidRPr="008B1465" w:rsidRDefault="00796856" w:rsidP="00796856">
      <w:pPr>
        <w:spacing w:after="0" w:line="360" w:lineRule="auto"/>
        <w:jc w:val="center"/>
        <w:rPr>
          <w:rFonts w:ascii="Times New Roman" w:eastAsia="Calibri" w:hAnsi="Times New Roman"/>
          <w:b/>
          <w:bCs/>
          <w:sz w:val="24"/>
          <w:szCs w:val="24"/>
        </w:rPr>
      </w:pPr>
    </w:p>
    <w:p w14:paraId="5DE09FEE" w14:textId="4A338D73" w:rsidR="002334B6" w:rsidRPr="008B1465" w:rsidRDefault="00587DCF" w:rsidP="001E393D">
      <w:pPr>
        <w:spacing w:before="0" w:beforeAutospacing="0" w:after="0" w:line="360" w:lineRule="auto"/>
        <w:jc w:val="center"/>
        <w:rPr>
          <w:rFonts w:ascii="Times New Roman" w:eastAsia="Calibri" w:hAnsi="Times New Roman"/>
          <w:sz w:val="24"/>
          <w:szCs w:val="24"/>
        </w:rPr>
      </w:pPr>
      <w:r w:rsidRPr="008B1465">
        <w:rPr>
          <w:rFonts w:ascii="Times New Roman" w:eastAsia="Calibri" w:hAnsi="Times New Roman"/>
          <w:sz w:val="24"/>
          <w:szCs w:val="24"/>
        </w:rPr>
        <w:t xml:space="preserve"> A Thesis Submitted </w:t>
      </w:r>
      <w:r w:rsidR="009A7094" w:rsidRPr="008B1465">
        <w:rPr>
          <w:rFonts w:ascii="Times New Roman" w:eastAsia="Calibri" w:hAnsi="Times New Roman"/>
          <w:sz w:val="24"/>
          <w:szCs w:val="24"/>
        </w:rPr>
        <w:t>t</w:t>
      </w:r>
      <w:r w:rsidRPr="008B1465">
        <w:rPr>
          <w:rFonts w:ascii="Times New Roman" w:eastAsia="Calibri" w:hAnsi="Times New Roman"/>
          <w:sz w:val="24"/>
          <w:szCs w:val="24"/>
        </w:rPr>
        <w:t xml:space="preserve">o </w:t>
      </w:r>
    </w:p>
    <w:p w14:paraId="1715D050" w14:textId="368A713D" w:rsidR="00FE4BC7" w:rsidRPr="008B1465" w:rsidRDefault="00587DCF" w:rsidP="001E393D">
      <w:pPr>
        <w:spacing w:before="0" w:beforeAutospacing="0" w:after="0" w:line="360" w:lineRule="auto"/>
        <w:jc w:val="center"/>
        <w:rPr>
          <w:rFonts w:ascii="Times New Roman" w:eastAsia="Calibri" w:hAnsi="Times New Roman"/>
          <w:sz w:val="24"/>
          <w:szCs w:val="24"/>
        </w:rPr>
      </w:pPr>
      <w:r w:rsidRPr="008B1465">
        <w:rPr>
          <w:rFonts w:ascii="Times New Roman" w:eastAsia="Calibri" w:hAnsi="Times New Roman"/>
          <w:sz w:val="24"/>
          <w:szCs w:val="24"/>
        </w:rPr>
        <w:t xml:space="preserve">The Department of Accounting </w:t>
      </w:r>
      <w:r w:rsidR="003F58CF" w:rsidRPr="008B1465">
        <w:rPr>
          <w:rFonts w:ascii="Times New Roman" w:eastAsia="Calibri" w:hAnsi="Times New Roman"/>
          <w:sz w:val="24"/>
          <w:szCs w:val="24"/>
        </w:rPr>
        <w:t>a</w:t>
      </w:r>
      <w:r w:rsidRPr="008B1465">
        <w:rPr>
          <w:rFonts w:ascii="Times New Roman" w:eastAsia="Calibri" w:hAnsi="Times New Roman"/>
          <w:sz w:val="24"/>
          <w:szCs w:val="24"/>
        </w:rPr>
        <w:t xml:space="preserve">nd Finance, </w:t>
      </w:r>
      <w:r w:rsidR="00A27FE2" w:rsidRPr="008B1465">
        <w:rPr>
          <w:rFonts w:ascii="Times New Roman" w:hAnsi="Times New Roman"/>
          <w:sz w:val="24"/>
          <w:szCs w:val="24"/>
        </w:rPr>
        <w:t>College of Business and Social Sciences</w:t>
      </w:r>
    </w:p>
    <w:p w14:paraId="012BF07A" w14:textId="575AE9B7" w:rsidR="00796856" w:rsidRPr="008B1465" w:rsidRDefault="003F58CF" w:rsidP="001E393D">
      <w:pPr>
        <w:spacing w:before="0" w:beforeAutospacing="0" w:after="0" w:line="360" w:lineRule="auto"/>
        <w:jc w:val="center"/>
        <w:rPr>
          <w:rFonts w:ascii="Times New Roman" w:eastAsia="Calibri" w:hAnsi="Times New Roman"/>
          <w:sz w:val="24"/>
          <w:szCs w:val="24"/>
        </w:rPr>
      </w:pPr>
      <w:r w:rsidRPr="008B1465">
        <w:rPr>
          <w:rFonts w:ascii="Times New Roman" w:eastAsia="Calibri" w:hAnsi="Times New Roman"/>
          <w:sz w:val="24"/>
          <w:szCs w:val="24"/>
        </w:rPr>
        <w:t>i</w:t>
      </w:r>
      <w:r w:rsidR="00587DCF" w:rsidRPr="008B1465">
        <w:rPr>
          <w:rFonts w:ascii="Times New Roman" w:eastAsia="Calibri" w:hAnsi="Times New Roman"/>
          <w:sz w:val="24"/>
          <w:szCs w:val="24"/>
        </w:rPr>
        <w:t xml:space="preserve">n Partial Fulfilment of </w:t>
      </w:r>
      <w:r w:rsidRPr="008B1465">
        <w:rPr>
          <w:rFonts w:ascii="Times New Roman" w:eastAsia="Calibri" w:hAnsi="Times New Roman"/>
          <w:sz w:val="24"/>
          <w:szCs w:val="24"/>
        </w:rPr>
        <w:t>t</w:t>
      </w:r>
      <w:r w:rsidR="00587DCF" w:rsidRPr="008B1465">
        <w:rPr>
          <w:rFonts w:ascii="Times New Roman" w:eastAsia="Calibri" w:hAnsi="Times New Roman"/>
          <w:sz w:val="24"/>
          <w:szCs w:val="24"/>
        </w:rPr>
        <w:t xml:space="preserve">he Award </w:t>
      </w:r>
      <w:r w:rsidRPr="008B1465">
        <w:rPr>
          <w:rFonts w:ascii="Times New Roman" w:eastAsia="Calibri" w:hAnsi="Times New Roman"/>
          <w:sz w:val="24"/>
          <w:szCs w:val="24"/>
        </w:rPr>
        <w:t>o</w:t>
      </w:r>
      <w:r w:rsidR="00587DCF" w:rsidRPr="008B1465">
        <w:rPr>
          <w:rFonts w:ascii="Times New Roman" w:eastAsia="Calibri" w:hAnsi="Times New Roman"/>
          <w:sz w:val="24"/>
          <w:szCs w:val="24"/>
        </w:rPr>
        <w:t xml:space="preserve">f Doctor </w:t>
      </w:r>
      <w:r w:rsidRPr="008B1465">
        <w:rPr>
          <w:rFonts w:ascii="Times New Roman" w:eastAsia="Calibri" w:hAnsi="Times New Roman"/>
          <w:sz w:val="24"/>
          <w:szCs w:val="24"/>
        </w:rPr>
        <w:t>o</w:t>
      </w:r>
      <w:r w:rsidR="00587DCF" w:rsidRPr="008B1465">
        <w:rPr>
          <w:rFonts w:ascii="Times New Roman" w:eastAsia="Calibri" w:hAnsi="Times New Roman"/>
          <w:sz w:val="24"/>
          <w:szCs w:val="24"/>
        </w:rPr>
        <w:t>f Philosophy (Ph</w:t>
      </w:r>
      <w:r w:rsidR="004250AE">
        <w:rPr>
          <w:rFonts w:ascii="Times New Roman" w:eastAsia="Calibri" w:hAnsi="Times New Roman"/>
          <w:sz w:val="24"/>
          <w:szCs w:val="24"/>
        </w:rPr>
        <w:t>.</w:t>
      </w:r>
      <w:r w:rsidR="00587DCF" w:rsidRPr="008B1465">
        <w:rPr>
          <w:rFonts w:ascii="Times New Roman" w:eastAsia="Calibri" w:hAnsi="Times New Roman"/>
          <w:sz w:val="24"/>
          <w:szCs w:val="24"/>
        </w:rPr>
        <w:t>D</w:t>
      </w:r>
      <w:r w:rsidR="004250AE">
        <w:rPr>
          <w:rFonts w:ascii="Times New Roman" w:eastAsia="Calibri" w:hAnsi="Times New Roman"/>
          <w:sz w:val="24"/>
          <w:szCs w:val="24"/>
        </w:rPr>
        <w:t>.</w:t>
      </w:r>
      <w:r w:rsidR="00587DCF" w:rsidRPr="008B1465">
        <w:rPr>
          <w:rFonts w:ascii="Times New Roman" w:eastAsia="Calibri" w:hAnsi="Times New Roman"/>
          <w:sz w:val="24"/>
          <w:szCs w:val="24"/>
        </w:rPr>
        <w:t xml:space="preserve">) Degree </w:t>
      </w:r>
      <w:r w:rsidRPr="008B1465">
        <w:rPr>
          <w:rFonts w:ascii="Times New Roman" w:eastAsia="Calibri" w:hAnsi="Times New Roman"/>
          <w:sz w:val="24"/>
          <w:szCs w:val="24"/>
        </w:rPr>
        <w:t>i</w:t>
      </w:r>
      <w:r w:rsidR="00587DCF" w:rsidRPr="008B1465">
        <w:rPr>
          <w:rFonts w:ascii="Times New Roman" w:eastAsia="Calibri" w:hAnsi="Times New Roman"/>
          <w:sz w:val="24"/>
          <w:szCs w:val="24"/>
        </w:rPr>
        <w:t xml:space="preserve">n Accounting </w:t>
      </w:r>
      <w:r w:rsidRPr="008B1465">
        <w:rPr>
          <w:rFonts w:ascii="Times New Roman" w:eastAsia="Calibri" w:hAnsi="Times New Roman"/>
          <w:sz w:val="24"/>
          <w:szCs w:val="24"/>
        </w:rPr>
        <w:t>o</w:t>
      </w:r>
      <w:r w:rsidR="00587DCF" w:rsidRPr="008B1465">
        <w:rPr>
          <w:rFonts w:ascii="Times New Roman" w:eastAsia="Calibri" w:hAnsi="Times New Roman"/>
          <w:sz w:val="24"/>
          <w:szCs w:val="24"/>
        </w:rPr>
        <w:t>f Crawford University</w:t>
      </w:r>
    </w:p>
    <w:p w14:paraId="0DB53757" w14:textId="77777777" w:rsidR="00796856" w:rsidRPr="008B1465" w:rsidRDefault="00796856" w:rsidP="001E393D">
      <w:pPr>
        <w:spacing w:after="0" w:line="240" w:lineRule="auto"/>
        <w:jc w:val="center"/>
        <w:rPr>
          <w:rFonts w:ascii="Times New Roman" w:eastAsia="Calibri" w:hAnsi="Times New Roman"/>
          <w:b/>
          <w:bCs/>
          <w:sz w:val="24"/>
          <w:szCs w:val="24"/>
        </w:rPr>
      </w:pPr>
    </w:p>
    <w:p w14:paraId="7C18AEDD" w14:textId="77777777" w:rsidR="00796856" w:rsidRPr="008B1465" w:rsidRDefault="00796856" w:rsidP="001E393D">
      <w:pPr>
        <w:spacing w:after="0" w:line="240" w:lineRule="auto"/>
        <w:jc w:val="center"/>
        <w:rPr>
          <w:rFonts w:ascii="Times New Roman" w:eastAsia="Calibri" w:hAnsi="Times New Roman"/>
          <w:b/>
          <w:bCs/>
          <w:sz w:val="24"/>
          <w:szCs w:val="24"/>
        </w:rPr>
      </w:pPr>
    </w:p>
    <w:p w14:paraId="5BBF2DEA" w14:textId="77777777" w:rsidR="00145533" w:rsidRPr="008B1465" w:rsidRDefault="00145533" w:rsidP="00796856">
      <w:pPr>
        <w:spacing w:after="0" w:line="360" w:lineRule="auto"/>
        <w:jc w:val="center"/>
        <w:rPr>
          <w:rFonts w:ascii="Times New Roman" w:eastAsia="Calibri" w:hAnsi="Times New Roman"/>
          <w:b/>
          <w:bCs/>
          <w:sz w:val="24"/>
          <w:szCs w:val="24"/>
        </w:rPr>
      </w:pPr>
    </w:p>
    <w:p w14:paraId="5984E36A" w14:textId="77777777" w:rsidR="00145533" w:rsidRPr="008B1465" w:rsidRDefault="00145533" w:rsidP="00796856">
      <w:pPr>
        <w:spacing w:after="0" w:line="360" w:lineRule="auto"/>
        <w:jc w:val="center"/>
        <w:rPr>
          <w:rFonts w:ascii="Times New Roman" w:eastAsia="Calibri" w:hAnsi="Times New Roman"/>
          <w:b/>
          <w:bCs/>
          <w:sz w:val="24"/>
          <w:szCs w:val="24"/>
        </w:rPr>
      </w:pPr>
    </w:p>
    <w:p w14:paraId="515A8118" w14:textId="2950D755" w:rsidR="00796856" w:rsidRPr="008B1465" w:rsidRDefault="00B87ED4" w:rsidP="00796856">
      <w:pPr>
        <w:spacing w:after="0" w:line="360" w:lineRule="auto"/>
        <w:jc w:val="center"/>
        <w:rPr>
          <w:rFonts w:ascii="Times New Roman" w:eastAsia="Calibri" w:hAnsi="Times New Roman"/>
          <w:color w:val="FFFFFF" w:themeColor="background1"/>
          <w:sz w:val="24"/>
          <w:szCs w:val="24"/>
        </w:rPr>
      </w:pPr>
      <w:r w:rsidRPr="008B1465">
        <w:rPr>
          <w:rFonts w:ascii="Times New Roman" w:eastAsia="Calibri" w:hAnsi="Times New Roman"/>
          <w:sz w:val="24"/>
          <w:szCs w:val="24"/>
        </w:rPr>
        <w:t>Ju</w:t>
      </w:r>
      <w:r w:rsidR="00C70B30">
        <w:rPr>
          <w:rFonts w:ascii="Times New Roman" w:eastAsia="Calibri" w:hAnsi="Times New Roman"/>
          <w:sz w:val="24"/>
          <w:szCs w:val="24"/>
        </w:rPr>
        <w:t>ly</w:t>
      </w:r>
      <w:r w:rsidR="006225D2">
        <w:rPr>
          <w:rFonts w:ascii="Times New Roman" w:eastAsia="Calibri" w:hAnsi="Times New Roman"/>
          <w:sz w:val="24"/>
          <w:szCs w:val="24"/>
        </w:rPr>
        <w:t>,</w:t>
      </w:r>
      <w:r w:rsidR="003650D2" w:rsidRPr="008B1465">
        <w:rPr>
          <w:rFonts w:ascii="Times New Roman" w:eastAsia="Calibri" w:hAnsi="Times New Roman"/>
          <w:sz w:val="24"/>
          <w:szCs w:val="24"/>
        </w:rPr>
        <w:t xml:space="preserve"> 20</w:t>
      </w:r>
      <w:r w:rsidR="00A364B2" w:rsidRPr="008B1465">
        <w:rPr>
          <w:rFonts w:ascii="Times New Roman" w:eastAsia="Calibri" w:hAnsi="Times New Roman"/>
          <w:sz w:val="24"/>
          <w:szCs w:val="24"/>
        </w:rPr>
        <w:t>23</w:t>
      </w:r>
    </w:p>
    <w:p w14:paraId="1817466B" w14:textId="7192D8EA" w:rsidR="00796856" w:rsidRPr="008B1465" w:rsidRDefault="00A20B2D" w:rsidP="00D432A7">
      <w:pPr>
        <w:pStyle w:val="Heading1"/>
        <w:numPr>
          <w:ilvl w:val="0"/>
          <w:numId w:val="0"/>
        </w:numPr>
        <w:rPr>
          <w:color w:val="FFFFFF" w:themeColor="background1"/>
        </w:rPr>
      </w:pPr>
      <w:bookmarkStart w:id="4" w:name="_Toc145951058"/>
      <w:r w:rsidRPr="008B1465">
        <w:rPr>
          <w:color w:val="FFFFFF" w:themeColor="background1"/>
        </w:rPr>
        <w:t>TITLE PAGE</w:t>
      </w:r>
      <w:bookmarkEnd w:id="4"/>
    </w:p>
    <w:p w14:paraId="4FF54266" w14:textId="77777777" w:rsidR="00796856" w:rsidRPr="008B1465" w:rsidRDefault="00796856" w:rsidP="00796856">
      <w:pPr>
        <w:spacing w:after="0" w:line="360" w:lineRule="auto"/>
        <w:jc w:val="center"/>
        <w:rPr>
          <w:rFonts w:ascii="Times New Roman" w:eastAsia="Calibri" w:hAnsi="Times New Roman"/>
          <w:b/>
          <w:bCs/>
          <w:sz w:val="24"/>
          <w:szCs w:val="24"/>
        </w:rPr>
      </w:pPr>
    </w:p>
    <w:p w14:paraId="62B2140D" w14:textId="77777777" w:rsidR="00B441FF" w:rsidRPr="008B1465" w:rsidRDefault="00B441FF" w:rsidP="00A364B2">
      <w:pPr>
        <w:pStyle w:val="Heading1"/>
        <w:pageBreakBefore/>
        <w:numPr>
          <w:ilvl w:val="0"/>
          <w:numId w:val="0"/>
        </w:numPr>
        <w:spacing w:before="100" w:line="274" w:lineRule="auto"/>
      </w:pPr>
      <w:bookmarkStart w:id="5" w:name="_Toc145951059"/>
      <w:r w:rsidRPr="008B1465">
        <w:t>AUTHORIZATION TO CO</w:t>
      </w:r>
      <w:r w:rsidRPr="008B1465">
        <w:rPr>
          <w:rStyle w:val="Heading1Char"/>
          <w:b/>
          <w:bCs/>
        </w:rPr>
        <w:t>PY</w:t>
      </w:r>
      <w:bookmarkEnd w:id="5"/>
    </w:p>
    <w:p w14:paraId="64B8350D" w14:textId="77777777" w:rsidR="00B441FF" w:rsidRPr="008B1465" w:rsidRDefault="00B441FF" w:rsidP="00B441FF">
      <w:pPr>
        <w:ind w:left="2160" w:firstLine="720"/>
        <w:jc w:val="both"/>
        <w:rPr>
          <w:rFonts w:ascii="Times New Roman" w:hAnsi="Times New Roman"/>
          <w:bCs/>
          <w:sz w:val="24"/>
          <w:szCs w:val="24"/>
        </w:rPr>
      </w:pPr>
    </w:p>
    <w:p w14:paraId="2A392C9B" w14:textId="3F60761B" w:rsidR="00B441FF" w:rsidRPr="008B1465" w:rsidRDefault="00325213" w:rsidP="00B441FF">
      <w:pPr>
        <w:spacing w:before="0" w:beforeAutospacing="0" w:after="0" w:line="360" w:lineRule="auto"/>
        <w:jc w:val="both"/>
        <w:rPr>
          <w:rFonts w:ascii="Times New Roman" w:eastAsia="Calibri" w:hAnsi="Times New Roman"/>
          <w:bCs/>
          <w:sz w:val="24"/>
          <w:szCs w:val="24"/>
        </w:rPr>
      </w:pPr>
      <w:r w:rsidRPr="008B1465">
        <w:rPr>
          <w:rFonts w:ascii="Times New Roman" w:hAnsi="Times New Roman"/>
          <w:bCs/>
          <w:sz w:val="24"/>
          <w:szCs w:val="24"/>
        </w:rPr>
        <w:t>AUTHOR</w:t>
      </w:r>
      <w:r w:rsidR="00B441FF" w:rsidRPr="008B1465">
        <w:rPr>
          <w:rFonts w:ascii="Times New Roman" w:hAnsi="Times New Roman"/>
          <w:bCs/>
          <w:sz w:val="24"/>
          <w:szCs w:val="24"/>
        </w:rPr>
        <w:t xml:space="preserve">:  </w:t>
      </w:r>
      <w:r w:rsidR="002C739B" w:rsidRPr="008B1465">
        <w:rPr>
          <w:rFonts w:ascii="Times New Roman" w:eastAsia="Calibri" w:hAnsi="Times New Roman"/>
          <w:b/>
          <w:sz w:val="24"/>
          <w:szCs w:val="24"/>
        </w:rPr>
        <w:t>Oguntuase</w:t>
      </w:r>
      <w:r w:rsidR="00B441FF" w:rsidRPr="008B1465">
        <w:rPr>
          <w:rFonts w:ascii="Times New Roman" w:hAnsi="Times New Roman"/>
          <w:bCs/>
          <w:sz w:val="24"/>
          <w:szCs w:val="24"/>
        </w:rPr>
        <w:t xml:space="preserve"> </w:t>
      </w:r>
      <w:r w:rsidR="003C3290" w:rsidRPr="008B1465">
        <w:rPr>
          <w:rFonts w:ascii="Times New Roman" w:eastAsia="Calibri" w:hAnsi="Times New Roman"/>
          <w:bCs/>
          <w:sz w:val="24"/>
          <w:szCs w:val="24"/>
        </w:rPr>
        <w:t xml:space="preserve">Alexander Tunde </w:t>
      </w:r>
    </w:p>
    <w:p w14:paraId="09D81702" w14:textId="6E70F159" w:rsidR="00B441FF" w:rsidRPr="008B1465" w:rsidRDefault="00B441FF" w:rsidP="00B441FF">
      <w:pPr>
        <w:jc w:val="both"/>
        <w:rPr>
          <w:rFonts w:ascii="Times New Roman" w:hAnsi="Times New Roman"/>
          <w:bCs/>
          <w:sz w:val="24"/>
          <w:szCs w:val="24"/>
        </w:rPr>
      </w:pPr>
    </w:p>
    <w:p w14:paraId="4792A129" w14:textId="04C64E70" w:rsidR="00B441FF" w:rsidRPr="008B1465" w:rsidRDefault="00325213" w:rsidP="00F94DB7">
      <w:pPr>
        <w:spacing w:line="274" w:lineRule="auto"/>
        <w:ind w:left="720" w:hanging="720"/>
        <w:jc w:val="both"/>
        <w:rPr>
          <w:rFonts w:ascii="Times New Roman" w:hAnsi="Times New Roman"/>
          <w:bCs/>
          <w:sz w:val="24"/>
          <w:szCs w:val="24"/>
        </w:rPr>
      </w:pPr>
      <w:r w:rsidRPr="008B1465">
        <w:rPr>
          <w:rFonts w:ascii="Times New Roman" w:hAnsi="Times New Roman"/>
          <w:bCs/>
          <w:sz w:val="24"/>
          <w:szCs w:val="24"/>
        </w:rPr>
        <w:t>TITLE:</w:t>
      </w:r>
      <w:r w:rsidRPr="008B1465">
        <w:t xml:space="preserve"> </w:t>
      </w:r>
      <w:r w:rsidR="00B7054C" w:rsidRPr="008B1465">
        <w:rPr>
          <w:rFonts w:ascii="Times New Roman" w:hAnsi="Times New Roman"/>
          <w:bCs/>
          <w:sz w:val="24"/>
          <w:szCs w:val="24"/>
        </w:rPr>
        <w:t xml:space="preserve">Forensic Accounting Techniques and Financial Misconduct </w:t>
      </w:r>
      <w:r w:rsidR="00C4498C" w:rsidRPr="008B1465">
        <w:rPr>
          <w:rFonts w:ascii="Times New Roman" w:hAnsi="Times New Roman"/>
          <w:bCs/>
          <w:sz w:val="24"/>
          <w:szCs w:val="24"/>
        </w:rPr>
        <w:t>a</w:t>
      </w:r>
      <w:r w:rsidR="00B7054C" w:rsidRPr="008B1465">
        <w:rPr>
          <w:rFonts w:ascii="Times New Roman" w:hAnsi="Times New Roman"/>
          <w:bCs/>
          <w:sz w:val="24"/>
          <w:szCs w:val="24"/>
        </w:rPr>
        <w:t xml:space="preserve">mong Federal Universities </w:t>
      </w:r>
      <w:r w:rsidR="003C3290" w:rsidRPr="008B1465">
        <w:rPr>
          <w:rFonts w:ascii="Times New Roman" w:hAnsi="Times New Roman"/>
          <w:bCs/>
          <w:sz w:val="24"/>
          <w:szCs w:val="24"/>
        </w:rPr>
        <w:t>i</w:t>
      </w:r>
      <w:r w:rsidR="00B7054C" w:rsidRPr="008B1465">
        <w:rPr>
          <w:rFonts w:ascii="Times New Roman" w:hAnsi="Times New Roman"/>
          <w:bCs/>
          <w:sz w:val="24"/>
          <w:szCs w:val="24"/>
        </w:rPr>
        <w:t>n Southwest, Nigeria</w:t>
      </w:r>
    </w:p>
    <w:p w14:paraId="5F3D78F6" w14:textId="77777777" w:rsidR="00B441FF" w:rsidRPr="008B1465" w:rsidRDefault="00B441FF" w:rsidP="00B441FF">
      <w:pPr>
        <w:jc w:val="both"/>
        <w:rPr>
          <w:rFonts w:ascii="Times New Roman" w:hAnsi="Times New Roman"/>
          <w:bCs/>
          <w:sz w:val="24"/>
          <w:szCs w:val="24"/>
        </w:rPr>
      </w:pPr>
    </w:p>
    <w:p w14:paraId="545651C1" w14:textId="360B91DB" w:rsidR="00B441FF" w:rsidRPr="008B1465" w:rsidRDefault="00325213" w:rsidP="00B441FF">
      <w:pPr>
        <w:jc w:val="both"/>
        <w:rPr>
          <w:rFonts w:ascii="Times New Roman" w:hAnsi="Times New Roman"/>
          <w:bCs/>
          <w:sz w:val="24"/>
          <w:szCs w:val="24"/>
        </w:rPr>
      </w:pPr>
      <w:r w:rsidRPr="008B1465">
        <w:rPr>
          <w:rFonts w:ascii="Times New Roman" w:hAnsi="Times New Roman"/>
          <w:bCs/>
          <w:sz w:val="24"/>
          <w:szCs w:val="24"/>
        </w:rPr>
        <w:t xml:space="preserve">DEGREE:  </w:t>
      </w:r>
      <w:r w:rsidR="00B441FF" w:rsidRPr="008B1465">
        <w:rPr>
          <w:rFonts w:ascii="Times New Roman" w:hAnsi="Times New Roman"/>
          <w:bCs/>
          <w:sz w:val="24"/>
          <w:szCs w:val="24"/>
        </w:rPr>
        <w:t>Ph.D</w:t>
      </w:r>
      <w:r w:rsidR="00F94DB7" w:rsidRPr="008B1465">
        <w:rPr>
          <w:rFonts w:ascii="Times New Roman" w:hAnsi="Times New Roman"/>
          <w:bCs/>
          <w:sz w:val="24"/>
          <w:szCs w:val="24"/>
        </w:rPr>
        <w:t xml:space="preserve">. </w:t>
      </w:r>
      <w:r w:rsidR="00B441FF" w:rsidRPr="008B1465">
        <w:rPr>
          <w:rFonts w:ascii="Times New Roman" w:hAnsi="Times New Roman"/>
          <w:bCs/>
          <w:sz w:val="24"/>
          <w:szCs w:val="24"/>
        </w:rPr>
        <w:t>(</w:t>
      </w:r>
      <w:r w:rsidR="00F94DB7" w:rsidRPr="008B1465">
        <w:rPr>
          <w:rFonts w:ascii="Times New Roman" w:hAnsi="Times New Roman"/>
          <w:bCs/>
          <w:sz w:val="24"/>
          <w:szCs w:val="24"/>
        </w:rPr>
        <w:t>Accounting</w:t>
      </w:r>
      <w:r w:rsidR="00B441FF" w:rsidRPr="008B1465">
        <w:rPr>
          <w:rFonts w:ascii="Times New Roman" w:hAnsi="Times New Roman"/>
          <w:bCs/>
          <w:sz w:val="24"/>
          <w:szCs w:val="24"/>
        </w:rPr>
        <w:t>)</w:t>
      </w:r>
    </w:p>
    <w:p w14:paraId="0E8B3188" w14:textId="77777777" w:rsidR="00B441FF" w:rsidRPr="008B1465" w:rsidRDefault="00B441FF" w:rsidP="00B441FF">
      <w:pPr>
        <w:jc w:val="both"/>
        <w:rPr>
          <w:rFonts w:ascii="Times New Roman" w:hAnsi="Times New Roman"/>
          <w:bCs/>
          <w:sz w:val="24"/>
          <w:szCs w:val="24"/>
        </w:rPr>
      </w:pPr>
    </w:p>
    <w:p w14:paraId="0CF7EEC6" w14:textId="1D705BF6" w:rsidR="00B441FF" w:rsidRPr="008B1465" w:rsidRDefault="00E80B02" w:rsidP="00B441FF">
      <w:pPr>
        <w:jc w:val="both"/>
        <w:rPr>
          <w:rFonts w:ascii="Times New Roman" w:hAnsi="Times New Roman"/>
          <w:bCs/>
          <w:sz w:val="24"/>
          <w:szCs w:val="24"/>
        </w:rPr>
      </w:pPr>
      <w:r w:rsidRPr="008B1465">
        <w:rPr>
          <w:rFonts w:ascii="Times New Roman" w:hAnsi="Times New Roman"/>
          <w:bCs/>
          <w:sz w:val="24"/>
          <w:szCs w:val="24"/>
        </w:rPr>
        <w:t xml:space="preserve">YEAR: </w:t>
      </w:r>
      <w:r w:rsidR="00B441FF" w:rsidRPr="008B1465">
        <w:rPr>
          <w:rFonts w:ascii="Times New Roman" w:hAnsi="Times New Roman"/>
          <w:bCs/>
          <w:sz w:val="24"/>
          <w:szCs w:val="24"/>
        </w:rPr>
        <w:t>2023</w:t>
      </w:r>
    </w:p>
    <w:p w14:paraId="66A76440" w14:textId="4C4E7F5C" w:rsidR="00AA344F" w:rsidRPr="008B1465" w:rsidRDefault="00B441FF" w:rsidP="00B441FF">
      <w:pPr>
        <w:spacing w:line="480" w:lineRule="auto"/>
        <w:jc w:val="both"/>
        <w:rPr>
          <w:rFonts w:ascii="Times New Roman" w:hAnsi="Times New Roman"/>
          <w:bCs/>
          <w:sz w:val="24"/>
          <w:szCs w:val="24"/>
        </w:rPr>
      </w:pPr>
      <w:r w:rsidRPr="008B1465">
        <w:rPr>
          <w:rFonts w:ascii="Times New Roman" w:hAnsi="Times New Roman"/>
          <w:bCs/>
          <w:sz w:val="24"/>
          <w:szCs w:val="24"/>
        </w:rPr>
        <w:t xml:space="preserve">I, </w:t>
      </w:r>
      <w:r w:rsidR="00F94DB7" w:rsidRPr="008B1465">
        <w:rPr>
          <w:rFonts w:ascii="Times New Roman" w:hAnsi="Times New Roman"/>
          <w:bCs/>
          <w:sz w:val="24"/>
          <w:szCs w:val="24"/>
        </w:rPr>
        <w:t>Alexander Tunde</w:t>
      </w:r>
      <w:r w:rsidR="00AD0F2E" w:rsidRPr="008B1465">
        <w:rPr>
          <w:rFonts w:ascii="Times New Roman" w:hAnsi="Times New Roman"/>
          <w:bCs/>
          <w:sz w:val="24"/>
          <w:szCs w:val="24"/>
        </w:rPr>
        <w:t xml:space="preserve"> </w:t>
      </w:r>
      <w:r w:rsidR="00E80B02" w:rsidRPr="008B1465">
        <w:rPr>
          <w:rFonts w:ascii="Times New Roman" w:hAnsi="Times New Roman"/>
          <w:b/>
          <w:sz w:val="24"/>
          <w:szCs w:val="24"/>
        </w:rPr>
        <w:t>OGUNTUASE</w:t>
      </w:r>
      <w:r w:rsidRPr="008B1465">
        <w:rPr>
          <w:rFonts w:ascii="Times New Roman" w:hAnsi="Times New Roman"/>
          <w:bCs/>
          <w:sz w:val="24"/>
          <w:szCs w:val="24"/>
        </w:rPr>
        <w:t xml:space="preserve">, hereby authorize the Crawford University library to copy my </w:t>
      </w:r>
      <w:r w:rsidR="00710E6A" w:rsidRPr="008B1465">
        <w:rPr>
          <w:rFonts w:ascii="Times New Roman" w:hAnsi="Times New Roman"/>
          <w:bCs/>
          <w:sz w:val="24"/>
          <w:szCs w:val="24"/>
        </w:rPr>
        <w:t>t</w:t>
      </w:r>
      <w:r w:rsidRPr="008B1465">
        <w:rPr>
          <w:rFonts w:ascii="Times New Roman" w:hAnsi="Times New Roman"/>
          <w:bCs/>
          <w:sz w:val="24"/>
          <w:szCs w:val="24"/>
        </w:rPr>
        <w:t>hesis in whole or in part in response to request of individual researcher and organization for the purpose of private study or research.</w:t>
      </w:r>
      <w:r w:rsidRPr="008B1465">
        <w:rPr>
          <w:rFonts w:ascii="Times New Roman" w:hAnsi="Times New Roman"/>
          <w:bCs/>
          <w:sz w:val="24"/>
          <w:szCs w:val="24"/>
        </w:rPr>
        <w:tab/>
      </w:r>
    </w:p>
    <w:p w14:paraId="3FBEBCD3" w14:textId="1B174464" w:rsidR="003727A7" w:rsidRPr="008B1465" w:rsidRDefault="00B441FF" w:rsidP="00B441FF">
      <w:pPr>
        <w:spacing w:line="480" w:lineRule="auto"/>
        <w:jc w:val="both"/>
        <w:rPr>
          <w:rFonts w:ascii="Times New Roman" w:hAnsi="Times New Roman"/>
          <w:bCs/>
          <w:sz w:val="24"/>
          <w:szCs w:val="24"/>
        </w:rPr>
      </w:pPr>
      <w:r w:rsidRPr="008B1465">
        <w:rPr>
          <w:rFonts w:ascii="Times New Roman" w:hAnsi="Times New Roman"/>
          <w:bCs/>
          <w:sz w:val="24"/>
          <w:szCs w:val="24"/>
        </w:rPr>
        <w:tab/>
      </w:r>
      <w:r w:rsidRPr="008B1465">
        <w:rPr>
          <w:rFonts w:ascii="Times New Roman" w:hAnsi="Times New Roman"/>
          <w:bCs/>
          <w:sz w:val="24"/>
          <w:szCs w:val="24"/>
        </w:rPr>
        <w:tab/>
      </w:r>
      <w:r w:rsidRPr="008B1465">
        <w:rPr>
          <w:rFonts w:ascii="Times New Roman" w:hAnsi="Times New Roman"/>
          <w:bCs/>
          <w:sz w:val="24"/>
          <w:szCs w:val="24"/>
        </w:rPr>
        <w:tab/>
      </w:r>
      <w:r w:rsidRPr="008B1465">
        <w:rPr>
          <w:rFonts w:ascii="Times New Roman" w:hAnsi="Times New Roman"/>
          <w:bCs/>
          <w:sz w:val="24"/>
          <w:szCs w:val="24"/>
        </w:rPr>
        <w:tab/>
      </w:r>
      <w:r w:rsidRPr="008B1465">
        <w:rPr>
          <w:rFonts w:ascii="Times New Roman" w:hAnsi="Times New Roman"/>
          <w:bCs/>
          <w:sz w:val="24"/>
          <w:szCs w:val="24"/>
        </w:rPr>
        <w:tab/>
      </w:r>
      <w:r w:rsidRPr="008B1465">
        <w:rPr>
          <w:rFonts w:ascii="Times New Roman" w:hAnsi="Times New Roman"/>
          <w:bCs/>
          <w:sz w:val="24"/>
          <w:szCs w:val="24"/>
        </w:rPr>
        <w:tab/>
      </w:r>
      <w:r w:rsidRPr="008B1465">
        <w:rPr>
          <w:rFonts w:ascii="Times New Roman" w:hAnsi="Times New Roman"/>
          <w:bCs/>
          <w:sz w:val="24"/>
          <w:szCs w:val="24"/>
        </w:rPr>
        <w:tab/>
      </w:r>
      <w:r w:rsidRPr="008B1465">
        <w:rPr>
          <w:rFonts w:ascii="Times New Roman" w:hAnsi="Times New Roman"/>
          <w:bCs/>
          <w:sz w:val="24"/>
          <w:szCs w:val="24"/>
        </w:rPr>
        <w:tab/>
      </w:r>
      <w:r w:rsidRPr="008B1465">
        <w:rPr>
          <w:rFonts w:ascii="Times New Roman" w:hAnsi="Times New Roman"/>
          <w:bCs/>
          <w:sz w:val="24"/>
          <w:szCs w:val="24"/>
        </w:rPr>
        <w:tab/>
      </w:r>
      <w:r w:rsidRPr="008B1465">
        <w:rPr>
          <w:rFonts w:ascii="Times New Roman" w:hAnsi="Times New Roman"/>
          <w:bCs/>
          <w:sz w:val="24"/>
          <w:szCs w:val="24"/>
        </w:rPr>
        <w:tab/>
      </w:r>
      <w:r w:rsidRPr="008B1465">
        <w:rPr>
          <w:rFonts w:ascii="Times New Roman" w:hAnsi="Times New Roman"/>
          <w:bCs/>
          <w:sz w:val="24"/>
          <w:szCs w:val="24"/>
        </w:rPr>
        <w:tab/>
      </w:r>
    </w:p>
    <w:tbl>
      <w:tblPr>
        <w:tblW w:w="0" w:type="auto"/>
        <w:tblInd w:w="108" w:type="dxa"/>
        <w:tblLook w:val="04A0" w:firstRow="1" w:lastRow="0" w:firstColumn="1" w:lastColumn="0" w:noHBand="0" w:noVBand="1"/>
      </w:tblPr>
      <w:tblGrid>
        <w:gridCol w:w="2479"/>
        <w:gridCol w:w="4551"/>
        <w:gridCol w:w="2222"/>
      </w:tblGrid>
      <w:tr w:rsidR="003727A7" w:rsidRPr="008B1465" w14:paraId="13D4AC11" w14:textId="77777777" w:rsidTr="00AA344F">
        <w:tc>
          <w:tcPr>
            <w:tcW w:w="2520" w:type="dxa"/>
            <w:tcBorders>
              <w:top w:val="single" w:sz="4" w:space="0" w:color="auto"/>
            </w:tcBorders>
            <w:vAlign w:val="center"/>
          </w:tcPr>
          <w:p w14:paraId="330A6531" w14:textId="1D7CB224" w:rsidR="003727A7" w:rsidRPr="008B1465" w:rsidRDefault="003727A7" w:rsidP="00AA344F">
            <w:pPr>
              <w:spacing w:before="120" w:beforeAutospacing="0" w:line="480" w:lineRule="auto"/>
              <w:jc w:val="center"/>
              <w:rPr>
                <w:rFonts w:ascii="Times New Roman" w:hAnsi="Times New Roman"/>
                <w:bCs/>
                <w:sz w:val="24"/>
                <w:szCs w:val="24"/>
              </w:rPr>
            </w:pPr>
            <w:r w:rsidRPr="008B1465">
              <w:rPr>
                <w:rFonts w:ascii="Times New Roman" w:hAnsi="Times New Roman"/>
                <w:bCs/>
                <w:sz w:val="24"/>
                <w:szCs w:val="24"/>
              </w:rPr>
              <w:t>Signature</w:t>
            </w:r>
          </w:p>
        </w:tc>
        <w:tc>
          <w:tcPr>
            <w:tcW w:w="4680" w:type="dxa"/>
            <w:vAlign w:val="center"/>
          </w:tcPr>
          <w:p w14:paraId="30D8E676" w14:textId="77777777" w:rsidR="003727A7" w:rsidRPr="008B1465" w:rsidRDefault="003727A7" w:rsidP="003727A7">
            <w:pPr>
              <w:spacing w:line="480" w:lineRule="auto"/>
              <w:jc w:val="center"/>
              <w:rPr>
                <w:rFonts w:ascii="Times New Roman" w:hAnsi="Times New Roman"/>
                <w:bCs/>
                <w:sz w:val="24"/>
                <w:szCs w:val="24"/>
              </w:rPr>
            </w:pPr>
          </w:p>
        </w:tc>
        <w:tc>
          <w:tcPr>
            <w:tcW w:w="2268" w:type="dxa"/>
            <w:tcBorders>
              <w:top w:val="single" w:sz="4" w:space="0" w:color="auto"/>
            </w:tcBorders>
            <w:vAlign w:val="center"/>
          </w:tcPr>
          <w:p w14:paraId="0C0E18A8" w14:textId="3E22FCC3" w:rsidR="003727A7" w:rsidRPr="008B1465" w:rsidRDefault="003727A7" w:rsidP="00AA344F">
            <w:pPr>
              <w:spacing w:before="120" w:beforeAutospacing="0" w:line="480" w:lineRule="auto"/>
              <w:jc w:val="center"/>
              <w:rPr>
                <w:rFonts w:ascii="Times New Roman" w:hAnsi="Times New Roman"/>
                <w:bCs/>
                <w:sz w:val="24"/>
                <w:szCs w:val="24"/>
              </w:rPr>
            </w:pPr>
            <w:r w:rsidRPr="008B1465">
              <w:rPr>
                <w:rFonts w:ascii="Times New Roman" w:hAnsi="Times New Roman"/>
                <w:bCs/>
                <w:sz w:val="24"/>
                <w:szCs w:val="24"/>
              </w:rPr>
              <w:t>Date</w:t>
            </w:r>
          </w:p>
        </w:tc>
      </w:tr>
    </w:tbl>
    <w:p w14:paraId="0F25E684" w14:textId="59FFA737" w:rsidR="00B441FF" w:rsidRPr="008B1465" w:rsidRDefault="00B441FF" w:rsidP="00B441FF">
      <w:pPr>
        <w:spacing w:line="480" w:lineRule="auto"/>
        <w:jc w:val="both"/>
        <w:rPr>
          <w:rFonts w:ascii="Times New Roman" w:hAnsi="Times New Roman"/>
          <w:bCs/>
          <w:sz w:val="24"/>
          <w:szCs w:val="24"/>
        </w:rPr>
      </w:pPr>
      <w:r w:rsidRPr="008B1465">
        <w:rPr>
          <w:rFonts w:ascii="Times New Roman" w:hAnsi="Times New Roman"/>
          <w:bCs/>
          <w:sz w:val="24"/>
          <w:szCs w:val="24"/>
        </w:rPr>
        <w:tab/>
      </w:r>
      <w:r w:rsidRPr="008B1465">
        <w:rPr>
          <w:rFonts w:ascii="Times New Roman" w:hAnsi="Times New Roman"/>
          <w:bCs/>
          <w:sz w:val="24"/>
          <w:szCs w:val="24"/>
        </w:rPr>
        <w:tab/>
      </w:r>
    </w:p>
    <w:p w14:paraId="43E659AC" w14:textId="07A7743D" w:rsidR="00B441FF" w:rsidRPr="008B1465" w:rsidRDefault="00B441FF" w:rsidP="00B441FF">
      <w:pPr>
        <w:ind w:firstLine="720"/>
        <w:jc w:val="both"/>
        <w:rPr>
          <w:rFonts w:ascii="Times New Roman" w:hAnsi="Times New Roman"/>
          <w:bCs/>
          <w:sz w:val="24"/>
          <w:szCs w:val="24"/>
        </w:rPr>
      </w:pPr>
      <w:r w:rsidRPr="008B1465">
        <w:rPr>
          <w:rFonts w:ascii="Times New Roman" w:hAnsi="Times New Roman"/>
          <w:bCs/>
          <w:sz w:val="24"/>
          <w:szCs w:val="24"/>
        </w:rPr>
        <w:tab/>
      </w:r>
      <w:r w:rsidRPr="008B1465">
        <w:rPr>
          <w:rFonts w:ascii="Times New Roman" w:hAnsi="Times New Roman"/>
          <w:bCs/>
          <w:sz w:val="24"/>
          <w:szCs w:val="24"/>
        </w:rPr>
        <w:tab/>
      </w:r>
      <w:r w:rsidRPr="008B1465">
        <w:rPr>
          <w:rFonts w:ascii="Times New Roman" w:hAnsi="Times New Roman"/>
          <w:bCs/>
          <w:sz w:val="24"/>
          <w:szCs w:val="24"/>
        </w:rPr>
        <w:tab/>
      </w:r>
      <w:r w:rsidRPr="008B1465">
        <w:rPr>
          <w:rFonts w:ascii="Times New Roman" w:hAnsi="Times New Roman"/>
          <w:bCs/>
          <w:sz w:val="24"/>
          <w:szCs w:val="24"/>
        </w:rPr>
        <w:tab/>
      </w:r>
      <w:r w:rsidRPr="008B1465">
        <w:rPr>
          <w:rFonts w:ascii="Times New Roman" w:hAnsi="Times New Roman"/>
          <w:bCs/>
          <w:sz w:val="24"/>
          <w:szCs w:val="24"/>
        </w:rPr>
        <w:tab/>
      </w:r>
      <w:r w:rsidRPr="008B1465">
        <w:rPr>
          <w:rFonts w:ascii="Times New Roman" w:hAnsi="Times New Roman"/>
          <w:bCs/>
          <w:sz w:val="24"/>
          <w:szCs w:val="24"/>
        </w:rPr>
        <w:tab/>
      </w:r>
      <w:r w:rsidRPr="008B1465">
        <w:rPr>
          <w:rFonts w:ascii="Times New Roman" w:hAnsi="Times New Roman"/>
          <w:bCs/>
          <w:sz w:val="24"/>
          <w:szCs w:val="24"/>
        </w:rPr>
        <w:tab/>
      </w:r>
      <w:r w:rsidRPr="008B1465">
        <w:rPr>
          <w:rFonts w:ascii="Times New Roman" w:hAnsi="Times New Roman"/>
          <w:bCs/>
          <w:sz w:val="24"/>
          <w:szCs w:val="24"/>
        </w:rPr>
        <w:tab/>
        <w:t xml:space="preserve">                </w:t>
      </w:r>
    </w:p>
    <w:p w14:paraId="770AFF23" w14:textId="77777777" w:rsidR="00B441FF" w:rsidRPr="008B1465" w:rsidRDefault="00B441FF" w:rsidP="00B441FF">
      <w:pPr>
        <w:jc w:val="both"/>
        <w:rPr>
          <w:rFonts w:ascii="Times New Roman" w:hAnsi="Times New Roman"/>
          <w:b/>
          <w:sz w:val="24"/>
          <w:szCs w:val="24"/>
        </w:rPr>
      </w:pPr>
    </w:p>
    <w:p w14:paraId="394848A8" w14:textId="3EBDE6BB" w:rsidR="00796856" w:rsidRPr="008B1465" w:rsidRDefault="00796856" w:rsidP="00796856">
      <w:pPr>
        <w:spacing w:before="0" w:beforeAutospacing="0" w:after="160" w:line="259" w:lineRule="auto"/>
        <w:rPr>
          <w:rFonts w:ascii="Times New Roman" w:eastAsiaTheme="majorEastAsia" w:hAnsi="Times New Roman" w:cstheme="majorBidi"/>
          <w:b/>
          <w:sz w:val="32"/>
          <w:szCs w:val="32"/>
        </w:rPr>
      </w:pPr>
    </w:p>
    <w:p w14:paraId="2518286E" w14:textId="77777777" w:rsidR="00796856" w:rsidRPr="008B1465" w:rsidRDefault="00796856" w:rsidP="007E62FE">
      <w:pPr>
        <w:pStyle w:val="Heading1"/>
        <w:numPr>
          <w:ilvl w:val="0"/>
          <w:numId w:val="0"/>
        </w:numPr>
        <w:spacing w:line="360" w:lineRule="auto"/>
      </w:pPr>
      <w:bookmarkStart w:id="6" w:name="_Toc145951060"/>
      <w:r w:rsidRPr="008B1465">
        <w:t>CERTIFICATION</w:t>
      </w:r>
      <w:bookmarkEnd w:id="6"/>
    </w:p>
    <w:p w14:paraId="79E8C2F8" w14:textId="50D72957" w:rsidR="00EB252E" w:rsidRPr="008B1465" w:rsidRDefault="009D1A15" w:rsidP="00B116D6">
      <w:pPr>
        <w:tabs>
          <w:tab w:val="left" w:pos="3405"/>
        </w:tabs>
        <w:jc w:val="both"/>
        <w:rPr>
          <w:rFonts w:ascii="Times New Roman" w:hAnsi="Times New Roman"/>
          <w:bCs/>
          <w:i/>
          <w:sz w:val="24"/>
          <w:szCs w:val="24"/>
        </w:rPr>
      </w:pPr>
      <w:r w:rsidRPr="008B1465">
        <w:rPr>
          <w:rFonts w:ascii="Times New Roman" w:hAnsi="Times New Roman"/>
          <w:bCs/>
          <w:sz w:val="24"/>
          <w:szCs w:val="24"/>
        </w:rPr>
        <w:t>This Thesis with the title</w:t>
      </w:r>
      <w:r w:rsidRPr="008B1465">
        <w:rPr>
          <w:rFonts w:ascii="Times New Roman" w:hAnsi="Times New Roman"/>
          <w:bCs/>
          <w:i/>
          <w:sz w:val="24"/>
          <w:szCs w:val="24"/>
        </w:rPr>
        <w:t xml:space="preserve"> </w:t>
      </w:r>
      <w:r w:rsidR="00796856" w:rsidRPr="008B1465">
        <w:rPr>
          <w:rFonts w:ascii="Times New Roman" w:hAnsi="Times New Roman"/>
          <w:sz w:val="24"/>
          <w:szCs w:val="24"/>
        </w:rPr>
        <w:t xml:space="preserve">“Forensic Accounting Techniques and Financial Misconduct among Federal Universities in Southwest, Nigeria” </w:t>
      </w:r>
      <w:r w:rsidR="00214060" w:rsidRPr="008B1465">
        <w:rPr>
          <w:rFonts w:ascii="Times New Roman" w:hAnsi="Times New Roman"/>
          <w:bCs/>
          <w:sz w:val="24"/>
          <w:szCs w:val="24"/>
        </w:rPr>
        <w:t xml:space="preserve">Submitted by </w:t>
      </w:r>
      <w:r w:rsidR="00796856" w:rsidRPr="008B1465">
        <w:rPr>
          <w:rFonts w:ascii="Times New Roman" w:hAnsi="Times New Roman"/>
          <w:sz w:val="24"/>
          <w:szCs w:val="24"/>
        </w:rPr>
        <w:t>Alexander Tunde</w:t>
      </w:r>
      <w:r w:rsidR="00214060" w:rsidRPr="008B1465">
        <w:rPr>
          <w:rFonts w:ascii="Times New Roman" w:hAnsi="Times New Roman"/>
          <w:sz w:val="24"/>
          <w:szCs w:val="24"/>
        </w:rPr>
        <w:t xml:space="preserve"> OGUNTUASE </w:t>
      </w:r>
      <w:r w:rsidR="00EB252E" w:rsidRPr="008B1465">
        <w:rPr>
          <w:rFonts w:ascii="Times New Roman" w:hAnsi="Times New Roman"/>
          <w:bCs/>
          <w:sz w:val="24"/>
          <w:szCs w:val="24"/>
        </w:rPr>
        <w:t>was carried out under our Supervision at Crawford University, Igbesa</w:t>
      </w:r>
      <w:r w:rsidR="00967F95">
        <w:rPr>
          <w:rFonts w:ascii="Times New Roman" w:hAnsi="Times New Roman"/>
          <w:bCs/>
          <w:sz w:val="24"/>
          <w:szCs w:val="24"/>
        </w:rPr>
        <w:t>, Ogun State</w:t>
      </w:r>
      <w:r w:rsidR="001620BB">
        <w:rPr>
          <w:rFonts w:ascii="Times New Roman" w:hAnsi="Times New Roman"/>
          <w:bCs/>
          <w:sz w:val="24"/>
          <w:szCs w:val="24"/>
        </w:rPr>
        <w:t>, Nigeria.</w:t>
      </w:r>
    </w:p>
    <w:p w14:paraId="18256A5F" w14:textId="718CACC3" w:rsidR="00796856" w:rsidRPr="008B1465" w:rsidRDefault="00796856" w:rsidP="00EB252E">
      <w:pPr>
        <w:pStyle w:val="NoSpacing"/>
        <w:spacing w:line="360" w:lineRule="auto"/>
        <w:jc w:val="both"/>
        <w:rPr>
          <w:rFonts w:ascii="Times New Roman" w:hAnsi="Times New Roman"/>
          <w:sz w:val="24"/>
          <w:szCs w:val="24"/>
        </w:rPr>
      </w:pPr>
    </w:p>
    <w:p w14:paraId="6E6E6C84" w14:textId="77777777" w:rsidR="00796856" w:rsidRPr="008B1465" w:rsidRDefault="00796856" w:rsidP="00796856">
      <w:pPr>
        <w:pStyle w:val="NoSpacing"/>
      </w:pPr>
    </w:p>
    <w:p w14:paraId="1D45F206" w14:textId="77777777" w:rsidR="00796856" w:rsidRPr="008B1465" w:rsidRDefault="00796856" w:rsidP="00796856">
      <w:pPr>
        <w:pStyle w:val="NoSpacing"/>
      </w:pPr>
    </w:p>
    <w:p w14:paraId="1F62A394" w14:textId="4F1CEFDB" w:rsidR="00796856" w:rsidRPr="008B1465" w:rsidRDefault="00796856" w:rsidP="00796856">
      <w:pPr>
        <w:pStyle w:val="NoSpacing"/>
      </w:pPr>
    </w:p>
    <w:tbl>
      <w:tblPr>
        <w:tblW w:w="9360" w:type="dxa"/>
        <w:jc w:val="center"/>
        <w:tblLook w:val="04A0" w:firstRow="1" w:lastRow="0" w:firstColumn="1" w:lastColumn="0" w:noHBand="0" w:noVBand="1"/>
      </w:tblPr>
      <w:tblGrid>
        <w:gridCol w:w="2341"/>
        <w:gridCol w:w="2838"/>
        <w:gridCol w:w="2054"/>
        <w:gridCol w:w="2127"/>
      </w:tblGrid>
      <w:tr w:rsidR="00633F3D" w:rsidRPr="008B1465" w14:paraId="5B9E5514" w14:textId="77777777" w:rsidTr="00633F3D">
        <w:trPr>
          <w:trHeight w:val="1835"/>
          <w:jc w:val="center"/>
        </w:trPr>
        <w:tc>
          <w:tcPr>
            <w:tcW w:w="2341" w:type="dxa"/>
            <w:tcBorders>
              <w:top w:val="single" w:sz="4" w:space="0" w:color="auto"/>
            </w:tcBorders>
          </w:tcPr>
          <w:p w14:paraId="31FE13DF" w14:textId="301A11AD" w:rsidR="00633F3D" w:rsidRPr="008B1465" w:rsidRDefault="00633F3D" w:rsidP="00587BFC">
            <w:pPr>
              <w:pStyle w:val="NoSpacing"/>
              <w:jc w:val="center"/>
              <w:rPr>
                <w:rFonts w:ascii="Times New Roman" w:hAnsi="Times New Roman"/>
                <w:sz w:val="24"/>
                <w:szCs w:val="24"/>
              </w:rPr>
            </w:pPr>
            <w:r w:rsidRPr="008B1465">
              <w:rPr>
                <w:rFonts w:ascii="Times New Roman" w:hAnsi="Times New Roman"/>
                <w:sz w:val="24"/>
                <w:szCs w:val="24"/>
              </w:rPr>
              <w:t>Professor J. Olabisi</w:t>
            </w:r>
          </w:p>
          <w:p w14:paraId="7324F1F6" w14:textId="77777777" w:rsidR="00A743FA" w:rsidRPr="008B1465" w:rsidRDefault="00A743FA" w:rsidP="00587BFC">
            <w:pPr>
              <w:pStyle w:val="NoSpacing"/>
              <w:jc w:val="center"/>
              <w:rPr>
                <w:rFonts w:ascii="Times New Roman" w:hAnsi="Times New Roman"/>
                <w:sz w:val="24"/>
                <w:szCs w:val="24"/>
              </w:rPr>
            </w:pPr>
          </w:p>
          <w:p w14:paraId="38366E50" w14:textId="77777777" w:rsidR="00633F3D" w:rsidRPr="008B1465" w:rsidRDefault="00633F3D" w:rsidP="00587BFC">
            <w:pPr>
              <w:pStyle w:val="NoSpacing"/>
              <w:jc w:val="center"/>
              <w:rPr>
                <w:rFonts w:ascii="Times New Roman" w:hAnsi="Times New Roman"/>
                <w:b/>
                <w:bCs/>
                <w:sz w:val="24"/>
                <w:szCs w:val="24"/>
              </w:rPr>
            </w:pPr>
            <w:r w:rsidRPr="008B1465">
              <w:rPr>
                <w:rFonts w:ascii="Times New Roman" w:hAnsi="Times New Roman"/>
                <w:b/>
                <w:bCs/>
                <w:sz w:val="24"/>
                <w:szCs w:val="24"/>
              </w:rPr>
              <w:t>Supervisor</w:t>
            </w:r>
          </w:p>
          <w:p w14:paraId="54B18B3A" w14:textId="2E1335A7" w:rsidR="00633F3D" w:rsidRPr="008B1465" w:rsidRDefault="00633F3D" w:rsidP="00587BFC">
            <w:pPr>
              <w:pStyle w:val="NoSpacing"/>
              <w:jc w:val="center"/>
            </w:pPr>
          </w:p>
        </w:tc>
        <w:tc>
          <w:tcPr>
            <w:tcW w:w="2838" w:type="dxa"/>
          </w:tcPr>
          <w:p w14:paraId="3A372316" w14:textId="77777777" w:rsidR="00633F3D" w:rsidRPr="008B1465" w:rsidRDefault="00633F3D" w:rsidP="00587BFC">
            <w:pPr>
              <w:pStyle w:val="NoSpacing"/>
              <w:jc w:val="center"/>
            </w:pPr>
          </w:p>
        </w:tc>
        <w:tc>
          <w:tcPr>
            <w:tcW w:w="2054" w:type="dxa"/>
          </w:tcPr>
          <w:p w14:paraId="52166818" w14:textId="77777777" w:rsidR="00633F3D" w:rsidRPr="008B1465" w:rsidRDefault="00633F3D" w:rsidP="00587BFC">
            <w:pPr>
              <w:pStyle w:val="NoSpacing"/>
              <w:jc w:val="center"/>
              <w:rPr>
                <w:rFonts w:ascii="Times New Roman" w:hAnsi="Times New Roman"/>
                <w:sz w:val="24"/>
                <w:szCs w:val="24"/>
                <w:u w:val="dotted"/>
              </w:rPr>
            </w:pPr>
          </w:p>
        </w:tc>
        <w:tc>
          <w:tcPr>
            <w:tcW w:w="2127" w:type="dxa"/>
            <w:tcBorders>
              <w:top w:val="single" w:sz="4" w:space="0" w:color="auto"/>
            </w:tcBorders>
          </w:tcPr>
          <w:p w14:paraId="7049D5DC" w14:textId="2BC57B42" w:rsidR="00633F3D" w:rsidRPr="008B1465" w:rsidRDefault="00633F3D" w:rsidP="00587BFC">
            <w:pPr>
              <w:pStyle w:val="NoSpacing"/>
              <w:jc w:val="center"/>
            </w:pPr>
            <w:r w:rsidRPr="008B1465">
              <w:rPr>
                <w:rFonts w:ascii="Times New Roman" w:hAnsi="Times New Roman"/>
                <w:sz w:val="24"/>
                <w:szCs w:val="24"/>
              </w:rPr>
              <w:t>Date</w:t>
            </w:r>
          </w:p>
        </w:tc>
      </w:tr>
      <w:tr w:rsidR="00633F3D" w:rsidRPr="008B1465" w14:paraId="73D5D419" w14:textId="77777777" w:rsidTr="00633F3D">
        <w:trPr>
          <w:trHeight w:val="1120"/>
          <w:jc w:val="center"/>
        </w:trPr>
        <w:tc>
          <w:tcPr>
            <w:tcW w:w="2341" w:type="dxa"/>
            <w:tcBorders>
              <w:bottom w:val="single" w:sz="4" w:space="0" w:color="auto"/>
            </w:tcBorders>
          </w:tcPr>
          <w:p w14:paraId="6432B95A" w14:textId="77777777" w:rsidR="00633F3D" w:rsidRPr="008B1465" w:rsidRDefault="00633F3D" w:rsidP="00587BFC">
            <w:pPr>
              <w:pStyle w:val="NoSpacing"/>
              <w:jc w:val="center"/>
            </w:pPr>
          </w:p>
        </w:tc>
        <w:tc>
          <w:tcPr>
            <w:tcW w:w="2838" w:type="dxa"/>
          </w:tcPr>
          <w:p w14:paraId="08FDB0C7" w14:textId="77777777" w:rsidR="00633F3D" w:rsidRPr="008B1465" w:rsidRDefault="00633F3D" w:rsidP="00587BFC">
            <w:pPr>
              <w:pStyle w:val="NoSpacing"/>
              <w:jc w:val="center"/>
            </w:pPr>
          </w:p>
        </w:tc>
        <w:tc>
          <w:tcPr>
            <w:tcW w:w="2054" w:type="dxa"/>
          </w:tcPr>
          <w:p w14:paraId="79613ADB" w14:textId="77777777" w:rsidR="00633F3D" w:rsidRPr="008B1465" w:rsidRDefault="00633F3D" w:rsidP="00587BFC">
            <w:pPr>
              <w:pStyle w:val="NoSpacing"/>
              <w:jc w:val="center"/>
              <w:rPr>
                <w:u w:val="dotted"/>
              </w:rPr>
            </w:pPr>
          </w:p>
        </w:tc>
        <w:tc>
          <w:tcPr>
            <w:tcW w:w="2127" w:type="dxa"/>
            <w:tcBorders>
              <w:bottom w:val="single" w:sz="4" w:space="0" w:color="auto"/>
            </w:tcBorders>
          </w:tcPr>
          <w:p w14:paraId="0773782C" w14:textId="40A447BF" w:rsidR="00633F3D" w:rsidRPr="008B1465" w:rsidRDefault="00633F3D" w:rsidP="00587BFC">
            <w:pPr>
              <w:pStyle w:val="NoSpacing"/>
              <w:jc w:val="center"/>
            </w:pPr>
          </w:p>
        </w:tc>
      </w:tr>
      <w:tr w:rsidR="00633F3D" w:rsidRPr="008B1465" w14:paraId="19B44F27" w14:textId="77777777" w:rsidTr="00633F3D">
        <w:trPr>
          <w:trHeight w:val="1106"/>
          <w:jc w:val="center"/>
        </w:trPr>
        <w:tc>
          <w:tcPr>
            <w:tcW w:w="2341" w:type="dxa"/>
            <w:tcBorders>
              <w:top w:val="single" w:sz="4" w:space="0" w:color="auto"/>
            </w:tcBorders>
          </w:tcPr>
          <w:p w14:paraId="4A479D3C" w14:textId="03DE10FF" w:rsidR="00633F3D" w:rsidRPr="008B1465" w:rsidRDefault="00633F3D" w:rsidP="00587BFC">
            <w:pPr>
              <w:pStyle w:val="NoSpacing"/>
              <w:jc w:val="center"/>
              <w:rPr>
                <w:rFonts w:ascii="Times New Roman" w:hAnsi="Times New Roman"/>
                <w:sz w:val="24"/>
                <w:szCs w:val="24"/>
              </w:rPr>
            </w:pPr>
            <w:r w:rsidRPr="008B1465">
              <w:rPr>
                <w:rFonts w:ascii="Times New Roman" w:hAnsi="Times New Roman"/>
                <w:sz w:val="24"/>
                <w:szCs w:val="24"/>
              </w:rPr>
              <w:t>Dr. C. A. Adu</w:t>
            </w:r>
          </w:p>
          <w:p w14:paraId="793EC340" w14:textId="77777777" w:rsidR="000E45F5" w:rsidRPr="008B1465" w:rsidRDefault="000E45F5" w:rsidP="00587BFC">
            <w:pPr>
              <w:pStyle w:val="NoSpacing"/>
              <w:jc w:val="center"/>
              <w:rPr>
                <w:rFonts w:ascii="Times New Roman" w:hAnsi="Times New Roman"/>
                <w:sz w:val="24"/>
                <w:szCs w:val="24"/>
              </w:rPr>
            </w:pPr>
          </w:p>
          <w:p w14:paraId="6D36B20C" w14:textId="36ACB92C" w:rsidR="00633F3D" w:rsidRPr="008B1465" w:rsidRDefault="00633F3D" w:rsidP="00587BFC">
            <w:pPr>
              <w:pStyle w:val="NoSpacing"/>
              <w:jc w:val="center"/>
              <w:rPr>
                <w:b/>
                <w:bCs/>
              </w:rPr>
            </w:pPr>
            <w:r w:rsidRPr="008B1465">
              <w:rPr>
                <w:rFonts w:ascii="Times New Roman" w:hAnsi="Times New Roman"/>
                <w:b/>
                <w:bCs/>
                <w:sz w:val="24"/>
                <w:szCs w:val="24"/>
              </w:rPr>
              <w:t>Co-Supervisor</w:t>
            </w:r>
          </w:p>
        </w:tc>
        <w:tc>
          <w:tcPr>
            <w:tcW w:w="2838" w:type="dxa"/>
          </w:tcPr>
          <w:p w14:paraId="66597702" w14:textId="77777777" w:rsidR="00633F3D" w:rsidRPr="008B1465" w:rsidRDefault="00633F3D" w:rsidP="00587BFC">
            <w:pPr>
              <w:pStyle w:val="NoSpacing"/>
              <w:jc w:val="center"/>
            </w:pPr>
          </w:p>
        </w:tc>
        <w:tc>
          <w:tcPr>
            <w:tcW w:w="2054" w:type="dxa"/>
          </w:tcPr>
          <w:p w14:paraId="23763C28" w14:textId="77777777" w:rsidR="00633F3D" w:rsidRPr="008B1465" w:rsidRDefault="00633F3D" w:rsidP="00587BFC">
            <w:pPr>
              <w:pStyle w:val="NoSpacing"/>
              <w:jc w:val="center"/>
              <w:rPr>
                <w:rFonts w:ascii="Times New Roman" w:hAnsi="Times New Roman"/>
                <w:sz w:val="24"/>
                <w:szCs w:val="24"/>
                <w:u w:val="dotted"/>
              </w:rPr>
            </w:pPr>
          </w:p>
        </w:tc>
        <w:tc>
          <w:tcPr>
            <w:tcW w:w="2127" w:type="dxa"/>
            <w:tcBorders>
              <w:top w:val="single" w:sz="4" w:space="0" w:color="auto"/>
            </w:tcBorders>
          </w:tcPr>
          <w:p w14:paraId="11378349" w14:textId="221BE6E9" w:rsidR="00633F3D" w:rsidRPr="008B1465" w:rsidRDefault="00633F3D" w:rsidP="00587BFC">
            <w:pPr>
              <w:pStyle w:val="NoSpacing"/>
              <w:jc w:val="center"/>
            </w:pPr>
            <w:r w:rsidRPr="008B1465">
              <w:rPr>
                <w:rFonts w:ascii="Times New Roman" w:hAnsi="Times New Roman"/>
                <w:sz w:val="24"/>
                <w:szCs w:val="24"/>
              </w:rPr>
              <w:t>Date</w:t>
            </w:r>
          </w:p>
        </w:tc>
      </w:tr>
    </w:tbl>
    <w:p w14:paraId="242A714A" w14:textId="77777777" w:rsidR="002C4B19" w:rsidRPr="008B1465" w:rsidRDefault="002C4B19" w:rsidP="00796856">
      <w:pPr>
        <w:pStyle w:val="NoSpacing"/>
      </w:pPr>
    </w:p>
    <w:p w14:paraId="262A1E9D" w14:textId="77777777" w:rsidR="00796856" w:rsidRPr="008B1465" w:rsidRDefault="00796856" w:rsidP="00796856">
      <w:pPr>
        <w:pStyle w:val="NoSpacing"/>
      </w:pPr>
    </w:p>
    <w:p w14:paraId="38E52934" w14:textId="77777777" w:rsidR="00796856" w:rsidRPr="008B1465" w:rsidRDefault="00796856" w:rsidP="00796856">
      <w:pPr>
        <w:pStyle w:val="NoSpacing"/>
      </w:pPr>
    </w:p>
    <w:p w14:paraId="1DA8E6B3" w14:textId="77777777" w:rsidR="00796856" w:rsidRPr="008B1465" w:rsidRDefault="00796856" w:rsidP="00796856">
      <w:pPr>
        <w:spacing w:after="0" w:line="360" w:lineRule="auto"/>
        <w:jc w:val="center"/>
        <w:rPr>
          <w:rFonts w:ascii="Times New Roman" w:hAnsi="Times New Roman"/>
          <w:b/>
          <w:bCs/>
          <w:sz w:val="24"/>
          <w:szCs w:val="24"/>
        </w:rPr>
      </w:pPr>
    </w:p>
    <w:p w14:paraId="73A717A6" w14:textId="77777777" w:rsidR="00796856" w:rsidRPr="008B1465" w:rsidRDefault="00796856" w:rsidP="00796856">
      <w:pPr>
        <w:spacing w:after="0" w:line="360" w:lineRule="auto"/>
        <w:jc w:val="center"/>
        <w:rPr>
          <w:rFonts w:ascii="Times New Roman" w:hAnsi="Times New Roman"/>
          <w:b/>
          <w:bCs/>
          <w:sz w:val="24"/>
          <w:szCs w:val="24"/>
        </w:rPr>
      </w:pPr>
    </w:p>
    <w:p w14:paraId="6C43251A" w14:textId="77777777" w:rsidR="00796856" w:rsidRPr="008B1465" w:rsidRDefault="00796856" w:rsidP="00796856">
      <w:pPr>
        <w:spacing w:after="0" w:line="360" w:lineRule="auto"/>
        <w:jc w:val="center"/>
        <w:rPr>
          <w:rFonts w:ascii="Times New Roman" w:hAnsi="Times New Roman"/>
          <w:b/>
          <w:bCs/>
          <w:sz w:val="24"/>
          <w:szCs w:val="24"/>
        </w:rPr>
      </w:pPr>
    </w:p>
    <w:p w14:paraId="66F34291" w14:textId="77777777" w:rsidR="00796856" w:rsidRPr="008B1465" w:rsidRDefault="00796856" w:rsidP="00796856">
      <w:pPr>
        <w:spacing w:after="0" w:line="360" w:lineRule="auto"/>
        <w:jc w:val="center"/>
        <w:rPr>
          <w:rFonts w:ascii="Times New Roman" w:hAnsi="Times New Roman"/>
          <w:b/>
          <w:bCs/>
          <w:sz w:val="24"/>
          <w:szCs w:val="24"/>
        </w:rPr>
      </w:pPr>
    </w:p>
    <w:p w14:paraId="1D4D92B7" w14:textId="77777777" w:rsidR="00796856" w:rsidRPr="008B1465" w:rsidRDefault="00796856" w:rsidP="00796856">
      <w:pPr>
        <w:spacing w:after="0" w:line="360" w:lineRule="auto"/>
        <w:jc w:val="center"/>
        <w:rPr>
          <w:rFonts w:ascii="Times New Roman" w:hAnsi="Times New Roman"/>
          <w:b/>
          <w:bCs/>
          <w:sz w:val="24"/>
          <w:szCs w:val="24"/>
        </w:rPr>
      </w:pPr>
    </w:p>
    <w:p w14:paraId="26ABE121" w14:textId="77777777" w:rsidR="00796856" w:rsidRPr="008B1465" w:rsidRDefault="00796856" w:rsidP="00D432A7">
      <w:pPr>
        <w:pStyle w:val="Heading1"/>
        <w:numPr>
          <w:ilvl w:val="0"/>
          <w:numId w:val="0"/>
        </w:numPr>
      </w:pPr>
      <w:bookmarkStart w:id="7" w:name="_Toc145951061"/>
      <w:r w:rsidRPr="008B1465">
        <w:t>ATTESTATION</w:t>
      </w:r>
      <w:bookmarkEnd w:id="7"/>
    </w:p>
    <w:p w14:paraId="2AE877F8" w14:textId="03B6DD6A" w:rsidR="00796856" w:rsidRPr="008B1465" w:rsidRDefault="00796856" w:rsidP="00674BBB">
      <w:pPr>
        <w:spacing w:after="0" w:line="360" w:lineRule="auto"/>
        <w:jc w:val="center"/>
        <w:rPr>
          <w:rFonts w:ascii="Times New Roman" w:hAnsi="Times New Roman"/>
          <w:bCs/>
          <w:sz w:val="24"/>
          <w:szCs w:val="24"/>
        </w:rPr>
      </w:pPr>
      <w:r w:rsidRPr="008B1465">
        <w:rPr>
          <w:rFonts w:ascii="Times New Roman" w:hAnsi="Times New Roman"/>
          <w:bCs/>
          <w:sz w:val="24"/>
          <w:szCs w:val="24"/>
        </w:rPr>
        <w:t xml:space="preserve">I hereby attest that this research work was carried out </w:t>
      </w:r>
      <w:r w:rsidR="00D07C3E" w:rsidRPr="008B1465">
        <w:rPr>
          <w:rFonts w:ascii="Times New Roman" w:hAnsi="Times New Roman"/>
          <w:bCs/>
          <w:sz w:val="24"/>
          <w:szCs w:val="24"/>
        </w:rPr>
        <w:t>in</w:t>
      </w:r>
      <w:r w:rsidRPr="008B1465">
        <w:rPr>
          <w:rFonts w:ascii="Times New Roman" w:hAnsi="Times New Roman"/>
          <w:bCs/>
          <w:sz w:val="24"/>
          <w:szCs w:val="24"/>
        </w:rPr>
        <w:t xml:space="preserve"> the Department of </w:t>
      </w:r>
      <w:r w:rsidR="00B26A1E" w:rsidRPr="008B1465">
        <w:rPr>
          <w:rFonts w:ascii="Times New Roman" w:hAnsi="Times New Roman"/>
          <w:bCs/>
          <w:sz w:val="24"/>
          <w:szCs w:val="24"/>
        </w:rPr>
        <w:t>Accounting</w:t>
      </w:r>
      <w:r w:rsidRPr="008B1465">
        <w:rPr>
          <w:rFonts w:ascii="Times New Roman" w:hAnsi="Times New Roman"/>
          <w:bCs/>
          <w:sz w:val="24"/>
          <w:szCs w:val="24"/>
        </w:rPr>
        <w:t>, Crawford University, Igbesa, Ogun Sate</w:t>
      </w:r>
      <w:r w:rsidR="00B26A1E" w:rsidRPr="008B1465">
        <w:rPr>
          <w:rFonts w:ascii="Times New Roman" w:hAnsi="Times New Roman"/>
          <w:bCs/>
          <w:sz w:val="24"/>
          <w:szCs w:val="24"/>
        </w:rPr>
        <w:t>, Nigeria.</w:t>
      </w:r>
    </w:p>
    <w:p w14:paraId="7DFC8629" w14:textId="77777777" w:rsidR="00FA1C83" w:rsidRPr="008B1465" w:rsidRDefault="00FA1C83" w:rsidP="00796856">
      <w:pPr>
        <w:spacing w:after="0" w:line="360" w:lineRule="auto"/>
        <w:jc w:val="both"/>
        <w:rPr>
          <w:rFonts w:ascii="Times New Roman" w:hAnsi="Times New Roman"/>
          <w:bCs/>
          <w:sz w:val="24"/>
          <w:szCs w:val="24"/>
        </w:rPr>
      </w:pPr>
    </w:p>
    <w:p w14:paraId="334F3BC9" w14:textId="77777777" w:rsidR="00796856" w:rsidRPr="008B1465" w:rsidRDefault="00796856" w:rsidP="00796856">
      <w:pPr>
        <w:spacing w:after="0" w:line="360" w:lineRule="auto"/>
        <w:jc w:val="center"/>
        <w:rPr>
          <w:rFonts w:ascii="Times New Roman" w:hAnsi="Times New Roman"/>
          <w:b/>
          <w:sz w:val="28"/>
          <w:szCs w:val="28"/>
        </w:rPr>
      </w:pPr>
    </w:p>
    <w:tbl>
      <w:tblPr>
        <w:tblW w:w="0" w:type="auto"/>
        <w:tblInd w:w="108" w:type="dxa"/>
        <w:tblLook w:val="04A0" w:firstRow="1" w:lastRow="0" w:firstColumn="1" w:lastColumn="0" w:noHBand="0" w:noVBand="1"/>
      </w:tblPr>
      <w:tblGrid>
        <w:gridCol w:w="3622"/>
        <w:gridCol w:w="3410"/>
        <w:gridCol w:w="2220"/>
      </w:tblGrid>
      <w:tr w:rsidR="008B6D27" w:rsidRPr="008B1465" w14:paraId="3C8233FC" w14:textId="77777777" w:rsidTr="008B6D27">
        <w:tc>
          <w:tcPr>
            <w:tcW w:w="3690" w:type="dxa"/>
            <w:tcBorders>
              <w:top w:val="single" w:sz="4" w:space="0" w:color="auto"/>
            </w:tcBorders>
            <w:vAlign w:val="center"/>
          </w:tcPr>
          <w:p w14:paraId="4B06AF2D" w14:textId="7C86221D" w:rsidR="00957CBE" w:rsidRPr="008B1465" w:rsidRDefault="00957CBE" w:rsidP="00957CBE">
            <w:pPr>
              <w:spacing w:before="0" w:beforeAutospacing="0" w:after="0" w:line="240" w:lineRule="auto"/>
              <w:jc w:val="center"/>
              <w:rPr>
                <w:rFonts w:ascii="Times New Roman" w:hAnsi="Times New Roman"/>
                <w:b/>
                <w:bCs/>
                <w:sz w:val="24"/>
                <w:szCs w:val="24"/>
              </w:rPr>
            </w:pPr>
            <w:r w:rsidRPr="008B1465">
              <w:rPr>
                <w:rFonts w:ascii="Times New Roman" w:hAnsi="Times New Roman"/>
                <w:b/>
                <w:bCs/>
                <w:sz w:val="24"/>
                <w:szCs w:val="24"/>
              </w:rPr>
              <w:t xml:space="preserve">Head of Department </w:t>
            </w:r>
          </w:p>
          <w:p w14:paraId="5C41EC7A" w14:textId="77777777" w:rsidR="00B7552B" w:rsidRPr="008B1465" w:rsidRDefault="003D07CC" w:rsidP="00B7552B">
            <w:pPr>
              <w:spacing w:before="0" w:beforeAutospacing="0" w:after="0" w:line="240" w:lineRule="auto"/>
              <w:jc w:val="center"/>
              <w:rPr>
                <w:rFonts w:ascii="Times New Roman" w:hAnsi="Times New Roman"/>
                <w:sz w:val="24"/>
                <w:szCs w:val="24"/>
              </w:rPr>
            </w:pPr>
            <w:r w:rsidRPr="008B1465">
              <w:rPr>
                <w:rFonts w:ascii="Times New Roman" w:hAnsi="Times New Roman"/>
                <w:sz w:val="24"/>
                <w:szCs w:val="24"/>
              </w:rPr>
              <w:t>Dr. W</w:t>
            </w:r>
            <w:r w:rsidR="007753DD" w:rsidRPr="008B1465">
              <w:rPr>
                <w:rFonts w:ascii="Times New Roman" w:hAnsi="Times New Roman"/>
                <w:sz w:val="24"/>
                <w:szCs w:val="24"/>
              </w:rPr>
              <w:t>illiams</w:t>
            </w:r>
            <w:r w:rsidRPr="008B1465">
              <w:rPr>
                <w:rFonts w:ascii="Times New Roman" w:hAnsi="Times New Roman"/>
                <w:sz w:val="24"/>
                <w:szCs w:val="24"/>
              </w:rPr>
              <w:t xml:space="preserve"> R. Oladiran</w:t>
            </w:r>
          </w:p>
          <w:p w14:paraId="6E0B1F7F" w14:textId="0E4EDD5D" w:rsidR="00B7552B" w:rsidRPr="008B1465" w:rsidRDefault="00957CBE" w:rsidP="00B7552B">
            <w:pPr>
              <w:spacing w:before="0" w:beforeAutospacing="0" w:after="0" w:line="240" w:lineRule="auto"/>
              <w:jc w:val="center"/>
              <w:rPr>
                <w:rFonts w:ascii="Times New Roman" w:hAnsi="Times New Roman"/>
                <w:bCs/>
                <w:sz w:val="24"/>
                <w:szCs w:val="24"/>
              </w:rPr>
            </w:pPr>
            <w:r w:rsidRPr="008B1465">
              <w:rPr>
                <w:rFonts w:ascii="Times New Roman" w:hAnsi="Times New Roman"/>
                <w:bCs/>
                <w:sz w:val="24"/>
                <w:szCs w:val="24"/>
              </w:rPr>
              <w:t>(B</w:t>
            </w:r>
            <w:r w:rsidR="009E4C93">
              <w:rPr>
                <w:rFonts w:ascii="Times New Roman" w:hAnsi="Times New Roman"/>
                <w:bCs/>
                <w:sz w:val="24"/>
                <w:szCs w:val="24"/>
              </w:rPr>
              <w:t xml:space="preserve"> </w:t>
            </w:r>
            <w:r w:rsidRPr="008B1465">
              <w:rPr>
                <w:rFonts w:ascii="Times New Roman" w:hAnsi="Times New Roman"/>
                <w:bCs/>
                <w:sz w:val="24"/>
                <w:szCs w:val="24"/>
              </w:rPr>
              <w:t>Sc., M</w:t>
            </w:r>
            <w:r w:rsidR="009E4C93">
              <w:rPr>
                <w:rFonts w:ascii="Times New Roman" w:hAnsi="Times New Roman"/>
                <w:bCs/>
                <w:sz w:val="24"/>
                <w:szCs w:val="24"/>
              </w:rPr>
              <w:t xml:space="preserve"> </w:t>
            </w:r>
            <w:r w:rsidRPr="008B1465">
              <w:rPr>
                <w:rFonts w:ascii="Times New Roman" w:hAnsi="Times New Roman"/>
                <w:bCs/>
                <w:sz w:val="24"/>
                <w:szCs w:val="24"/>
              </w:rPr>
              <w:t>Sc., Ph.D.)</w:t>
            </w:r>
          </w:p>
          <w:p w14:paraId="7E006C2C" w14:textId="58E98715" w:rsidR="003D07CC" w:rsidRPr="008B1465" w:rsidRDefault="003D07CC" w:rsidP="001333E0">
            <w:pPr>
              <w:spacing w:before="0" w:beforeAutospacing="0" w:after="0" w:line="240" w:lineRule="auto"/>
              <w:jc w:val="center"/>
              <w:rPr>
                <w:rFonts w:ascii="Times New Roman" w:hAnsi="Times New Roman"/>
                <w:sz w:val="24"/>
                <w:szCs w:val="24"/>
              </w:rPr>
            </w:pPr>
          </w:p>
          <w:p w14:paraId="4F6733ED" w14:textId="324FDF20" w:rsidR="003D07CC" w:rsidRPr="008B1465" w:rsidRDefault="003D07CC" w:rsidP="008B6D27">
            <w:pPr>
              <w:spacing w:before="120" w:beforeAutospacing="0" w:line="240" w:lineRule="auto"/>
              <w:jc w:val="center"/>
              <w:rPr>
                <w:rFonts w:ascii="Times New Roman" w:hAnsi="Times New Roman"/>
                <w:bCs/>
                <w:sz w:val="24"/>
                <w:szCs w:val="24"/>
              </w:rPr>
            </w:pPr>
          </w:p>
        </w:tc>
        <w:tc>
          <w:tcPr>
            <w:tcW w:w="3510" w:type="dxa"/>
            <w:vAlign w:val="center"/>
          </w:tcPr>
          <w:p w14:paraId="453FE9F5" w14:textId="77777777" w:rsidR="003D07CC" w:rsidRPr="008B1465" w:rsidRDefault="003D07CC" w:rsidP="008B6D27">
            <w:pPr>
              <w:spacing w:line="240" w:lineRule="auto"/>
              <w:jc w:val="center"/>
              <w:rPr>
                <w:rFonts w:ascii="Times New Roman" w:hAnsi="Times New Roman"/>
                <w:bCs/>
                <w:sz w:val="24"/>
                <w:szCs w:val="24"/>
              </w:rPr>
            </w:pPr>
          </w:p>
        </w:tc>
        <w:tc>
          <w:tcPr>
            <w:tcW w:w="2268" w:type="dxa"/>
            <w:tcBorders>
              <w:top w:val="single" w:sz="4" w:space="0" w:color="auto"/>
            </w:tcBorders>
          </w:tcPr>
          <w:p w14:paraId="3FFF3432" w14:textId="77777777" w:rsidR="003D07CC" w:rsidRPr="008B1465" w:rsidRDefault="003D07CC" w:rsidP="008B6D27">
            <w:pPr>
              <w:spacing w:before="120" w:beforeAutospacing="0" w:line="240" w:lineRule="auto"/>
              <w:jc w:val="center"/>
              <w:rPr>
                <w:rFonts w:ascii="Times New Roman" w:hAnsi="Times New Roman"/>
                <w:bCs/>
                <w:sz w:val="24"/>
                <w:szCs w:val="24"/>
              </w:rPr>
            </w:pPr>
            <w:r w:rsidRPr="008B1465">
              <w:rPr>
                <w:rFonts w:ascii="Times New Roman" w:hAnsi="Times New Roman"/>
                <w:bCs/>
                <w:sz w:val="24"/>
                <w:szCs w:val="24"/>
              </w:rPr>
              <w:t>Date</w:t>
            </w:r>
          </w:p>
        </w:tc>
      </w:tr>
    </w:tbl>
    <w:p w14:paraId="01B56DEF" w14:textId="77777777" w:rsidR="00796856" w:rsidRPr="008B1465" w:rsidRDefault="00796856" w:rsidP="00796856">
      <w:pPr>
        <w:spacing w:after="0" w:line="360" w:lineRule="auto"/>
        <w:rPr>
          <w:rFonts w:ascii="Times New Roman" w:hAnsi="Times New Roman"/>
          <w:b/>
          <w:sz w:val="28"/>
          <w:szCs w:val="28"/>
        </w:rPr>
      </w:pPr>
    </w:p>
    <w:p w14:paraId="55B69381" w14:textId="77777777" w:rsidR="00796856" w:rsidRPr="008B1465" w:rsidRDefault="00796856" w:rsidP="00FA1C83">
      <w:pPr>
        <w:pStyle w:val="Heading1"/>
        <w:pageBreakBefore/>
        <w:numPr>
          <w:ilvl w:val="0"/>
          <w:numId w:val="0"/>
        </w:numPr>
        <w:spacing w:before="100" w:line="274" w:lineRule="auto"/>
      </w:pPr>
      <w:bookmarkStart w:id="8" w:name="_Toc145951062"/>
      <w:r w:rsidRPr="008B1465">
        <w:t>DEDICATION</w:t>
      </w:r>
      <w:bookmarkEnd w:id="8"/>
    </w:p>
    <w:p w14:paraId="5845A7AF" w14:textId="3656C533" w:rsidR="00796856" w:rsidRPr="008B1465" w:rsidRDefault="00796856" w:rsidP="00796856">
      <w:pPr>
        <w:spacing w:after="0" w:line="360" w:lineRule="auto"/>
        <w:jc w:val="center"/>
        <w:rPr>
          <w:rFonts w:ascii="Times New Roman" w:hAnsi="Times New Roman"/>
          <w:sz w:val="24"/>
          <w:szCs w:val="24"/>
        </w:rPr>
      </w:pPr>
      <w:r w:rsidRPr="008B1465">
        <w:rPr>
          <w:rFonts w:ascii="Times New Roman" w:hAnsi="Times New Roman"/>
          <w:sz w:val="24"/>
          <w:szCs w:val="24"/>
        </w:rPr>
        <w:t>I dedicate this thesis to God Almighty</w:t>
      </w:r>
      <w:r w:rsidR="00674F3A" w:rsidRPr="008B1465">
        <w:rPr>
          <w:rFonts w:ascii="Times New Roman" w:hAnsi="Times New Roman"/>
          <w:sz w:val="24"/>
          <w:szCs w:val="24"/>
        </w:rPr>
        <w:t>.</w:t>
      </w:r>
    </w:p>
    <w:p w14:paraId="1B4C40F7" w14:textId="77777777" w:rsidR="00796856" w:rsidRPr="008B1465" w:rsidRDefault="00796856" w:rsidP="00796856">
      <w:pPr>
        <w:spacing w:after="0" w:line="360" w:lineRule="auto"/>
        <w:jc w:val="both"/>
        <w:rPr>
          <w:rFonts w:ascii="Times New Roman" w:hAnsi="Times New Roman"/>
          <w:sz w:val="24"/>
          <w:szCs w:val="24"/>
        </w:rPr>
      </w:pPr>
    </w:p>
    <w:p w14:paraId="5764F8C8" w14:textId="77777777" w:rsidR="00796856" w:rsidRPr="008B1465" w:rsidRDefault="00796856" w:rsidP="00796856">
      <w:pPr>
        <w:spacing w:after="0" w:line="360" w:lineRule="auto"/>
        <w:jc w:val="both"/>
        <w:rPr>
          <w:rFonts w:ascii="Times New Roman" w:hAnsi="Times New Roman"/>
          <w:sz w:val="24"/>
          <w:szCs w:val="24"/>
        </w:rPr>
      </w:pPr>
      <w:r w:rsidRPr="008B1465">
        <w:rPr>
          <w:rFonts w:ascii="Times New Roman" w:hAnsi="Times New Roman"/>
          <w:sz w:val="24"/>
          <w:szCs w:val="24"/>
        </w:rPr>
        <w:t xml:space="preserve">   </w:t>
      </w:r>
    </w:p>
    <w:p w14:paraId="57A8F236" w14:textId="3C39CFA6" w:rsidR="00796856" w:rsidRPr="008B1465" w:rsidRDefault="00796856" w:rsidP="00796856">
      <w:pPr>
        <w:spacing w:before="0" w:beforeAutospacing="0" w:after="160" w:line="259" w:lineRule="auto"/>
      </w:pPr>
    </w:p>
    <w:p w14:paraId="10DFE342" w14:textId="781E072E" w:rsidR="00780F65" w:rsidRPr="008B1465" w:rsidRDefault="00780F65" w:rsidP="00796856">
      <w:pPr>
        <w:spacing w:before="0" w:beforeAutospacing="0" w:after="160" w:line="259" w:lineRule="auto"/>
      </w:pPr>
    </w:p>
    <w:p w14:paraId="3306765C" w14:textId="19F76AA3" w:rsidR="00780F65" w:rsidRPr="008B1465" w:rsidRDefault="00780F65" w:rsidP="00796856">
      <w:pPr>
        <w:spacing w:before="0" w:beforeAutospacing="0" w:after="160" w:line="259" w:lineRule="auto"/>
      </w:pPr>
    </w:p>
    <w:p w14:paraId="43C2A011" w14:textId="1C839680" w:rsidR="00780F65" w:rsidRPr="008B1465" w:rsidRDefault="00780F65" w:rsidP="00796856">
      <w:pPr>
        <w:spacing w:before="0" w:beforeAutospacing="0" w:after="160" w:line="259" w:lineRule="auto"/>
      </w:pPr>
    </w:p>
    <w:p w14:paraId="7F317CAB" w14:textId="2888B9F6" w:rsidR="00780F65" w:rsidRPr="008B1465" w:rsidRDefault="00780F65" w:rsidP="00796856">
      <w:pPr>
        <w:spacing w:before="0" w:beforeAutospacing="0" w:after="160" w:line="259" w:lineRule="auto"/>
      </w:pPr>
    </w:p>
    <w:p w14:paraId="2052E65D" w14:textId="275C4904" w:rsidR="00780F65" w:rsidRPr="008B1465" w:rsidRDefault="00780F65" w:rsidP="00796856">
      <w:pPr>
        <w:spacing w:before="0" w:beforeAutospacing="0" w:after="160" w:line="259" w:lineRule="auto"/>
      </w:pPr>
    </w:p>
    <w:p w14:paraId="1A69E005" w14:textId="6AC3D0D1" w:rsidR="00780F65" w:rsidRPr="008B1465" w:rsidRDefault="00780F65" w:rsidP="00796856">
      <w:pPr>
        <w:spacing w:before="0" w:beforeAutospacing="0" w:after="160" w:line="259" w:lineRule="auto"/>
      </w:pPr>
    </w:p>
    <w:p w14:paraId="752EDA2F" w14:textId="21752B5F" w:rsidR="00780F65" w:rsidRPr="008B1465" w:rsidRDefault="00780F65" w:rsidP="00796856">
      <w:pPr>
        <w:spacing w:before="0" w:beforeAutospacing="0" w:after="160" w:line="259" w:lineRule="auto"/>
      </w:pPr>
    </w:p>
    <w:p w14:paraId="270D9D60" w14:textId="505B38C0" w:rsidR="00780F65" w:rsidRPr="008B1465" w:rsidRDefault="00780F65" w:rsidP="00796856">
      <w:pPr>
        <w:spacing w:before="0" w:beforeAutospacing="0" w:after="160" w:line="259" w:lineRule="auto"/>
      </w:pPr>
    </w:p>
    <w:p w14:paraId="569D0586" w14:textId="60E9D579" w:rsidR="00780F65" w:rsidRPr="008B1465" w:rsidRDefault="00780F65" w:rsidP="00796856">
      <w:pPr>
        <w:spacing w:before="0" w:beforeAutospacing="0" w:after="160" w:line="259" w:lineRule="auto"/>
      </w:pPr>
    </w:p>
    <w:p w14:paraId="05AF5D1A" w14:textId="33934F44" w:rsidR="00780F65" w:rsidRPr="008B1465" w:rsidRDefault="00780F65" w:rsidP="00796856">
      <w:pPr>
        <w:spacing w:before="0" w:beforeAutospacing="0" w:after="160" w:line="259" w:lineRule="auto"/>
      </w:pPr>
    </w:p>
    <w:p w14:paraId="3554AC9C" w14:textId="0C6EAC66" w:rsidR="00780F65" w:rsidRPr="008B1465" w:rsidRDefault="00780F65" w:rsidP="00796856">
      <w:pPr>
        <w:spacing w:before="0" w:beforeAutospacing="0" w:after="160" w:line="259" w:lineRule="auto"/>
      </w:pPr>
    </w:p>
    <w:p w14:paraId="0CD882B9" w14:textId="691BB97D" w:rsidR="00780F65" w:rsidRPr="008B1465" w:rsidRDefault="00780F65" w:rsidP="00796856">
      <w:pPr>
        <w:spacing w:before="0" w:beforeAutospacing="0" w:after="160" w:line="259" w:lineRule="auto"/>
      </w:pPr>
    </w:p>
    <w:p w14:paraId="67A7D8C8" w14:textId="2D3471D6" w:rsidR="00780F65" w:rsidRPr="008B1465" w:rsidRDefault="00780F65" w:rsidP="00796856">
      <w:pPr>
        <w:spacing w:before="0" w:beforeAutospacing="0" w:after="160" w:line="259" w:lineRule="auto"/>
      </w:pPr>
    </w:p>
    <w:p w14:paraId="4FFFD7E9" w14:textId="250AF630" w:rsidR="00780F65" w:rsidRPr="008B1465" w:rsidRDefault="00780F65" w:rsidP="00796856">
      <w:pPr>
        <w:spacing w:before="0" w:beforeAutospacing="0" w:after="160" w:line="259" w:lineRule="auto"/>
      </w:pPr>
    </w:p>
    <w:p w14:paraId="30936289" w14:textId="2137E61B" w:rsidR="00780F65" w:rsidRPr="008B1465" w:rsidRDefault="00780F65" w:rsidP="00796856">
      <w:pPr>
        <w:spacing w:before="0" w:beforeAutospacing="0" w:after="160" w:line="259" w:lineRule="auto"/>
      </w:pPr>
    </w:p>
    <w:p w14:paraId="78836675" w14:textId="77777777" w:rsidR="00780F65" w:rsidRPr="008B1465" w:rsidRDefault="00780F65" w:rsidP="00796856">
      <w:pPr>
        <w:spacing w:before="0" w:beforeAutospacing="0" w:after="160" w:line="259" w:lineRule="auto"/>
      </w:pPr>
    </w:p>
    <w:p w14:paraId="46B16194" w14:textId="77777777" w:rsidR="00287AA4" w:rsidRPr="008B1465" w:rsidRDefault="00287AA4" w:rsidP="00B4117B">
      <w:pPr>
        <w:spacing w:after="0" w:line="240" w:lineRule="auto"/>
        <w:jc w:val="center"/>
        <w:rPr>
          <w:rFonts w:ascii="Times New Roman" w:hAnsi="Times New Roman"/>
          <w:b/>
          <w:bCs/>
          <w:color w:val="000000"/>
          <w:sz w:val="24"/>
          <w:szCs w:val="24"/>
        </w:rPr>
      </w:pPr>
    </w:p>
    <w:p w14:paraId="7D2EB278" w14:textId="77777777" w:rsidR="00287AA4" w:rsidRPr="008B1465" w:rsidRDefault="00287AA4" w:rsidP="00B4117B">
      <w:pPr>
        <w:spacing w:after="0" w:line="240" w:lineRule="auto"/>
        <w:jc w:val="center"/>
        <w:rPr>
          <w:rFonts w:ascii="Times New Roman" w:hAnsi="Times New Roman"/>
          <w:b/>
          <w:bCs/>
          <w:color w:val="000000"/>
          <w:sz w:val="24"/>
          <w:szCs w:val="24"/>
        </w:rPr>
      </w:pPr>
    </w:p>
    <w:p w14:paraId="6844ECF8" w14:textId="26112B1C" w:rsidR="00B4117B" w:rsidRPr="008B1465" w:rsidRDefault="00B4117B" w:rsidP="00305F2A">
      <w:pPr>
        <w:pStyle w:val="Heading1"/>
        <w:pageBreakBefore/>
        <w:numPr>
          <w:ilvl w:val="0"/>
          <w:numId w:val="0"/>
        </w:numPr>
        <w:spacing w:before="100" w:line="274" w:lineRule="auto"/>
      </w:pPr>
      <w:bookmarkStart w:id="9" w:name="_Toc145951063"/>
      <w:r w:rsidRPr="008B1465">
        <w:t>ACKNOWLEDGEMENTS</w:t>
      </w:r>
      <w:bookmarkEnd w:id="9"/>
    </w:p>
    <w:p w14:paraId="425429E1" w14:textId="0D68193A" w:rsidR="00B4117B" w:rsidRPr="008B1465" w:rsidRDefault="00B4117B" w:rsidP="00305F2A">
      <w:pPr>
        <w:spacing w:after="0" w:line="276" w:lineRule="auto"/>
        <w:jc w:val="both"/>
        <w:rPr>
          <w:rFonts w:ascii="Times New Roman" w:hAnsi="Times New Roman"/>
          <w:sz w:val="24"/>
          <w:szCs w:val="24"/>
        </w:rPr>
      </w:pPr>
      <w:r w:rsidRPr="008B1465">
        <w:rPr>
          <w:rFonts w:ascii="Times New Roman" w:hAnsi="Times New Roman"/>
          <w:color w:val="000000"/>
          <w:sz w:val="24"/>
          <w:szCs w:val="24"/>
        </w:rPr>
        <w:t>My mouth shall always declare the goodness of my Lord for He has given strength to the faint and wisdom; to him who has no might</w:t>
      </w:r>
      <w:r w:rsidR="00A63EAC" w:rsidRPr="008B1465">
        <w:rPr>
          <w:rFonts w:ascii="Times New Roman" w:hAnsi="Times New Roman"/>
          <w:color w:val="000000"/>
          <w:sz w:val="24"/>
          <w:szCs w:val="24"/>
        </w:rPr>
        <w:t xml:space="preserve">. </w:t>
      </w:r>
      <w:r w:rsidRPr="008B1465">
        <w:rPr>
          <w:rFonts w:ascii="Times New Roman" w:hAnsi="Times New Roman"/>
          <w:color w:val="000000"/>
          <w:sz w:val="24"/>
          <w:szCs w:val="24"/>
        </w:rPr>
        <w:t xml:space="preserve">He increases knowledge. I didn’t know </w:t>
      </w:r>
      <w:r w:rsidR="007803AF">
        <w:rPr>
          <w:rFonts w:ascii="Times New Roman" w:hAnsi="Times New Roman"/>
          <w:color w:val="000000"/>
          <w:sz w:val="24"/>
          <w:szCs w:val="24"/>
        </w:rPr>
        <w:t>He</w:t>
      </w:r>
      <w:r w:rsidRPr="008B1465">
        <w:rPr>
          <w:rFonts w:ascii="Times New Roman" w:hAnsi="Times New Roman"/>
          <w:color w:val="000000"/>
          <w:sz w:val="24"/>
          <w:szCs w:val="24"/>
        </w:rPr>
        <w:t xml:space="preserve"> will honour me this way oh Lord my God. I will forever be grateful.</w:t>
      </w:r>
    </w:p>
    <w:p w14:paraId="2EDC20BF" w14:textId="14309581" w:rsidR="00B4117B" w:rsidRPr="008B1465" w:rsidRDefault="00B4117B" w:rsidP="00305F2A">
      <w:pPr>
        <w:spacing w:after="0" w:line="276" w:lineRule="auto"/>
        <w:jc w:val="both"/>
        <w:rPr>
          <w:rFonts w:ascii="Times New Roman" w:hAnsi="Times New Roman"/>
          <w:color w:val="000000"/>
          <w:sz w:val="24"/>
          <w:szCs w:val="24"/>
        </w:rPr>
      </w:pPr>
      <w:r w:rsidRPr="008B1465">
        <w:rPr>
          <w:rFonts w:ascii="Times New Roman" w:hAnsi="Times New Roman"/>
          <w:color w:val="000000"/>
          <w:sz w:val="24"/>
          <w:szCs w:val="24"/>
        </w:rPr>
        <w:t>I am deeply indebted to my supervisors Professor Jayeola Olabisi and Dr. Cecilia Adurayemi Adu for their professional guidance throughout the period</w:t>
      </w:r>
      <w:r w:rsidR="00161584" w:rsidRPr="008B1465">
        <w:rPr>
          <w:rFonts w:ascii="Times New Roman" w:hAnsi="Times New Roman"/>
          <w:color w:val="000000"/>
          <w:sz w:val="24"/>
          <w:szCs w:val="24"/>
        </w:rPr>
        <w:t xml:space="preserve"> of my study</w:t>
      </w:r>
      <w:r w:rsidRPr="008B1465">
        <w:rPr>
          <w:rFonts w:ascii="Times New Roman" w:hAnsi="Times New Roman"/>
          <w:color w:val="000000"/>
          <w:sz w:val="24"/>
          <w:szCs w:val="24"/>
        </w:rPr>
        <w:t>. I sincerely thank Professor Jayeola Olabisi for opening his arms</w:t>
      </w:r>
      <w:r w:rsidR="00222FF1" w:rsidRPr="008B1465">
        <w:rPr>
          <w:rFonts w:ascii="Times New Roman" w:hAnsi="Times New Roman"/>
          <w:color w:val="000000"/>
          <w:sz w:val="24"/>
          <w:szCs w:val="24"/>
        </w:rPr>
        <w:t xml:space="preserve">, </w:t>
      </w:r>
      <w:r w:rsidRPr="008B1465">
        <w:rPr>
          <w:rFonts w:ascii="Times New Roman" w:hAnsi="Times New Roman"/>
          <w:color w:val="000000"/>
          <w:sz w:val="24"/>
          <w:szCs w:val="24"/>
        </w:rPr>
        <w:t xml:space="preserve">giving me lots of comfort and the push needed to get this study organized. </w:t>
      </w:r>
      <w:r w:rsidR="0004704D" w:rsidRPr="008B1465">
        <w:rPr>
          <w:rFonts w:ascii="Times New Roman" w:hAnsi="Times New Roman"/>
          <w:color w:val="000000"/>
          <w:sz w:val="24"/>
          <w:szCs w:val="24"/>
        </w:rPr>
        <w:t>He</w:t>
      </w:r>
      <w:r w:rsidRPr="008B1465">
        <w:rPr>
          <w:rFonts w:ascii="Times New Roman" w:hAnsi="Times New Roman"/>
          <w:color w:val="000000"/>
          <w:sz w:val="24"/>
          <w:szCs w:val="24"/>
        </w:rPr>
        <w:t xml:space="preserve"> encouraged me to actively participate in several academic conferences which have contributed to the knowledge shared in this study. I thank Dr.</w:t>
      </w:r>
      <w:r w:rsidR="00222FF1" w:rsidRPr="008B1465">
        <w:rPr>
          <w:rFonts w:ascii="Times New Roman" w:hAnsi="Times New Roman"/>
          <w:color w:val="000000"/>
          <w:sz w:val="24"/>
          <w:szCs w:val="24"/>
        </w:rPr>
        <w:t xml:space="preserve"> </w:t>
      </w:r>
      <w:r w:rsidRPr="008B1465">
        <w:rPr>
          <w:rFonts w:ascii="Times New Roman" w:hAnsi="Times New Roman"/>
          <w:color w:val="000000"/>
          <w:sz w:val="24"/>
          <w:szCs w:val="24"/>
        </w:rPr>
        <w:t xml:space="preserve">Cecilia Adu, for all the support and encouragement received before, and during this process. </w:t>
      </w:r>
    </w:p>
    <w:p w14:paraId="4BA0A523" w14:textId="607CD759" w:rsidR="00B4117B" w:rsidRPr="008B1465" w:rsidRDefault="00B4117B" w:rsidP="00305F2A">
      <w:pPr>
        <w:spacing w:after="0" w:line="276" w:lineRule="auto"/>
        <w:jc w:val="both"/>
        <w:rPr>
          <w:rFonts w:ascii="Times New Roman" w:hAnsi="Times New Roman"/>
          <w:color w:val="000000"/>
          <w:sz w:val="24"/>
          <w:szCs w:val="24"/>
        </w:rPr>
      </w:pPr>
      <w:r w:rsidRPr="008B1465">
        <w:rPr>
          <w:rFonts w:ascii="Times New Roman" w:hAnsi="Times New Roman"/>
          <w:color w:val="000000"/>
          <w:sz w:val="24"/>
          <w:szCs w:val="24"/>
        </w:rPr>
        <w:t xml:space="preserve">I acknowledge the invaluable contributions and assistance of Dr. Samuel Eleboda and Dr. Gbenga Ogunlusi right from </w:t>
      </w:r>
      <w:r w:rsidR="00A86369" w:rsidRPr="008B1465">
        <w:rPr>
          <w:rFonts w:ascii="Times New Roman" w:hAnsi="Times New Roman"/>
          <w:color w:val="000000"/>
          <w:sz w:val="24"/>
          <w:szCs w:val="24"/>
        </w:rPr>
        <w:t xml:space="preserve">the stage of </w:t>
      </w:r>
      <w:r w:rsidRPr="008B1465">
        <w:rPr>
          <w:rFonts w:ascii="Times New Roman" w:hAnsi="Times New Roman"/>
          <w:color w:val="000000"/>
          <w:sz w:val="24"/>
          <w:szCs w:val="24"/>
        </w:rPr>
        <w:t xml:space="preserve">developing the proposal for the admission that culminated into this study. I see </w:t>
      </w:r>
      <w:r w:rsidR="00A86369" w:rsidRPr="008B1465">
        <w:rPr>
          <w:rFonts w:ascii="Times New Roman" w:hAnsi="Times New Roman"/>
          <w:color w:val="000000"/>
          <w:sz w:val="24"/>
          <w:szCs w:val="24"/>
        </w:rPr>
        <w:t>them</w:t>
      </w:r>
      <w:r w:rsidRPr="008B1465">
        <w:rPr>
          <w:rFonts w:ascii="Times New Roman" w:hAnsi="Times New Roman"/>
          <w:color w:val="000000"/>
          <w:sz w:val="24"/>
          <w:szCs w:val="24"/>
        </w:rPr>
        <w:t xml:space="preserve"> as my destiny helper</w:t>
      </w:r>
      <w:r w:rsidR="00A63EAC" w:rsidRPr="008B1465">
        <w:rPr>
          <w:rFonts w:ascii="Times New Roman" w:hAnsi="Times New Roman"/>
          <w:color w:val="000000"/>
          <w:sz w:val="24"/>
          <w:szCs w:val="24"/>
        </w:rPr>
        <w:t>s</w:t>
      </w:r>
      <w:r w:rsidR="00A86369" w:rsidRPr="008B1465">
        <w:rPr>
          <w:rFonts w:ascii="Times New Roman" w:hAnsi="Times New Roman"/>
          <w:color w:val="000000"/>
          <w:sz w:val="24"/>
          <w:szCs w:val="24"/>
        </w:rPr>
        <w:t>.</w:t>
      </w:r>
      <w:r w:rsidR="00DA50DE" w:rsidRPr="008B1465">
        <w:rPr>
          <w:rFonts w:ascii="Times New Roman" w:hAnsi="Times New Roman"/>
          <w:color w:val="000000"/>
          <w:sz w:val="24"/>
          <w:szCs w:val="24"/>
        </w:rPr>
        <w:t xml:space="preserve"> Appreciation goes to</w:t>
      </w:r>
      <w:r w:rsidR="00B93741" w:rsidRPr="008B1465">
        <w:rPr>
          <w:rFonts w:ascii="Times New Roman" w:hAnsi="Times New Roman"/>
          <w:color w:val="000000"/>
          <w:sz w:val="24"/>
          <w:szCs w:val="24"/>
        </w:rPr>
        <w:t xml:space="preserve"> my HOD</w:t>
      </w:r>
      <w:r w:rsidR="00A63EAC" w:rsidRPr="008B1465">
        <w:rPr>
          <w:rFonts w:ascii="Times New Roman" w:hAnsi="Times New Roman"/>
          <w:color w:val="000000"/>
          <w:sz w:val="24"/>
          <w:szCs w:val="24"/>
        </w:rPr>
        <w:t>;</w:t>
      </w:r>
      <w:r w:rsidR="00B93741" w:rsidRPr="008B1465">
        <w:rPr>
          <w:rFonts w:ascii="Times New Roman" w:hAnsi="Times New Roman"/>
          <w:color w:val="000000"/>
          <w:sz w:val="24"/>
          <w:szCs w:val="24"/>
        </w:rPr>
        <w:t xml:space="preserve"> Dr. Williams Rotimi Oladiran</w:t>
      </w:r>
      <w:r w:rsidR="00E21ED7" w:rsidRPr="008B1465">
        <w:rPr>
          <w:rFonts w:ascii="Times New Roman" w:hAnsi="Times New Roman"/>
          <w:color w:val="000000"/>
          <w:sz w:val="24"/>
          <w:szCs w:val="24"/>
        </w:rPr>
        <w:t>,</w:t>
      </w:r>
      <w:r w:rsidRPr="008B1465">
        <w:rPr>
          <w:rFonts w:ascii="Times New Roman" w:hAnsi="Times New Roman"/>
          <w:color w:val="000000"/>
          <w:sz w:val="24"/>
          <w:szCs w:val="24"/>
        </w:rPr>
        <w:t xml:space="preserve"> </w:t>
      </w:r>
      <w:r w:rsidR="00E21ED7" w:rsidRPr="008B1465">
        <w:rPr>
          <w:rFonts w:ascii="Times New Roman" w:hAnsi="Times New Roman"/>
          <w:color w:val="000000"/>
          <w:sz w:val="24"/>
          <w:szCs w:val="24"/>
        </w:rPr>
        <w:t>and</w:t>
      </w:r>
      <w:r w:rsidRPr="008B1465">
        <w:rPr>
          <w:rFonts w:ascii="Times New Roman" w:hAnsi="Times New Roman"/>
          <w:color w:val="000000"/>
          <w:sz w:val="24"/>
          <w:szCs w:val="24"/>
        </w:rPr>
        <w:t xml:space="preserve"> Dr. C. C. Uchehara, Dr. Samuel Ogunwa, Dr. Lekan Kesinro, Dr</w:t>
      </w:r>
      <w:r w:rsidR="00E21ED7" w:rsidRPr="008B1465">
        <w:rPr>
          <w:rFonts w:ascii="Times New Roman" w:hAnsi="Times New Roman"/>
          <w:color w:val="000000"/>
          <w:sz w:val="24"/>
          <w:szCs w:val="24"/>
        </w:rPr>
        <w:t>.</w:t>
      </w:r>
      <w:r w:rsidRPr="008B1465">
        <w:rPr>
          <w:rFonts w:ascii="Times New Roman" w:hAnsi="Times New Roman"/>
          <w:color w:val="000000"/>
          <w:sz w:val="24"/>
          <w:szCs w:val="24"/>
        </w:rPr>
        <w:t xml:space="preserve"> Ossai Lucky</w:t>
      </w:r>
      <w:r w:rsidR="00FD6F2C" w:rsidRPr="008B1465">
        <w:rPr>
          <w:rFonts w:ascii="Times New Roman" w:hAnsi="Times New Roman"/>
          <w:color w:val="000000"/>
          <w:sz w:val="24"/>
          <w:szCs w:val="24"/>
        </w:rPr>
        <w:t>,</w:t>
      </w:r>
      <w:r w:rsidRPr="008B1465">
        <w:rPr>
          <w:rFonts w:ascii="Times New Roman" w:hAnsi="Times New Roman"/>
          <w:color w:val="000000"/>
          <w:sz w:val="24"/>
          <w:szCs w:val="24"/>
        </w:rPr>
        <w:t xml:space="preserve"> and </w:t>
      </w:r>
      <w:r w:rsidR="006D6EAA" w:rsidRPr="008B1465">
        <w:rPr>
          <w:rFonts w:ascii="Times New Roman" w:hAnsi="Times New Roman"/>
          <w:color w:val="000000"/>
          <w:sz w:val="24"/>
          <w:szCs w:val="24"/>
        </w:rPr>
        <w:t>Associate P</w:t>
      </w:r>
      <w:r w:rsidRPr="008B1465">
        <w:rPr>
          <w:rFonts w:ascii="Times New Roman" w:hAnsi="Times New Roman"/>
          <w:color w:val="000000"/>
          <w:sz w:val="24"/>
          <w:szCs w:val="24"/>
        </w:rPr>
        <w:t>rof</w:t>
      </w:r>
      <w:r w:rsidR="00B33E37" w:rsidRPr="008B1465">
        <w:rPr>
          <w:rFonts w:ascii="Times New Roman" w:hAnsi="Times New Roman"/>
          <w:color w:val="000000"/>
          <w:sz w:val="24"/>
          <w:szCs w:val="24"/>
        </w:rPr>
        <w:t xml:space="preserve">. </w:t>
      </w:r>
      <w:r w:rsidRPr="008B1465">
        <w:rPr>
          <w:rFonts w:ascii="Times New Roman" w:hAnsi="Times New Roman"/>
          <w:color w:val="000000"/>
          <w:sz w:val="24"/>
          <w:szCs w:val="24"/>
        </w:rPr>
        <w:t xml:space="preserve">Comfort Amire for the support </w:t>
      </w:r>
      <w:r w:rsidR="00DC50D0" w:rsidRPr="008B1465">
        <w:rPr>
          <w:rFonts w:ascii="Times New Roman" w:hAnsi="Times New Roman"/>
          <w:color w:val="000000"/>
          <w:sz w:val="24"/>
          <w:szCs w:val="24"/>
        </w:rPr>
        <w:t>received</w:t>
      </w:r>
      <w:r w:rsidRPr="008B1465">
        <w:rPr>
          <w:rFonts w:ascii="Times New Roman" w:hAnsi="Times New Roman"/>
          <w:color w:val="000000"/>
          <w:sz w:val="24"/>
          <w:szCs w:val="24"/>
        </w:rPr>
        <w:t xml:space="preserve"> to make the journey less burdensome. </w:t>
      </w:r>
    </w:p>
    <w:p w14:paraId="34741290" w14:textId="131A6486" w:rsidR="00B4117B" w:rsidRPr="008B1465" w:rsidRDefault="00B4117B" w:rsidP="00305F2A">
      <w:pPr>
        <w:spacing w:after="0" w:line="276" w:lineRule="auto"/>
        <w:jc w:val="both"/>
        <w:rPr>
          <w:rFonts w:ascii="Times New Roman" w:hAnsi="Times New Roman"/>
          <w:sz w:val="24"/>
          <w:szCs w:val="24"/>
        </w:rPr>
      </w:pPr>
      <w:r w:rsidRPr="008B1465">
        <w:rPr>
          <w:rFonts w:ascii="Times New Roman" w:hAnsi="Times New Roman"/>
          <w:color w:val="000000"/>
          <w:sz w:val="24"/>
          <w:szCs w:val="24"/>
        </w:rPr>
        <w:t>My gratitude goes to the former Vice-Chancellor of Crawford University</w:t>
      </w:r>
      <w:r w:rsidR="00D30A73" w:rsidRPr="008B1465">
        <w:rPr>
          <w:rFonts w:ascii="Times New Roman" w:hAnsi="Times New Roman"/>
          <w:color w:val="000000"/>
          <w:sz w:val="24"/>
          <w:szCs w:val="24"/>
        </w:rPr>
        <w:t>;</w:t>
      </w:r>
      <w:r w:rsidRPr="008B1465">
        <w:rPr>
          <w:rFonts w:ascii="Times New Roman" w:hAnsi="Times New Roman"/>
          <w:color w:val="000000"/>
          <w:sz w:val="24"/>
          <w:szCs w:val="24"/>
        </w:rPr>
        <w:t xml:space="preserve"> Prof. I. R. Ajayi, who encouraged me to</w:t>
      </w:r>
      <w:r w:rsidR="00375CB6" w:rsidRPr="008B1465">
        <w:rPr>
          <w:rFonts w:ascii="Times New Roman" w:hAnsi="Times New Roman"/>
          <w:color w:val="000000"/>
          <w:sz w:val="24"/>
          <w:szCs w:val="24"/>
        </w:rPr>
        <w:t xml:space="preserve"> go further</w:t>
      </w:r>
      <w:r w:rsidRPr="008B1465">
        <w:rPr>
          <w:rFonts w:ascii="Times New Roman" w:hAnsi="Times New Roman"/>
          <w:color w:val="000000"/>
          <w:sz w:val="24"/>
          <w:szCs w:val="24"/>
        </w:rPr>
        <w:t xml:space="preserve"> after obtaining my M.Sc.</w:t>
      </w:r>
      <w:r w:rsidR="00A81576" w:rsidRPr="008B1465">
        <w:rPr>
          <w:rFonts w:ascii="Times New Roman" w:hAnsi="Times New Roman"/>
          <w:color w:val="000000"/>
          <w:sz w:val="24"/>
          <w:szCs w:val="24"/>
        </w:rPr>
        <w:t xml:space="preserve"> degree</w:t>
      </w:r>
      <w:r w:rsidRPr="008B1465">
        <w:rPr>
          <w:rFonts w:ascii="Times New Roman" w:hAnsi="Times New Roman"/>
          <w:color w:val="000000"/>
          <w:sz w:val="24"/>
          <w:szCs w:val="24"/>
        </w:rPr>
        <w:t xml:space="preserve"> </w:t>
      </w:r>
      <w:r w:rsidR="00401429" w:rsidRPr="008B1465">
        <w:rPr>
          <w:rFonts w:ascii="Times New Roman" w:hAnsi="Times New Roman"/>
          <w:color w:val="000000"/>
          <w:sz w:val="24"/>
          <w:szCs w:val="24"/>
        </w:rPr>
        <w:t>in Accounting.</w:t>
      </w:r>
    </w:p>
    <w:p w14:paraId="63F8F29B" w14:textId="6C041305" w:rsidR="00B4117B" w:rsidRPr="008B1465" w:rsidRDefault="00B4117B" w:rsidP="00305F2A">
      <w:pPr>
        <w:spacing w:after="0" w:line="276" w:lineRule="auto"/>
        <w:jc w:val="both"/>
        <w:rPr>
          <w:rFonts w:ascii="Times New Roman" w:hAnsi="Times New Roman"/>
          <w:color w:val="000000"/>
          <w:sz w:val="24"/>
          <w:szCs w:val="24"/>
        </w:rPr>
      </w:pPr>
      <w:r w:rsidRPr="008B1465">
        <w:rPr>
          <w:rFonts w:ascii="Times New Roman" w:hAnsi="Times New Roman"/>
          <w:color w:val="000000"/>
          <w:sz w:val="24"/>
          <w:szCs w:val="24"/>
        </w:rPr>
        <w:t xml:space="preserve">I equally thank the entire management of Crawford University led by Prof Reuben Jiya Kolo (VC) for continuous provision and </w:t>
      </w:r>
      <w:r w:rsidR="00D30A73" w:rsidRPr="008B1465">
        <w:rPr>
          <w:rFonts w:ascii="Times New Roman" w:hAnsi="Times New Roman"/>
          <w:color w:val="000000"/>
          <w:sz w:val="24"/>
          <w:szCs w:val="24"/>
        </w:rPr>
        <w:t>enabling</w:t>
      </w:r>
      <w:r w:rsidRPr="008B1465">
        <w:rPr>
          <w:rFonts w:ascii="Times New Roman" w:hAnsi="Times New Roman"/>
          <w:color w:val="000000"/>
          <w:sz w:val="24"/>
          <w:szCs w:val="24"/>
        </w:rPr>
        <w:t xml:space="preserve"> platform for me to study without any disturbances.</w:t>
      </w:r>
    </w:p>
    <w:p w14:paraId="33FE5D5C" w14:textId="5C344821" w:rsidR="00B4117B" w:rsidRPr="008B1465" w:rsidRDefault="00B4117B" w:rsidP="00305F2A">
      <w:pPr>
        <w:spacing w:after="0" w:line="276" w:lineRule="auto"/>
        <w:jc w:val="both"/>
        <w:rPr>
          <w:rFonts w:ascii="Times New Roman" w:hAnsi="Times New Roman"/>
          <w:color w:val="000000"/>
          <w:sz w:val="24"/>
          <w:szCs w:val="24"/>
        </w:rPr>
      </w:pPr>
      <w:r w:rsidRPr="008B1465">
        <w:rPr>
          <w:rFonts w:ascii="Times New Roman" w:hAnsi="Times New Roman"/>
          <w:color w:val="000000"/>
          <w:sz w:val="24"/>
          <w:szCs w:val="24"/>
        </w:rPr>
        <w:t>I appreciate my Ph</w:t>
      </w:r>
      <w:r w:rsidR="00C91A8E" w:rsidRPr="008B1465">
        <w:rPr>
          <w:rFonts w:ascii="Times New Roman" w:hAnsi="Times New Roman"/>
          <w:color w:val="000000"/>
          <w:sz w:val="24"/>
          <w:szCs w:val="24"/>
        </w:rPr>
        <w:t>.</w:t>
      </w:r>
      <w:r w:rsidRPr="008B1465">
        <w:rPr>
          <w:rFonts w:ascii="Times New Roman" w:hAnsi="Times New Roman"/>
          <w:color w:val="000000"/>
          <w:sz w:val="24"/>
          <w:szCs w:val="24"/>
        </w:rPr>
        <w:t>D</w:t>
      </w:r>
      <w:r w:rsidR="00C91A8E" w:rsidRPr="008B1465">
        <w:rPr>
          <w:rFonts w:ascii="Times New Roman" w:hAnsi="Times New Roman"/>
          <w:color w:val="000000"/>
          <w:sz w:val="24"/>
          <w:szCs w:val="24"/>
        </w:rPr>
        <w:t>.</w:t>
      </w:r>
      <w:r w:rsidRPr="008B1465">
        <w:rPr>
          <w:rFonts w:ascii="Times New Roman" w:hAnsi="Times New Roman"/>
          <w:color w:val="000000"/>
          <w:sz w:val="24"/>
          <w:szCs w:val="24"/>
        </w:rPr>
        <w:t xml:space="preserve"> colleagues for making me feel at home: Elder Ajigbotoso Moses, </w:t>
      </w:r>
      <w:r w:rsidR="00EA0C56">
        <w:rPr>
          <w:rFonts w:ascii="Times New Roman" w:hAnsi="Times New Roman"/>
          <w:color w:val="000000"/>
          <w:sz w:val="24"/>
          <w:szCs w:val="24"/>
        </w:rPr>
        <w:t xml:space="preserve">Mr. </w:t>
      </w:r>
      <w:r w:rsidRPr="008B1465">
        <w:rPr>
          <w:rFonts w:ascii="Times New Roman" w:hAnsi="Times New Roman"/>
          <w:color w:val="000000"/>
          <w:sz w:val="24"/>
          <w:szCs w:val="24"/>
        </w:rPr>
        <w:t>Oluyemi Odutola, Pastor Da-silva</w:t>
      </w:r>
      <w:r w:rsidR="000B5254">
        <w:rPr>
          <w:rFonts w:ascii="Times New Roman" w:hAnsi="Times New Roman"/>
          <w:color w:val="000000"/>
          <w:sz w:val="24"/>
          <w:szCs w:val="24"/>
        </w:rPr>
        <w:t xml:space="preserve"> Christopher Adewale</w:t>
      </w:r>
      <w:r w:rsidRPr="008B1465">
        <w:rPr>
          <w:rFonts w:ascii="Times New Roman" w:hAnsi="Times New Roman"/>
          <w:color w:val="000000"/>
          <w:sz w:val="24"/>
          <w:szCs w:val="24"/>
        </w:rPr>
        <w:t xml:space="preserve">, </w:t>
      </w:r>
      <w:r w:rsidR="00AA4AF7" w:rsidRPr="008B1465">
        <w:rPr>
          <w:rFonts w:ascii="Times New Roman" w:hAnsi="Times New Roman"/>
          <w:color w:val="000000"/>
          <w:sz w:val="24"/>
          <w:szCs w:val="24"/>
        </w:rPr>
        <w:t xml:space="preserve">Mr. Bamidele </w:t>
      </w:r>
      <w:r w:rsidRPr="008B1465">
        <w:rPr>
          <w:rFonts w:ascii="Times New Roman" w:hAnsi="Times New Roman"/>
          <w:color w:val="000000"/>
          <w:sz w:val="24"/>
          <w:szCs w:val="24"/>
        </w:rPr>
        <w:t xml:space="preserve">Potifa, </w:t>
      </w:r>
      <w:r w:rsidR="0015211E" w:rsidRPr="008B1465">
        <w:rPr>
          <w:rFonts w:ascii="Times New Roman" w:hAnsi="Times New Roman"/>
          <w:color w:val="000000"/>
          <w:sz w:val="24"/>
          <w:szCs w:val="24"/>
        </w:rPr>
        <w:t xml:space="preserve">Mr. </w:t>
      </w:r>
      <w:r w:rsidRPr="008B1465">
        <w:rPr>
          <w:rFonts w:ascii="Times New Roman" w:hAnsi="Times New Roman"/>
          <w:color w:val="000000"/>
          <w:sz w:val="24"/>
          <w:szCs w:val="24"/>
        </w:rPr>
        <w:t>Matthew</w:t>
      </w:r>
      <w:r w:rsidR="00EA3756">
        <w:rPr>
          <w:rFonts w:ascii="Times New Roman" w:hAnsi="Times New Roman"/>
          <w:color w:val="000000"/>
          <w:sz w:val="24"/>
          <w:szCs w:val="24"/>
        </w:rPr>
        <w:t xml:space="preserve"> </w:t>
      </w:r>
      <w:r w:rsidR="002C7826">
        <w:rPr>
          <w:rFonts w:ascii="Times New Roman" w:hAnsi="Times New Roman"/>
          <w:color w:val="000000"/>
          <w:sz w:val="24"/>
          <w:szCs w:val="24"/>
        </w:rPr>
        <w:t>Abimboye</w:t>
      </w:r>
      <w:r w:rsidRPr="008B1465">
        <w:rPr>
          <w:rFonts w:ascii="Times New Roman" w:hAnsi="Times New Roman"/>
          <w:color w:val="000000"/>
          <w:sz w:val="24"/>
          <w:szCs w:val="24"/>
        </w:rPr>
        <w:t xml:space="preserve">, </w:t>
      </w:r>
      <w:r w:rsidR="00EA0C56">
        <w:rPr>
          <w:rFonts w:ascii="Times New Roman" w:hAnsi="Times New Roman"/>
          <w:color w:val="000000"/>
          <w:sz w:val="24"/>
          <w:szCs w:val="24"/>
        </w:rPr>
        <w:t xml:space="preserve">Mrs. </w:t>
      </w:r>
      <w:r w:rsidRPr="008B1465">
        <w:rPr>
          <w:rFonts w:ascii="Times New Roman" w:hAnsi="Times New Roman"/>
          <w:color w:val="000000"/>
          <w:sz w:val="24"/>
          <w:szCs w:val="24"/>
        </w:rPr>
        <w:t>Akintoye</w:t>
      </w:r>
      <w:r w:rsidR="00EA3756">
        <w:rPr>
          <w:rFonts w:ascii="Times New Roman" w:hAnsi="Times New Roman"/>
          <w:color w:val="000000"/>
          <w:sz w:val="24"/>
          <w:szCs w:val="24"/>
        </w:rPr>
        <w:t xml:space="preserve"> Rosline</w:t>
      </w:r>
      <w:r w:rsidRPr="008B1465">
        <w:rPr>
          <w:rFonts w:ascii="Times New Roman" w:hAnsi="Times New Roman"/>
          <w:color w:val="000000"/>
          <w:sz w:val="24"/>
          <w:szCs w:val="24"/>
        </w:rPr>
        <w:t>,</w:t>
      </w:r>
      <w:r w:rsidR="00806565" w:rsidRPr="008B1465">
        <w:rPr>
          <w:rFonts w:ascii="Times New Roman" w:hAnsi="Times New Roman"/>
          <w:color w:val="000000"/>
          <w:sz w:val="24"/>
          <w:szCs w:val="24"/>
        </w:rPr>
        <w:t xml:space="preserve"> Mrs. Josephine </w:t>
      </w:r>
      <w:r w:rsidR="00EA0C56">
        <w:rPr>
          <w:rFonts w:ascii="Times New Roman" w:hAnsi="Times New Roman"/>
          <w:color w:val="000000"/>
          <w:sz w:val="24"/>
          <w:szCs w:val="24"/>
        </w:rPr>
        <w:t>Ajiroba</w:t>
      </w:r>
      <w:r w:rsidRPr="008B1465">
        <w:rPr>
          <w:rFonts w:ascii="Times New Roman" w:hAnsi="Times New Roman"/>
          <w:color w:val="000000"/>
          <w:sz w:val="24"/>
          <w:szCs w:val="24"/>
        </w:rPr>
        <w:t xml:space="preserve"> and others. Special thanks to Dr. Ayobaye Salemcity from Adekunle Ajasin University, who introduced me to accounting during my Diploma Programme.</w:t>
      </w:r>
    </w:p>
    <w:p w14:paraId="6508FE08" w14:textId="77994E8E" w:rsidR="00B4117B" w:rsidRPr="008B1465" w:rsidRDefault="00B4117B" w:rsidP="00305F2A">
      <w:pPr>
        <w:spacing w:after="0" w:line="276" w:lineRule="auto"/>
        <w:jc w:val="both"/>
        <w:rPr>
          <w:rFonts w:ascii="Times New Roman" w:hAnsi="Times New Roman"/>
          <w:color w:val="000000"/>
          <w:sz w:val="24"/>
          <w:szCs w:val="24"/>
        </w:rPr>
      </w:pPr>
      <w:r w:rsidRPr="008B1465">
        <w:rPr>
          <w:rFonts w:ascii="Times New Roman" w:hAnsi="Times New Roman"/>
          <w:color w:val="000000"/>
          <w:sz w:val="24"/>
          <w:szCs w:val="24"/>
        </w:rPr>
        <w:t>I particularly thank the following personalit</w:t>
      </w:r>
      <w:r w:rsidR="00BC4FDE" w:rsidRPr="008B1465">
        <w:rPr>
          <w:rFonts w:ascii="Times New Roman" w:hAnsi="Times New Roman"/>
          <w:color w:val="000000"/>
          <w:sz w:val="24"/>
          <w:szCs w:val="24"/>
        </w:rPr>
        <w:t>ies</w:t>
      </w:r>
      <w:r w:rsidRPr="008B1465">
        <w:rPr>
          <w:rFonts w:ascii="Times New Roman" w:hAnsi="Times New Roman"/>
          <w:color w:val="000000"/>
          <w:sz w:val="24"/>
          <w:szCs w:val="24"/>
        </w:rPr>
        <w:t>:</w:t>
      </w:r>
      <w:r w:rsidR="00FE01AA" w:rsidRPr="008B1465">
        <w:rPr>
          <w:rFonts w:ascii="Times New Roman" w:hAnsi="Times New Roman"/>
          <w:color w:val="000000"/>
          <w:sz w:val="24"/>
          <w:szCs w:val="24"/>
        </w:rPr>
        <w:t xml:space="preserve"> Revd </w:t>
      </w:r>
      <w:r w:rsidR="00CA10D6" w:rsidRPr="008B1465">
        <w:rPr>
          <w:rFonts w:ascii="Times New Roman" w:hAnsi="Times New Roman"/>
          <w:color w:val="000000"/>
          <w:sz w:val="24"/>
          <w:szCs w:val="24"/>
        </w:rPr>
        <w:t>(</w:t>
      </w:r>
      <w:r w:rsidR="00FE01AA" w:rsidRPr="008B1465">
        <w:rPr>
          <w:rFonts w:ascii="Times New Roman" w:hAnsi="Times New Roman"/>
          <w:color w:val="000000"/>
          <w:sz w:val="24"/>
          <w:szCs w:val="24"/>
        </w:rPr>
        <w:t>Dr.</w:t>
      </w:r>
      <w:r w:rsidR="00CA10D6" w:rsidRPr="008B1465">
        <w:rPr>
          <w:rFonts w:ascii="Times New Roman" w:hAnsi="Times New Roman"/>
          <w:color w:val="000000"/>
          <w:sz w:val="24"/>
          <w:szCs w:val="24"/>
        </w:rPr>
        <w:t>)</w:t>
      </w:r>
      <w:r w:rsidR="00FE01AA" w:rsidRPr="008B1465">
        <w:rPr>
          <w:rFonts w:ascii="Times New Roman" w:hAnsi="Times New Roman"/>
          <w:color w:val="000000"/>
          <w:sz w:val="24"/>
          <w:szCs w:val="24"/>
        </w:rPr>
        <w:t xml:space="preserve"> G.K. Ajayi, Revd Festus Oyeniyi</w:t>
      </w:r>
      <w:r w:rsidR="003066E0" w:rsidRPr="008B1465">
        <w:rPr>
          <w:rFonts w:ascii="Times New Roman" w:hAnsi="Times New Roman"/>
          <w:color w:val="000000"/>
          <w:sz w:val="24"/>
          <w:szCs w:val="24"/>
        </w:rPr>
        <w:t>,</w:t>
      </w:r>
      <w:r w:rsidRPr="008B1465">
        <w:rPr>
          <w:rFonts w:ascii="Times New Roman" w:hAnsi="Times New Roman"/>
          <w:color w:val="000000"/>
          <w:sz w:val="24"/>
          <w:szCs w:val="24"/>
        </w:rPr>
        <w:t xml:space="preserve"> Prof. Theresa Yinka Ajayi, Prof. Dupe Asokhia, Prof. Solomon Makinde, Prof. Patrick Onuwa Yalokwu, Prof. Comfort</w:t>
      </w:r>
      <w:r w:rsidR="0002347C">
        <w:rPr>
          <w:rFonts w:ascii="Times New Roman" w:hAnsi="Times New Roman"/>
          <w:color w:val="000000"/>
          <w:sz w:val="24"/>
          <w:szCs w:val="24"/>
        </w:rPr>
        <w:t xml:space="preserve"> E.</w:t>
      </w:r>
      <w:r w:rsidRPr="008B1465">
        <w:rPr>
          <w:rFonts w:ascii="Times New Roman" w:hAnsi="Times New Roman"/>
          <w:color w:val="000000"/>
          <w:sz w:val="24"/>
          <w:szCs w:val="24"/>
        </w:rPr>
        <w:t xml:space="preserve"> Omorogbe, Prof. Amos Abisoye, </w:t>
      </w:r>
      <w:r w:rsidR="00B33E37" w:rsidRPr="008B1465">
        <w:rPr>
          <w:rFonts w:ascii="Times New Roman" w:hAnsi="Times New Roman"/>
          <w:color w:val="000000"/>
          <w:sz w:val="24"/>
          <w:szCs w:val="24"/>
        </w:rPr>
        <w:t>Ass</w:t>
      </w:r>
      <w:r w:rsidR="0002347C">
        <w:rPr>
          <w:rFonts w:ascii="Times New Roman" w:hAnsi="Times New Roman"/>
          <w:color w:val="000000"/>
          <w:sz w:val="24"/>
          <w:szCs w:val="24"/>
        </w:rPr>
        <w:t>o</w:t>
      </w:r>
      <w:r w:rsidR="00B33E37" w:rsidRPr="008B1465">
        <w:rPr>
          <w:rFonts w:ascii="Times New Roman" w:hAnsi="Times New Roman"/>
          <w:color w:val="000000"/>
          <w:sz w:val="24"/>
          <w:szCs w:val="24"/>
        </w:rPr>
        <w:t xml:space="preserve">ciate </w:t>
      </w:r>
      <w:r w:rsidRPr="008B1465">
        <w:rPr>
          <w:rFonts w:ascii="Times New Roman" w:hAnsi="Times New Roman"/>
          <w:color w:val="000000"/>
          <w:sz w:val="24"/>
          <w:szCs w:val="24"/>
        </w:rPr>
        <w:t>Prof</w:t>
      </w:r>
      <w:r w:rsidR="00B33E37" w:rsidRPr="008B1465">
        <w:rPr>
          <w:rFonts w:ascii="Times New Roman" w:hAnsi="Times New Roman"/>
          <w:color w:val="000000"/>
          <w:sz w:val="24"/>
          <w:szCs w:val="24"/>
        </w:rPr>
        <w:t>.</w:t>
      </w:r>
      <w:r w:rsidRPr="008B1465">
        <w:rPr>
          <w:rFonts w:ascii="Times New Roman" w:hAnsi="Times New Roman"/>
          <w:color w:val="000000"/>
          <w:sz w:val="24"/>
          <w:szCs w:val="24"/>
        </w:rPr>
        <w:t xml:space="preserve"> Isaac Gbenga Aladegbola, Dr. Femi Ikuomenisan, Dr. Charles Tunde Agbaje (UNILORIN), Mr. Soji Adenugba, Mr.</w:t>
      </w:r>
      <w:r w:rsidR="00435C87" w:rsidRPr="008B1465">
        <w:rPr>
          <w:rFonts w:ascii="Times New Roman" w:hAnsi="Times New Roman"/>
          <w:color w:val="000000"/>
          <w:sz w:val="24"/>
          <w:szCs w:val="24"/>
        </w:rPr>
        <w:t xml:space="preserve"> Solomon</w:t>
      </w:r>
      <w:r w:rsidRPr="008B1465">
        <w:rPr>
          <w:rFonts w:ascii="Times New Roman" w:hAnsi="Times New Roman"/>
          <w:color w:val="000000"/>
          <w:sz w:val="24"/>
          <w:szCs w:val="24"/>
        </w:rPr>
        <w:t xml:space="preserve"> Aransiola</w:t>
      </w:r>
      <w:r w:rsidR="00435C87" w:rsidRPr="008B1465">
        <w:rPr>
          <w:rFonts w:ascii="Times New Roman" w:hAnsi="Times New Roman"/>
          <w:color w:val="000000"/>
          <w:sz w:val="24"/>
          <w:szCs w:val="24"/>
        </w:rPr>
        <w:t xml:space="preserve">, and to my beloved </w:t>
      </w:r>
      <w:r w:rsidR="00884703" w:rsidRPr="008B1465">
        <w:rPr>
          <w:rFonts w:ascii="Times New Roman" w:hAnsi="Times New Roman"/>
          <w:color w:val="000000"/>
          <w:sz w:val="24"/>
          <w:szCs w:val="24"/>
        </w:rPr>
        <w:t xml:space="preserve">late </w:t>
      </w:r>
      <w:r w:rsidR="00435C87" w:rsidRPr="008B1465">
        <w:rPr>
          <w:rFonts w:ascii="Times New Roman" w:hAnsi="Times New Roman"/>
          <w:color w:val="000000"/>
          <w:sz w:val="24"/>
          <w:szCs w:val="24"/>
        </w:rPr>
        <w:t>Pastor</w:t>
      </w:r>
      <w:r w:rsidR="00884703" w:rsidRPr="008B1465">
        <w:rPr>
          <w:rFonts w:ascii="Times New Roman" w:hAnsi="Times New Roman"/>
          <w:color w:val="000000"/>
          <w:sz w:val="24"/>
          <w:szCs w:val="24"/>
        </w:rPr>
        <w:t xml:space="preserve"> J.D. </w:t>
      </w:r>
      <w:r w:rsidR="00435C87" w:rsidRPr="008B1465">
        <w:rPr>
          <w:rFonts w:ascii="Times New Roman" w:hAnsi="Times New Roman"/>
          <w:color w:val="000000"/>
          <w:sz w:val="24"/>
          <w:szCs w:val="24"/>
        </w:rPr>
        <w:t>Obafemi</w:t>
      </w:r>
      <w:r w:rsidR="00806565" w:rsidRPr="008B1465">
        <w:rPr>
          <w:rFonts w:ascii="Times New Roman" w:hAnsi="Times New Roman"/>
          <w:color w:val="000000"/>
          <w:sz w:val="24"/>
          <w:szCs w:val="24"/>
        </w:rPr>
        <w:t>.</w:t>
      </w:r>
    </w:p>
    <w:p w14:paraId="01E8954D" w14:textId="60E5C80F" w:rsidR="00B4117B" w:rsidRPr="008B1465" w:rsidRDefault="00B4117B" w:rsidP="00305F2A">
      <w:pPr>
        <w:spacing w:after="0" w:line="276" w:lineRule="auto"/>
        <w:jc w:val="both"/>
        <w:rPr>
          <w:rFonts w:ascii="Times New Roman" w:hAnsi="Times New Roman"/>
          <w:sz w:val="24"/>
          <w:szCs w:val="24"/>
        </w:rPr>
      </w:pPr>
      <w:r w:rsidRPr="008B1465">
        <w:rPr>
          <w:rFonts w:ascii="Times New Roman" w:hAnsi="Times New Roman"/>
          <w:color w:val="000000"/>
          <w:sz w:val="24"/>
          <w:szCs w:val="24"/>
        </w:rPr>
        <w:t>I am total</w:t>
      </w:r>
      <w:r w:rsidR="004446D9" w:rsidRPr="008B1465">
        <w:rPr>
          <w:rFonts w:ascii="Times New Roman" w:hAnsi="Times New Roman"/>
          <w:color w:val="000000"/>
          <w:sz w:val="24"/>
          <w:szCs w:val="24"/>
        </w:rPr>
        <w:t>ly</w:t>
      </w:r>
      <w:r w:rsidRPr="008B1465">
        <w:rPr>
          <w:rFonts w:ascii="Times New Roman" w:hAnsi="Times New Roman"/>
          <w:color w:val="000000"/>
          <w:sz w:val="24"/>
          <w:szCs w:val="24"/>
        </w:rPr>
        <w:t xml:space="preserve"> indebted to my family</w:t>
      </w:r>
      <w:r w:rsidR="009F20BA" w:rsidRPr="008B1465">
        <w:rPr>
          <w:rFonts w:ascii="Times New Roman" w:hAnsi="Times New Roman"/>
          <w:color w:val="000000"/>
          <w:sz w:val="24"/>
          <w:szCs w:val="24"/>
        </w:rPr>
        <w:t>;</w:t>
      </w:r>
      <w:r w:rsidRPr="008B1465">
        <w:rPr>
          <w:rFonts w:ascii="Times New Roman" w:hAnsi="Times New Roman"/>
          <w:color w:val="000000"/>
          <w:sz w:val="24"/>
          <w:szCs w:val="24"/>
        </w:rPr>
        <w:t xml:space="preserve"> my wife, Mrs</w:t>
      </w:r>
      <w:r w:rsidR="004E7B83" w:rsidRPr="008B1465">
        <w:rPr>
          <w:rFonts w:ascii="Times New Roman" w:hAnsi="Times New Roman"/>
          <w:color w:val="000000"/>
          <w:sz w:val="24"/>
          <w:szCs w:val="24"/>
        </w:rPr>
        <w:t>.</w:t>
      </w:r>
      <w:r w:rsidRPr="008B1465">
        <w:rPr>
          <w:rFonts w:ascii="Times New Roman" w:hAnsi="Times New Roman"/>
          <w:color w:val="000000"/>
          <w:sz w:val="24"/>
          <w:szCs w:val="24"/>
        </w:rPr>
        <w:t xml:space="preserve"> Ruth Olayemi Oguntuase, for </w:t>
      </w:r>
      <w:r w:rsidR="000F1C02" w:rsidRPr="008B1465">
        <w:rPr>
          <w:rFonts w:ascii="Times New Roman" w:hAnsi="Times New Roman"/>
          <w:color w:val="000000"/>
          <w:sz w:val="24"/>
          <w:szCs w:val="24"/>
        </w:rPr>
        <w:t>her</w:t>
      </w:r>
      <w:r w:rsidRPr="008B1465">
        <w:rPr>
          <w:rFonts w:ascii="Times New Roman" w:hAnsi="Times New Roman"/>
          <w:color w:val="000000"/>
          <w:sz w:val="24"/>
          <w:szCs w:val="24"/>
        </w:rPr>
        <w:t xml:space="preserve"> encouragements and taking care of our children; Israel, Joseph, Rachael and my name</w:t>
      </w:r>
      <w:r w:rsidR="003C6D5C" w:rsidRPr="008B1465">
        <w:rPr>
          <w:rFonts w:ascii="Times New Roman" w:hAnsi="Times New Roman"/>
          <w:color w:val="000000"/>
          <w:sz w:val="24"/>
          <w:szCs w:val="24"/>
        </w:rPr>
        <w:t>-</w:t>
      </w:r>
      <w:r w:rsidRPr="008B1465">
        <w:rPr>
          <w:rFonts w:ascii="Times New Roman" w:hAnsi="Times New Roman"/>
          <w:color w:val="000000"/>
          <w:sz w:val="24"/>
          <w:szCs w:val="24"/>
        </w:rPr>
        <w:t>sake Alexander (Jnr) for your patience, understanding and love. I equally appreciate my mother-in-law</w:t>
      </w:r>
      <w:r w:rsidR="003C6D5C" w:rsidRPr="008B1465">
        <w:rPr>
          <w:rFonts w:ascii="Times New Roman" w:hAnsi="Times New Roman"/>
          <w:color w:val="000000"/>
          <w:sz w:val="24"/>
          <w:szCs w:val="24"/>
        </w:rPr>
        <w:t>;</w:t>
      </w:r>
      <w:r w:rsidRPr="008B1465">
        <w:rPr>
          <w:rFonts w:ascii="Times New Roman" w:hAnsi="Times New Roman"/>
          <w:color w:val="000000"/>
          <w:sz w:val="24"/>
          <w:szCs w:val="24"/>
        </w:rPr>
        <w:t xml:space="preserve"> D</w:t>
      </w:r>
      <w:r w:rsidR="007871BF" w:rsidRPr="008B1465">
        <w:rPr>
          <w:rFonts w:ascii="Times New Roman" w:hAnsi="Times New Roman"/>
          <w:color w:val="000000"/>
          <w:sz w:val="24"/>
          <w:szCs w:val="24"/>
        </w:rPr>
        <w:t>ea</w:t>
      </w:r>
      <w:r w:rsidRPr="008B1465">
        <w:rPr>
          <w:rFonts w:ascii="Times New Roman" w:hAnsi="Times New Roman"/>
          <w:color w:val="000000"/>
          <w:sz w:val="24"/>
          <w:szCs w:val="24"/>
        </w:rPr>
        <w:t>coness Esther Ajayi, my mother, Eld</w:t>
      </w:r>
      <w:r w:rsidR="00037649" w:rsidRPr="008B1465">
        <w:rPr>
          <w:rFonts w:ascii="Times New Roman" w:hAnsi="Times New Roman"/>
          <w:color w:val="000000"/>
          <w:sz w:val="24"/>
          <w:szCs w:val="24"/>
        </w:rPr>
        <w:t>er</w:t>
      </w:r>
      <w:r w:rsidRPr="008B1465">
        <w:rPr>
          <w:rFonts w:ascii="Times New Roman" w:hAnsi="Times New Roman"/>
          <w:color w:val="000000"/>
          <w:sz w:val="24"/>
          <w:szCs w:val="24"/>
        </w:rPr>
        <w:t xml:space="preserve"> Mrs.</w:t>
      </w:r>
      <w:r w:rsidR="00037649" w:rsidRPr="008B1465">
        <w:rPr>
          <w:rFonts w:ascii="Times New Roman" w:hAnsi="Times New Roman"/>
          <w:color w:val="000000"/>
          <w:sz w:val="24"/>
          <w:szCs w:val="24"/>
        </w:rPr>
        <w:t xml:space="preserve"> Rachael</w:t>
      </w:r>
      <w:r w:rsidRPr="008B1465">
        <w:rPr>
          <w:rFonts w:ascii="Times New Roman" w:hAnsi="Times New Roman"/>
          <w:color w:val="000000"/>
          <w:sz w:val="24"/>
          <w:szCs w:val="24"/>
        </w:rPr>
        <w:t xml:space="preserve"> Oguntuase and siblings;</w:t>
      </w:r>
      <w:r w:rsidR="00AD7652">
        <w:rPr>
          <w:rFonts w:ascii="Times New Roman" w:hAnsi="Times New Roman"/>
          <w:color w:val="000000"/>
          <w:sz w:val="24"/>
          <w:szCs w:val="24"/>
        </w:rPr>
        <w:t xml:space="preserve"> Mr. Solomon Oguntuase,</w:t>
      </w:r>
      <w:r w:rsidRPr="008B1465">
        <w:rPr>
          <w:rFonts w:ascii="Times New Roman" w:hAnsi="Times New Roman"/>
          <w:color w:val="000000"/>
          <w:sz w:val="24"/>
          <w:szCs w:val="24"/>
        </w:rPr>
        <w:t xml:space="preserve"> </w:t>
      </w:r>
      <w:r w:rsidR="00AD7652">
        <w:rPr>
          <w:rFonts w:ascii="Times New Roman" w:hAnsi="Times New Roman"/>
          <w:color w:val="000000"/>
          <w:sz w:val="24"/>
          <w:szCs w:val="24"/>
        </w:rPr>
        <w:t xml:space="preserve">Pastor </w:t>
      </w:r>
      <w:r w:rsidRPr="008B1465">
        <w:rPr>
          <w:rFonts w:ascii="Times New Roman" w:hAnsi="Times New Roman"/>
          <w:color w:val="000000"/>
          <w:sz w:val="24"/>
          <w:szCs w:val="24"/>
        </w:rPr>
        <w:t>Joseph K</w:t>
      </w:r>
      <w:r w:rsidR="00AD7652">
        <w:rPr>
          <w:rFonts w:ascii="Times New Roman" w:hAnsi="Times New Roman"/>
          <w:color w:val="000000"/>
          <w:sz w:val="24"/>
          <w:szCs w:val="24"/>
        </w:rPr>
        <w:t>.</w:t>
      </w:r>
      <w:r w:rsidRPr="008B1465">
        <w:rPr>
          <w:rFonts w:ascii="Times New Roman" w:hAnsi="Times New Roman"/>
          <w:color w:val="000000"/>
          <w:sz w:val="24"/>
          <w:szCs w:val="24"/>
        </w:rPr>
        <w:t xml:space="preserve"> O</w:t>
      </w:r>
      <w:r w:rsidR="00CC707E">
        <w:rPr>
          <w:rFonts w:ascii="Times New Roman" w:hAnsi="Times New Roman"/>
          <w:color w:val="000000"/>
          <w:sz w:val="24"/>
          <w:szCs w:val="24"/>
        </w:rPr>
        <w:t>luwatunwase</w:t>
      </w:r>
      <w:r w:rsidRPr="008B1465">
        <w:rPr>
          <w:rFonts w:ascii="Times New Roman" w:hAnsi="Times New Roman"/>
          <w:color w:val="000000"/>
          <w:sz w:val="24"/>
          <w:szCs w:val="24"/>
        </w:rPr>
        <w:t xml:space="preserve">, Professor James Adedayo Oguntuase, </w:t>
      </w:r>
      <w:r w:rsidR="00CC707E">
        <w:rPr>
          <w:rFonts w:ascii="Times New Roman" w:hAnsi="Times New Roman"/>
          <w:color w:val="000000"/>
          <w:sz w:val="24"/>
          <w:szCs w:val="24"/>
        </w:rPr>
        <w:t xml:space="preserve">Mrs. </w:t>
      </w:r>
      <w:r w:rsidRPr="008B1465">
        <w:rPr>
          <w:rFonts w:ascii="Times New Roman" w:hAnsi="Times New Roman"/>
          <w:color w:val="000000"/>
          <w:sz w:val="24"/>
          <w:szCs w:val="24"/>
        </w:rPr>
        <w:t>Omobolaji Awoniyi, Clement Oguntuase, Abel Oguntuase, and Ayodeji Adejoro for their support</w:t>
      </w:r>
      <w:r w:rsidR="00EF7911" w:rsidRPr="008B1465">
        <w:rPr>
          <w:rFonts w:ascii="Times New Roman" w:hAnsi="Times New Roman"/>
          <w:color w:val="000000"/>
          <w:sz w:val="24"/>
          <w:szCs w:val="24"/>
        </w:rPr>
        <w:t>s</w:t>
      </w:r>
      <w:r w:rsidRPr="008B1465">
        <w:rPr>
          <w:rFonts w:ascii="Times New Roman" w:hAnsi="Times New Roman"/>
          <w:color w:val="000000"/>
          <w:sz w:val="24"/>
          <w:szCs w:val="24"/>
        </w:rPr>
        <w:t xml:space="preserve"> and encouragements. </w:t>
      </w:r>
    </w:p>
    <w:p w14:paraId="52B44FE9" w14:textId="77777777" w:rsidR="00B4117B" w:rsidRPr="008B1465" w:rsidRDefault="00B4117B" w:rsidP="00305F2A">
      <w:pPr>
        <w:spacing w:after="0" w:line="276" w:lineRule="auto"/>
        <w:jc w:val="both"/>
        <w:rPr>
          <w:rFonts w:ascii="Times New Roman" w:hAnsi="Times New Roman"/>
          <w:sz w:val="24"/>
          <w:szCs w:val="24"/>
        </w:rPr>
      </w:pPr>
      <w:r w:rsidRPr="008B1465">
        <w:rPr>
          <w:rFonts w:ascii="Times New Roman" w:hAnsi="Times New Roman"/>
          <w:color w:val="000000"/>
          <w:sz w:val="24"/>
          <w:szCs w:val="24"/>
        </w:rPr>
        <w:t>Lastly, I appreciate the Apostolic Faith Mission WECA, Faith City Regional Services, Igbesa, Ogun State, for their prayers for me while conducting this research. I thank every other person who has contributed in one way or the other to the success of this study, but whose name has not been mentioned here. Thank you and God bless.</w:t>
      </w:r>
    </w:p>
    <w:p w14:paraId="1D913FAF" w14:textId="5A5A907B" w:rsidR="00B4117B" w:rsidRPr="008B1465" w:rsidRDefault="00B4117B" w:rsidP="00796856">
      <w:pPr>
        <w:jc w:val="both"/>
        <w:rPr>
          <w:rFonts w:ascii="Times New Roman" w:hAnsi="Times New Roman"/>
          <w:sz w:val="24"/>
          <w:szCs w:val="24"/>
        </w:rPr>
      </w:pPr>
    </w:p>
    <w:p w14:paraId="5F659F57" w14:textId="42A68A77" w:rsidR="00EF7911" w:rsidRPr="008B1465" w:rsidRDefault="00EF7911" w:rsidP="00796856">
      <w:pPr>
        <w:jc w:val="both"/>
        <w:rPr>
          <w:rFonts w:ascii="Times New Roman" w:hAnsi="Times New Roman"/>
          <w:sz w:val="24"/>
          <w:szCs w:val="24"/>
        </w:rPr>
      </w:pPr>
      <w:r w:rsidRPr="008B1465">
        <w:rPr>
          <w:rFonts w:ascii="Times New Roman" w:hAnsi="Times New Roman"/>
          <w:sz w:val="24"/>
          <w:szCs w:val="24"/>
        </w:rPr>
        <w:t>Oguntuase, Alexander Tunde</w:t>
      </w:r>
    </w:p>
    <w:p w14:paraId="0A1AD6C5" w14:textId="33748AF0" w:rsidR="00EF7911" w:rsidRPr="008B1465" w:rsidRDefault="006F4A0A" w:rsidP="00796856">
      <w:pPr>
        <w:jc w:val="both"/>
        <w:rPr>
          <w:rFonts w:ascii="Times New Roman" w:hAnsi="Times New Roman"/>
          <w:sz w:val="24"/>
          <w:szCs w:val="24"/>
        </w:rPr>
      </w:pPr>
      <w:r w:rsidRPr="008B1465">
        <w:rPr>
          <w:rFonts w:ascii="Times New Roman" w:hAnsi="Times New Roman"/>
          <w:sz w:val="24"/>
          <w:szCs w:val="24"/>
        </w:rPr>
        <w:t>June</w:t>
      </w:r>
      <w:r w:rsidR="00EF7911" w:rsidRPr="008B1465">
        <w:rPr>
          <w:rFonts w:ascii="Times New Roman" w:hAnsi="Times New Roman"/>
          <w:sz w:val="24"/>
          <w:szCs w:val="24"/>
        </w:rPr>
        <w:t>, 2023.</w:t>
      </w:r>
    </w:p>
    <w:p w14:paraId="49A8DB79" w14:textId="77777777" w:rsidR="00796856" w:rsidRPr="008B1465" w:rsidRDefault="00796856" w:rsidP="00796856">
      <w:pPr>
        <w:jc w:val="both"/>
        <w:rPr>
          <w:rFonts w:ascii="Times New Roman" w:hAnsi="Times New Roman"/>
          <w:sz w:val="24"/>
          <w:szCs w:val="24"/>
        </w:rPr>
      </w:pPr>
    </w:p>
    <w:p w14:paraId="6DF881CD" w14:textId="77777777" w:rsidR="00796856" w:rsidRPr="008B1465" w:rsidRDefault="00796856" w:rsidP="00796856">
      <w:pPr>
        <w:jc w:val="both"/>
        <w:rPr>
          <w:rFonts w:ascii="Times New Roman" w:hAnsi="Times New Roman"/>
          <w:sz w:val="24"/>
          <w:szCs w:val="24"/>
        </w:rPr>
      </w:pPr>
    </w:p>
    <w:p w14:paraId="7198954C" w14:textId="77777777" w:rsidR="00796856" w:rsidRPr="008B1465" w:rsidRDefault="00796856" w:rsidP="00796856">
      <w:pPr>
        <w:jc w:val="both"/>
        <w:rPr>
          <w:rFonts w:ascii="Times New Roman" w:hAnsi="Times New Roman"/>
          <w:sz w:val="24"/>
          <w:szCs w:val="24"/>
        </w:rPr>
      </w:pPr>
    </w:p>
    <w:p w14:paraId="15F7FBDB" w14:textId="318E093B" w:rsidR="00657B7F" w:rsidRPr="00920591" w:rsidRDefault="00796856" w:rsidP="00920591">
      <w:pPr>
        <w:spacing w:before="0" w:beforeAutospacing="0" w:after="160" w:line="259" w:lineRule="auto"/>
        <w:rPr>
          <w:rFonts w:ascii="Times New Roman" w:hAnsi="Times New Roman"/>
          <w:sz w:val="24"/>
          <w:szCs w:val="24"/>
        </w:rPr>
      </w:pPr>
      <w:r w:rsidRPr="008B1465">
        <w:rPr>
          <w:rFonts w:ascii="Times New Roman" w:hAnsi="Times New Roman"/>
          <w:sz w:val="24"/>
          <w:szCs w:val="24"/>
        </w:rPr>
        <w:br w:type="page"/>
      </w:r>
    </w:p>
    <w:bookmarkStart w:id="10" w:name="_Toc145951064" w:displacedByCustomXml="next"/>
    <w:sdt>
      <w:sdtPr>
        <w:rPr>
          <w:rFonts w:ascii="Calibri" w:eastAsia="Times New Roman" w:hAnsi="Calibri" w:cs="Times New Roman"/>
          <w:b w:val="0"/>
          <w:sz w:val="22"/>
          <w:szCs w:val="22"/>
        </w:rPr>
        <w:id w:val="2114473000"/>
        <w:docPartObj>
          <w:docPartGallery w:val="Table of Contents"/>
          <w:docPartUnique/>
        </w:docPartObj>
      </w:sdtPr>
      <w:sdtEndPr>
        <w:rPr>
          <w:bCs/>
          <w:noProof/>
        </w:rPr>
      </w:sdtEndPr>
      <w:sdtContent>
        <w:p w14:paraId="6E4B3382" w14:textId="56E19C94" w:rsidR="001B7341" w:rsidRPr="008B1465" w:rsidRDefault="001B7341" w:rsidP="00941C74">
          <w:pPr>
            <w:pStyle w:val="Heading1"/>
            <w:pageBreakBefore/>
            <w:numPr>
              <w:ilvl w:val="0"/>
              <w:numId w:val="0"/>
            </w:numPr>
            <w:spacing w:before="100" w:line="274" w:lineRule="auto"/>
          </w:pPr>
          <w:r w:rsidRPr="008B1465">
            <w:t>TABLE OF CONTENTS</w:t>
          </w:r>
          <w:bookmarkEnd w:id="10"/>
        </w:p>
        <w:p w14:paraId="7C9AF1FD" w14:textId="4337C2AF" w:rsidR="00B54406" w:rsidRDefault="001B7341">
          <w:pPr>
            <w:pStyle w:val="TOC1"/>
            <w:tabs>
              <w:tab w:val="right" w:leader="dot" w:pos="9350"/>
            </w:tabs>
            <w:rPr>
              <w:rFonts w:asciiTheme="minorHAnsi" w:eastAsiaTheme="minorEastAsia" w:hAnsiTheme="minorHAnsi" w:cstheme="minorBidi"/>
              <w:noProof/>
              <w:sz w:val="22"/>
            </w:rPr>
          </w:pPr>
          <w:r w:rsidRPr="008B1465">
            <w:fldChar w:fldCharType="begin"/>
          </w:r>
          <w:r w:rsidRPr="008B1465">
            <w:instrText xml:space="preserve"> TOC \o "1-3" \h \z \u </w:instrText>
          </w:r>
          <w:r w:rsidRPr="008B1465">
            <w:fldChar w:fldCharType="separate"/>
          </w:r>
          <w:hyperlink w:anchor="_Toc145951057" w:history="1">
            <w:r w:rsidR="00B54406" w:rsidRPr="00C5672A">
              <w:rPr>
                <w:rStyle w:val="Hyperlink"/>
                <w:noProof/>
              </w:rPr>
              <w:t>COVER PAGE</w:t>
            </w:r>
            <w:r w:rsidR="00B54406">
              <w:rPr>
                <w:noProof/>
                <w:webHidden/>
              </w:rPr>
              <w:tab/>
            </w:r>
            <w:r w:rsidR="00B54406">
              <w:rPr>
                <w:noProof/>
                <w:webHidden/>
              </w:rPr>
              <w:fldChar w:fldCharType="begin"/>
            </w:r>
            <w:r w:rsidR="00B54406">
              <w:rPr>
                <w:noProof/>
                <w:webHidden/>
              </w:rPr>
              <w:instrText xml:space="preserve"> PAGEREF _Toc145951057 \h </w:instrText>
            </w:r>
            <w:r w:rsidR="00B54406">
              <w:rPr>
                <w:noProof/>
                <w:webHidden/>
              </w:rPr>
            </w:r>
            <w:r w:rsidR="00B54406">
              <w:rPr>
                <w:noProof/>
                <w:webHidden/>
              </w:rPr>
              <w:fldChar w:fldCharType="separate"/>
            </w:r>
            <w:r w:rsidR="00B54406">
              <w:rPr>
                <w:noProof/>
                <w:webHidden/>
              </w:rPr>
              <w:t>i</w:t>
            </w:r>
            <w:r w:rsidR="00B54406">
              <w:rPr>
                <w:noProof/>
                <w:webHidden/>
              </w:rPr>
              <w:fldChar w:fldCharType="end"/>
            </w:r>
          </w:hyperlink>
        </w:p>
        <w:p w14:paraId="5F4270AB" w14:textId="134E26B0" w:rsidR="00B54406" w:rsidRDefault="00271F03">
          <w:pPr>
            <w:pStyle w:val="TOC1"/>
            <w:tabs>
              <w:tab w:val="right" w:leader="dot" w:pos="9350"/>
            </w:tabs>
            <w:rPr>
              <w:rFonts w:asciiTheme="minorHAnsi" w:eastAsiaTheme="minorEastAsia" w:hAnsiTheme="minorHAnsi" w:cstheme="minorBidi"/>
              <w:noProof/>
              <w:sz w:val="22"/>
            </w:rPr>
          </w:pPr>
          <w:hyperlink w:anchor="_Toc145951058" w:history="1">
            <w:r w:rsidR="00B54406" w:rsidRPr="00C5672A">
              <w:rPr>
                <w:rStyle w:val="Hyperlink"/>
                <w:noProof/>
              </w:rPr>
              <w:t>TITLE PAGE</w:t>
            </w:r>
            <w:r w:rsidR="00B54406">
              <w:rPr>
                <w:noProof/>
                <w:webHidden/>
              </w:rPr>
              <w:tab/>
            </w:r>
            <w:r w:rsidR="00B54406">
              <w:rPr>
                <w:noProof/>
                <w:webHidden/>
              </w:rPr>
              <w:fldChar w:fldCharType="begin"/>
            </w:r>
            <w:r w:rsidR="00B54406">
              <w:rPr>
                <w:noProof/>
                <w:webHidden/>
              </w:rPr>
              <w:instrText xml:space="preserve"> PAGEREF _Toc145951058 \h </w:instrText>
            </w:r>
            <w:r w:rsidR="00B54406">
              <w:rPr>
                <w:noProof/>
                <w:webHidden/>
              </w:rPr>
            </w:r>
            <w:r w:rsidR="00B54406">
              <w:rPr>
                <w:noProof/>
                <w:webHidden/>
              </w:rPr>
              <w:fldChar w:fldCharType="separate"/>
            </w:r>
            <w:r w:rsidR="00B54406">
              <w:rPr>
                <w:noProof/>
                <w:webHidden/>
              </w:rPr>
              <w:t>ii</w:t>
            </w:r>
            <w:r w:rsidR="00B54406">
              <w:rPr>
                <w:noProof/>
                <w:webHidden/>
              </w:rPr>
              <w:fldChar w:fldCharType="end"/>
            </w:r>
          </w:hyperlink>
        </w:p>
        <w:p w14:paraId="12E93068" w14:textId="212EC42D" w:rsidR="00B54406" w:rsidRDefault="00271F03">
          <w:pPr>
            <w:pStyle w:val="TOC1"/>
            <w:tabs>
              <w:tab w:val="right" w:leader="dot" w:pos="9350"/>
            </w:tabs>
            <w:rPr>
              <w:rFonts w:asciiTheme="minorHAnsi" w:eastAsiaTheme="minorEastAsia" w:hAnsiTheme="minorHAnsi" w:cstheme="minorBidi"/>
              <w:noProof/>
              <w:sz w:val="22"/>
            </w:rPr>
          </w:pPr>
          <w:hyperlink w:anchor="_Toc145951059" w:history="1">
            <w:r w:rsidR="00B54406" w:rsidRPr="00C5672A">
              <w:rPr>
                <w:rStyle w:val="Hyperlink"/>
                <w:noProof/>
              </w:rPr>
              <w:t>AUTHORIZATION TO CO</w:t>
            </w:r>
            <w:r w:rsidR="00B54406" w:rsidRPr="00C5672A">
              <w:rPr>
                <w:rStyle w:val="Hyperlink"/>
                <w:bCs/>
                <w:noProof/>
              </w:rPr>
              <w:t>PY</w:t>
            </w:r>
            <w:r w:rsidR="00B54406">
              <w:rPr>
                <w:noProof/>
                <w:webHidden/>
              </w:rPr>
              <w:tab/>
            </w:r>
            <w:r w:rsidR="00B54406">
              <w:rPr>
                <w:noProof/>
                <w:webHidden/>
              </w:rPr>
              <w:fldChar w:fldCharType="begin"/>
            </w:r>
            <w:r w:rsidR="00B54406">
              <w:rPr>
                <w:noProof/>
                <w:webHidden/>
              </w:rPr>
              <w:instrText xml:space="preserve"> PAGEREF _Toc145951059 \h </w:instrText>
            </w:r>
            <w:r w:rsidR="00B54406">
              <w:rPr>
                <w:noProof/>
                <w:webHidden/>
              </w:rPr>
            </w:r>
            <w:r w:rsidR="00B54406">
              <w:rPr>
                <w:noProof/>
                <w:webHidden/>
              </w:rPr>
              <w:fldChar w:fldCharType="separate"/>
            </w:r>
            <w:r w:rsidR="00B54406">
              <w:rPr>
                <w:noProof/>
                <w:webHidden/>
              </w:rPr>
              <w:t>iii</w:t>
            </w:r>
            <w:r w:rsidR="00B54406">
              <w:rPr>
                <w:noProof/>
                <w:webHidden/>
              </w:rPr>
              <w:fldChar w:fldCharType="end"/>
            </w:r>
          </w:hyperlink>
        </w:p>
        <w:p w14:paraId="16F2C8EB" w14:textId="3EDD23C9" w:rsidR="00B54406" w:rsidRDefault="00271F03">
          <w:pPr>
            <w:pStyle w:val="TOC1"/>
            <w:tabs>
              <w:tab w:val="right" w:leader="dot" w:pos="9350"/>
            </w:tabs>
            <w:rPr>
              <w:rFonts w:asciiTheme="minorHAnsi" w:eastAsiaTheme="minorEastAsia" w:hAnsiTheme="minorHAnsi" w:cstheme="minorBidi"/>
              <w:noProof/>
              <w:sz w:val="22"/>
            </w:rPr>
          </w:pPr>
          <w:hyperlink w:anchor="_Toc145951060" w:history="1">
            <w:r w:rsidR="00B54406" w:rsidRPr="00C5672A">
              <w:rPr>
                <w:rStyle w:val="Hyperlink"/>
                <w:noProof/>
              </w:rPr>
              <w:t>CERTIFICATION</w:t>
            </w:r>
            <w:r w:rsidR="00B54406">
              <w:rPr>
                <w:noProof/>
                <w:webHidden/>
              </w:rPr>
              <w:tab/>
            </w:r>
            <w:r w:rsidR="00B54406">
              <w:rPr>
                <w:noProof/>
                <w:webHidden/>
              </w:rPr>
              <w:fldChar w:fldCharType="begin"/>
            </w:r>
            <w:r w:rsidR="00B54406">
              <w:rPr>
                <w:noProof/>
                <w:webHidden/>
              </w:rPr>
              <w:instrText xml:space="preserve"> PAGEREF _Toc145951060 \h </w:instrText>
            </w:r>
            <w:r w:rsidR="00B54406">
              <w:rPr>
                <w:noProof/>
                <w:webHidden/>
              </w:rPr>
            </w:r>
            <w:r w:rsidR="00B54406">
              <w:rPr>
                <w:noProof/>
                <w:webHidden/>
              </w:rPr>
              <w:fldChar w:fldCharType="separate"/>
            </w:r>
            <w:r w:rsidR="00B54406">
              <w:rPr>
                <w:noProof/>
                <w:webHidden/>
              </w:rPr>
              <w:t>iv</w:t>
            </w:r>
            <w:r w:rsidR="00B54406">
              <w:rPr>
                <w:noProof/>
                <w:webHidden/>
              </w:rPr>
              <w:fldChar w:fldCharType="end"/>
            </w:r>
          </w:hyperlink>
        </w:p>
        <w:p w14:paraId="7B12AF9E" w14:textId="21F695EB" w:rsidR="00B54406" w:rsidRDefault="00271F03">
          <w:pPr>
            <w:pStyle w:val="TOC1"/>
            <w:tabs>
              <w:tab w:val="right" w:leader="dot" w:pos="9350"/>
            </w:tabs>
            <w:rPr>
              <w:rFonts w:asciiTheme="minorHAnsi" w:eastAsiaTheme="minorEastAsia" w:hAnsiTheme="minorHAnsi" w:cstheme="minorBidi"/>
              <w:noProof/>
              <w:sz w:val="22"/>
            </w:rPr>
          </w:pPr>
          <w:hyperlink w:anchor="_Toc145951061" w:history="1">
            <w:r w:rsidR="00B54406" w:rsidRPr="00C5672A">
              <w:rPr>
                <w:rStyle w:val="Hyperlink"/>
                <w:noProof/>
              </w:rPr>
              <w:t>ATTESTATION</w:t>
            </w:r>
            <w:r w:rsidR="00B54406">
              <w:rPr>
                <w:noProof/>
                <w:webHidden/>
              </w:rPr>
              <w:tab/>
            </w:r>
            <w:r w:rsidR="00B54406">
              <w:rPr>
                <w:noProof/>
                <w:webHidden/>
              </w:rPr>
              <w:fldChar w:fldCharType="begin"/>
            </w:r>
            <w:r w:rsidR="00B54406">
              <w:rPr>
                <w:noProof/>
                <w:webHidden/>
              </w:rPr>
              <w:instrText xml:space="preserve"> PAGEREF _Toc145951061 \h </w:instrText>
            </w:r>
            <w:r w:rsidR="00B54406">
              <w:rPr>
                <w:noProof/>
                <w:webHidden/>
              </w:rPr>
            </w:r>
            <w:r w:rsidR="00B54406">
              <w:rPr>
                <w:noProof/>
                <w:webHidden/>
              </w:rPr>
              <w:fldChar w:fldCharType="separate"/>
            </w:r>
            <w:r w:rsidR="00B54406">
              <w:rPr>
                <w:noProof/>
                <w:webHidden/>
              </w:rPr>
              <w:t>v</w:t>
            </w:r>
            <w:r w:rsidR="00B54406">
              <w:rPr>
                <w:noProof/>
                <w:webHidden/>
              </w:rPr>
              <w:fldChar w:fldCharType="end"/>
            </w:r>
          </w:hyperlink>
        </w:p>
        <w:p w14:paraId="16E82ED8" w14:textId="4AC38C6D" w:rsidR="00B54406" w:rsidRDefault="00271F03">
          <w:pPr>
            <w:pStyle w:val="TOC1"/>
            <w:tabs>
              <w:tab w:val="right" w:leader="dot" w:pos="9350"/>
            </w:tabs>
            <w:rPr>
              <w:rFonts w:asciiTheme="minorHAnsi" w:eastAsiaTheme="minorEastAsia" w:hAnsiTheme="minorHAnsi" w:cstheme="minorBidi"/>
              <w:noProof/>
              <w:sz w:val="22"/>
            </w:rPr>
          </w:pPr>
          <w:hyperlink w:anchor="_Toc145951062" w:history="1">
            <w:r w:rsidR="00B54406" w:rsidRPr="00C5672A">
              <w:rPr>
                <w:rStyle w:val="Hyperlink"/>
                <w:noProof/>
              </w:rPr>
              <w:t>DEDICATION</w:t>
            </w:r>
            <w:r w:rsidR="00B54406">
              <w:rPr>
                <w:noProof/>
                <w:webHidden/>
              </w:rPr>
              <w:tab/>
            </w:r>
            <w:r w:rsidR="00B54406">
              <w:rPr>
                <w:noProof/>
                <w:webHidden/>
              </w:rPr>
              <w:fldChar w:fldCharType="begin"/>
            </w:r>
            <w:r w:rsidR="00B54406">
              <w:rPr>
                <w:noProof/>
                <w:webHidden/>
              </w:rPr>
              <w:instrText xml:space="preserve"> PAGEREF _Toc145951062 \h </w:instrText>
            </w:r>
            <w:r w:rsidR="00B54406">
              <w:rPr>
                <w:noProof/>
                <w:webHidden/>
              </w:rPr>
            </w:r>
            <w:r w:rsidR="00B54406">
              <w:rPr>
                <w:noProof/>
                <w:webHidden/>
              </w:rPr>
              <w:fldChar w:fldCharType="separate"/>
            </w:r>
            <w:r w:rsidR="00B54406">
              <w:rPr>
                <w:noProof/>
                <w:webHidden/>
              </w:rPr>
              <w:t>vi</w:t>
            </w:r>
            <w:r w:rsidR="00B54406">
              <w:rPr>
                <w:noProof/>
                <w:webHidden/>
              </w:rPr>
              <w:fldChar w:fldCharType="end"/>
            </w:r>
          </w:hyperlink>
        </w:p>
        <w:p w14:paraId="6459E46A" w14:textId="69425469" w:rsidR="00B54406" w:rsidRDefault="00271F03">
          <w:pPr>
            <w:pStyle w:val="TOC1"/>
            <w:tabs>
              <w:tab w:val="right" w:leader="dot" w:pos="9350"/>
            </w:tabs>
            <w:rPr>
              <w:rFonts w:asciiTheme="minorHAnsi" w:eastAsiaTheme="minorEastAsia" w:hAnsiTheme="minorHAnsi" w:cstheme="minorBidi"/>
              <w:noProof/>
              <w:sz w:val="22"/>
            </w:rPr>
          </w:pPr>
          <w:hyperlink w:anchor="_Toc145951063" w:history="1">
            <w:r w:rsidR="00B54406" w:rsidRPr="00C5672A">
              <w:rPr>
                <w:rStyle w:val="Hyperlink"/>
                <w:noProof/>
              </w:rPr>
              <w:t>ACKNOWLEDGEMENTS</w:t>
            </w:r>
            <w:r w:rsidR="00B54406">
              <w:rPr>
                <w:noProof/>
                <w:webHidden/>
              </w:rPr>
              <w:tab/>
            </w:r>
            <w:r w:rsidR="00B54406">
              <w:rPr>
                <w:noProof/>
                <w:webHidden/>
              </w:rPr>
              <w:fldChar w:fldCharType="begin"/>
            </w:r>
            <w:r w:rsidR="00B54406">
              <w:rPr>
                <w:noProof/>
                <w:webHidden/>
              </w:rPr>
              <w:instrText xml:space="preserve"> PAGEREF _Toc145951063 \h </w:instrText>
            </w:r>
            <w:r w:rsidR="00B54406">
              <w:rPr>
                <w:noProof/>
                <w:webHidden/>
              </w:rPr>
            </w:r>
            <w:r w:rsidR="00B54406">
              <w:rPr>
                <w:noProof/>
                <w:webHidden/>
              </w:rPr>
              <w:fldChar w:fldCharType="separate"/>
            </w:r>
            <w:r w:rsidR="00B54406">
              <w:rPr>
                <w:noProof/>
                <w:webHidden/>
              </w:rPr>
              <w:t>vii</w:t>
            </w:r>
            <w:r w:rsidR="00B54406">
              <w:rPr>
                <w:noProof/>
                <w:webHidden/>
              </w:rPr>
              <w:fldChar w:fldCharType="end"/>
            </w:r>
          </w:hyperlink>
        </w:p>
        <w:p w14:paraId="679CAF71" w14:textId="48985B59" w:rsidR="00B54406" w:rsidRDefault="00271F03">
          <w:pPr>
            <w:pStyle w:val="TOC1"/>
            <w:tabs>
              <w:tab w:val="right" w:leader="dot" w:pos="9350"/>
            </w:tabs>
            <w:rPr>
              <w:rFonts w:asciiTheme="minorHAnsi" w:eastAsiaTheme="minorEastAsia" w:hAnsiTheme="minorHAnsi" w:cstheme="minorBidi"/>
              <w:noProof/>
              <w:sz w:val="22"/>
            </w:rPr>
          </w:pPr>
          <w:hyperlink w:anchor="_Toc145951064" w:history="1">
            <w:r w:rsidR="00B54406" w:rsidRPr="00C5672A">
              <w:rPr>
                <w:rStyle w:val="Hyperlink"/>
                <w:noProof/>
              </w:rPr>
              <w:t>TABLE OF CONTENTS</w:t>
            </w:r>
            <w:r w:rsidR="00B54406">
              <w:rPr>
                <w:noProof/>
                <w:webHidden/>
              </w:rPr>
              <w:tab/>
            </w:r>
            <w:r w:rsidR="00B54406">
              <w:rPr>
                <w:noProof/>
                <w:webHidden/>
              </w:rPr>
              <w:fldChar w:fldCharType="begin"/>
            </w:r>
            <w:r w:rsidR="00B54406">
              <w:rPr>
                <w:noProof/>
                <w:webHidden/>
              </w:rPr>
              <w:instrText xml:space="preserve"> PAGEREF _Toc145951064 \h </w:instrText>
            </w:r>
            <w:r w:rsidR="00B54406">
              <w:rPr>
                <w:noProof/>
                <w:webHidden/>
              </w:rPr>
            </w:r>
            <w:r w:rsidR="00B54406">
              <w:rPr>
                <w:noProof/>
                <w:webHidden/>
              </w:rPr>
              <w:fldChar w:fldCharType="separate"/>
            </w:r>
            <w:r w:rsidR="00B54406">
              <w:rPr>
                <w:noProof/>
                <w:webHidden/>
              </w:rPr>
              <w:t>ix</w:t>
            </w:r>
            <w:r w:rsidR="00B54406">
              <w:rPr>
                <w:noProof/>
                <w:webHidden/>
              </w:rPr>
              <w:fldChar w:fldCharType="end"/>
            </w:r>
          </w:hyperlink>
        </w:p>
        <w:p w14:paraId="01036256" w14:textId="57F2995C" w:rsidR="00B54406" w:rsidRDefault="00271F03">
          <w:pPr>
            <w:pStyle w:val="TOC1"/>
            <w:tabs>
              <w:tab w:val="right" w:leader="dot" w:pos="9350"/>
            </w:tabs>
            <w:rPr>
              <w:rFonts w:asciiTheme="minorHAnsi" w:eastAsiaTheme="minorEastAsia" w:hAnsiTheme="minorHAnsi" w:cstheme="minorBidi"/>
              <w:noProof/>
              <w:sz w:val="22"/>
            </w:rPr>
          </w:pPr>
          <w:hyperlink w:anchor="_Toc145951065" w:history="1">
            <w:r w:rsidR="00B54406" w:rsidRPr="00C5672A">
              <w:rPr>
                <w:rStyle w:val="Hyperlink"/>
                <w:noProof/>
              </w:rPr>
              <w:t>LIST OF TABLES</w:t>
            </w:r>
            <w:r w:rsidR="00B54406">
              <w:rPr>
                <w:noProof/>
                <w:webHidden/>
              </w:rPr>
              <w:tab/>
            </w:r>
            <w:r w:rsidR="00B54406">
              <w:rPr>
                <w:noProof/>
                <w:webHidden/>
              </w:rPr>
              <w:fldChar w:fldCharType="begin"/>
            </w:r>
            <w:r w:rsidR="00B54406">
              <w:rPr>
                <w:noProof/>
                <w:webHidden/>
              </w:rPr>
              <w:instrText xml:space="preserve"> PAGEREF _Toc145951065 \h </w:instrText>
            </w:r>
            <w:r w:rsidR="00B54406">
              <w:rPr>
                <w:noProof/>
                <w:webHidden/>
              </w:rPr>
            </w:r>
            <w:r w:rsidR="00B54406">
              <w:rPr>
                <w:noProof/>
                <w:webHidden/>
              </w:rPr>
              <w:fldChar w:fldCharType="separate"/>
            </w:r>
            <w:r w:rsidR="00B54406">
              <w:rPr>
                <w:noProof/>
                <w:webHidden/>
              </w:rPr>
              <w:t>xiv</w:t>
            </w:r>
            <w:r w:rsidR="00B54406">
              <w:rPr>
                <w:noProof/>
                <w:webHidden/>
              </w:rPr>
              <w:fldChar w:fldCharType="end"/>
            </w:r>
          </w:hyperlink>
        </w:p>
        <w:p w14:paraId="79E04060" w14:textId="6C7DA58B" w:rsidR="00B54406" w:rsidRDefault="00271F03">
          <w:pPr>
            <w:pStyle w:val="TOC1"/>
            <w:tabs>
              <w:tab w:val="right" w:leader="dot" w:pos="9350"/>
            </w:tabs>
            <w:rPr>
              <w:rFonts w:asciiTheme="minorHAnsi" w:eastAsiaTheme="minorEastAsia" w:hAnsiTheme="minorHAnsi" w:cstheme="minorBidi"/>
              <w:noProof/>
              <w:sz w:val="22"/>
            </w:rPr>
          </w:pPr>
          <w:hyperlink w:anchor="_Toc145951066" w:history="1">
            <w:r w:rsidR="00B54406" w:rsidRPr="00C5672A">
              <w:rPr>
                <w:rStyle w:val="Hyperlink"/>
                <w:noProof/>
              </w:rPr>
              <w:t>LIST OF FIGURES</w:t>
            </w:r>
            <w:r w:rsidR="00B54406">
              <w:rPr>
                <w:noProof/>
                <w:webHidden/>
              </w:rPr>
              <w:tab/>
            </w:r>
            <w:r w:rsidR="00B54406">
              <w:rPr>
                <w:noProof/>
                <w:webHidden/>
              </w:rPr>
              <w:fldChar w:fldCharType="begin"/>
            </w:r>
            <w:r w:rsidR="00B54406">
              <w:rPr>
                <w:noProof/>
                <w:webHidden/>
              </w:rPr>
              <w:instrText xml:space="preserve"> PAGEREF _Toc145951066 \h </w:instrText>
            </w:r>
            <w:r w:rsidR="00B54406">
              <w:rPr>
                <w:noProof/>
                <w:webHidden/>
              </w:rPr>
            </w:r>
            <w:r w:rsidR="00B54406">
              <w:rPr>
                <w:noProof/>
                <w:webHidden/>
              </w:rPr>
              <w:fldChar w:fldCharType="separate"/>
            </w:r>
            <w:r w:rsidR="00B54406">
              <w:rPr>
                <w:noProof/>
                <w:webHidden/>
              </w:rPr>
              <w:t>xv</w:t>
            </w:r>
            <w:r w:rsidR="00B54406">
              <w:rPr>
                <w:noProof/>
                <w:webHidden/>
              </w:rPr>
              <w:fldChar w:fldCharType="end"/>
            </w:r>
          </w:hyperlink>
        </w:p>
        <w:p w14:paraId="2B12997D" w14:textId="5E5B4B5B" w:rsidR="00B54406" w:rsidRDefault="00271F03">
          <w:pPr>
            <w:pStyle w:val="TOC1"/>
            <w:tabs>
              <w:tab w:val="right" w:leader="dot" w:pos="9350"/>
            </w:tabs>
            <w:rPr>
              <w:rFonts w:asciiTheme="minorHAnsi" w:eastAsiaTheme="minorEastAsia" w:hAnsiTheme="minorHAnsi" w:cstheme="minorBidi"/>
              <w:noProof/>
              <w:sz w:val="22"/>
            </w:rPr>
          </w:pPr>
          <w:hyperlink w:anchor="_Toc145951067" w:history="1">
            <w:r w:rsidR="00B54406" w:rsidRPr="00C5672A">
              <w:rPr>
                <w:rStyle w:val="Hyperlink"/>
                <w:noProof/>
              </w:rPr>
              <w:t>ABSTRACT</w:t>
            </w:r>
            <w:r w:rsidR="00B54406">
              <w:rPr>
                <w:noProof/>
                <w:webHidden/>
              </w:rPr>
              <w:tab/>
            </w:r>
            <w:r w:rsidR="00B54406">
              <w:rPr>
                <w:noProof/>
                <w:webHidden/>
              </w:rPr>
              <w:fldChar w:fldCharType="begin"/>
            </w:r>
            <w:r w:rsidR="00B54406">
              <w:rPr>
                <w:noProof/>
                <w:webHidden/>
              </w:rPr>
              <w:instrText xml:space="preserve"> PAGEREF _Toc145951067 \h </w:instrText>
            </w:r>
            <w:r w:rsidR="00B54406">
              <w:rPr>
                <w:noProof/>
                <w:webHidden/>
              </w:rPr>
            </w:r>
            <w:r w:rsidR="00B54406">
              <w:rPr>
                <w:noProof/>
                <w:webHidden/>
              </w:rPr>
              <w:fldChar w:fldCharType="separate"/>
            </w:r>
            <w:r w:rsidR="00B54406">
              <w:rPr>
                <w:noProof/>
                <w:webHidden/>
              </w:rPr>
              <w:t>xvi</w:t>
            </w:r>
            <w:r w:rsidR="00B54406">
              <w:rPr>
                <w:noProof/>
                <w:webHidden/>
              </w:rPr>
              <w:fldChar w:fldCharType="end"/>
            </w:r>
          </w:hyperlink>
        </w:p>
        <w:p w14:paraId="0397241C" w14:textId="6D8EDE66" w:rsidR="00B54406" w:rsidRDefault="00271F03">
          <w:pPr>
            <w:pStyle w:val="TOC1"/>
            <w:tabs>
              <w:tab w:val="right" w:leader="dot" w:pos="9350"/>
            </w:tabs>
            <w:rPr>
              <w:rFonts w:asciiTheme="minorHAnsi" w:eastAsiaTheme="minorEastAsia" w:hAnsiTheme="minorHAnsi" w:cstheme="minorBidi"/>
              <w:noProof/>
              <w:sz w:val="22"/>
            </w:rPr>
          </w:pPr>
          <w:hyperlink w:anchor="_Toc145951068" w:history="1">
            <w:r w:rsidR="00B54406" w:rsidRPr="00C5672A">
              <w:rPr>
                <w:rStyle w:val="Hyperlink"/>
                <w:noProof/>
              </w:rPr>
              <w:t>CHAPTER ONE: INTRODUCTION</w:t>
            </w:r>
            <w:r w:rsidR="00B54406">
              <w:rPr>
                <w:noProof/>
                <w:webHidden/>
              </w:rPr>
              <w:tab/>
            </w:r>
            <w:r w:rsidR="00B54406">
              <w:rPr>
                <w:noProof/>
                <w:webHidden/>
              </w:rPr>
              <w:fldChar w:fldCharType="begin"/>
            </w:r>
            <w:r w:rsidR="00B54406">
              <w:rPr>
                <w:noProof/>
                <w:webHidden/>
              </w:rPr>
              <w:instrText xml:space="preserve"> PAGEREF _Toc145951068 \h </w:instrText>
            </w:r>
            <w:r w:rsidR="00B54406">
              <w:rPr>
                <w:noProof/>
                <w:webHidden/>
              </w:rPr>
            </w:r>
            <w:r w:rsidR="00B54406">
              <w:rPr>
                <w:noProof/>
                <w:webHidden/>
              </w:rPr>
              <w:fldChar w:fldCharType="separate"/>
            </w:r>
            <w:r w:rsidR="00B54406">
              <w:rPr>
                <w:noProof/>
                <w:webHidden/>
              </w:rPr>
              <w:t>1</w:t>
            </w:r>
            <w:r w:rsidR="00B54406">
              <w:rPr>
                <w:noProof/>
                <w:webHidden/>
              </w:rPr>
              <w:fldChar w:fldCharType="end"/>
            </w:r>
          </w:hyperlink>
        </w:p>
        <w:p w14:paraId="5850F587" w14:textId="0C6EB21D" w:rsidR="00B54406" w:rsidRDefault="00271F03">
          <w:pPr>
            <w:pStyle w:val="TOC1"/>
            <w:tabs>
              <w:tab w:val="left" w:pos="440"/>
              <w:tab w:val="right" w:leader="dot" w:pos="9350"/>
            </w:tabs>
            <w:rPr>
              <w:rFonts w:asciiTheme="minorHAnsi" w:eastAsiaTheme="minorEastAsia" w:hAnsiTheme="minorHAnsi" w:cstheme="minorBidi"/>
              <w:noProof/>
              <w:sz w:val="22"/>
            </w:rPr>
          </w:pPr>
          <w:hyperlink w:anchor="_Toc145951069" w:history="1">
            <w:r w:rsidR="00B54406" w:rsidRPr="00C5672A">
              <w:rPr>
                <w:rStyle w:val="Hyperlink"/>
                <w:noProof/>
              </w:rPr>
              <w:t>INTRODUCTION</w:t>
            </w:r>
            <w:r w:rsidR="00B54406">
              <w:rPr>
                <w:noProof/>
                <w:webHidden/>
              </w:rPr>
              <w:tab/>
            </w:r>
            <w:r w:rsidR="00B54406">
              <w:rPr>
                <w:noProof/>
                <w:webHidden/>
              </w:rPr>
              <w:fldChar w:fldCharType="begin"/>
            </w:r>
            <w:r w:rsidR="00B54406">
              <w:rPr>
                <w:noProof/>
                <w:webHidden/>
              </w:rPr>
              <w:instrText xml:space="preserve"> PAGEREF _Toc145951069 \h </w:instrText>
            </w:r>
            <w:r w:rsidR="00B54406">
              <w:rPr>
                <w:noProof/>
                <w:webHidden/>
              </w:rPr>
            </w:r>
            <w:r w:rsidR="00B54406">
              <w:rPr>
                <w:noProof/>
                <w:webHidden/>
              </w:rPr>
              <w:fldChar w:fldCharType="separate"/>
            </w:r>
            <w:r w:rsidR="00B54406">
              <w:rPr>
                <w:noProof/>
                <w:webHidden/>
              </w:rPr>
              <w:t>1</w:t>
            </w:r>
            <w:r w:rsidR="00B54406">
              <w:rPr>
                <w:noProof/>
                <w:webHidden/>
              </w:rPr>
              <w:fldChar w:fldCharType="end"/>
            </w:r>
          </w:hyperlink>
        </w:p>
        <w:p w14:paraId="34E80E17" w14:textId="4C87F853"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070" w:history="1">
            <w:r w:rsidR="00B54406" w:rsidRPr="00C5672A">
              <w:rPr>
                <w:rStyle w:val="Hyperlink"/>
                <w:noProof/>
                <w14:scene3d>
                  <w14:camera w14:prst="orthographicFront"/>
                  <w14:lightRig w14:rig="threePt" w14:dir="t">
                    <w14:rot w14:lat="0" w14:lon="0" w14:rev="0"/>
                  </w14:lightRig>
                </w14:scene3d>
              </w:rPr>
              <w:t>1.1</w:t>
            </w:r>
            <w:r w:rsidR="00B54406">
              <w:rPr>
                <w:rFonts w:asciiTheme="minorHAnsi" w:eastAsiaTheme="minorEastAsia" w:hAnsiTheme="minorHAnsi" w:cstheme="minorBidi"/>
                <w:noProof/>
                <w:sz w:val="22"/>
              </w:rPr>
              <w:tab/>
            </w:r>
            <w:r w:rsidR="00B54406" w:rsidRPr="00C5672A">
              <w:rPr>
                <w:rStyle w:val="Hyperlink"/>
                <w:noProof/>
              </w:rPr>
              <w:t>Background to the Study</w:t>
            </w:r>
            <w:r w:rsidR="00B54406">
              <w:rPr>
                <w:noProof/>
                <w:webHidden/>
              </w:rPr>
              <w:tab/>
            </w:r>
            <w:r w:rsidR="00B54406">
              <w:rPr>
                <w:noProof/>
                <w:webHidden/>
              </w:rPr>
              <w:fldChar w:fldCharType="begin"/>
            </w:r>
            <w:r w:rsidR="00B54406">
              <w:rPr>
                <w:noProof/>
                <w:webHidden/>
              </w:rPr>
              <w:instrText xml:space="preserve"> PAGEREF _Toc145951070 \h </w:instrText>
            </w:r>
            <w:r w:rsidR="00B54406">
              <w:rPr>
                <w:noProof/>
                <w:webHidden/>
              </w:rPr>
            </w:r>
            <w:r w:rsidR="00B54406">
              <w:rPr>
                <w:noProof/>
                <w:webHidden/>
              </w:rPr>
              <w:fldChar w:fldCharType="separate"/>
            </w:r>
            <w:r w:rsidR="00B54406">
              <w:rPr>
                <w:noProof/>
                <w:webHidden/>
              </w:rPr>
              <w:t>1</w:t>
            </w:r>
            <w:r w:rsidR="00B54406">
              <w:rPr>
                <w:noProof/>
                <w:webHidden/>
              </w:rPr>
              <w:fldChar w:fldCharType="end"/>
            </w:r>
          </w:hyperlink>
        </w:p>
        <w:p w14:paraId="45715E39" w14:textId="336C3F84"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071" w:history="1">
            <w:r w:rsidR="00B54406" w:rsidRPr="00C5672A">
              <w:rPr>
                <w:rStyle w:val="Hyperlink"/>
                <w:noProof/>
                <w14:scene3d>
                  <w14:camera w14:prst="orthographicFront"/>
                  <w14:lightRig w14:rig="threePt" w14:dir="t">
                    <w14:rot w14:lat="0" w14:lon="0" w14:rev="0"/>
                  </w14:lightRig>
                </w14:scene3d>
              </w:rPr>
              <w:t>1.2</w:t>
            </w:r>
            <w:r w:rsidR="00B54406">
              <w:rPr>
                <w:rFonts w:asciiTheme="minorHAnsi" w:eastAsiaTheme="minorEastAsia" w:hAnsiTheme="minorHAnsi" w:cstheme="minorBidi"/>
                <w:noProof/>
                <w:sz w:val="22"/>
              </w:rPr>
              <w:tab/>
            </w:r>
            <w:r w:rsidR="00B54406" w:rsidRPr="00C5672A">
              <w:rPr>
                <w:rStyle w:val="Hyperlink"/>
                <w:noProof/>
              </w:rPr>
              <w:t>Statement of the Problem</w:t>
            </w:r>
            <w:r w:rsidR="00B54406">
              <w:rPr>
                <w:noProof/>
                <w:webHidden/>
              </w:rPr>
              <w:tab/>
            </w:r>
            <w:r w:rsidR="00B54406">
              <w:rPr>
                <w:noProof/>
                <w:webHidden/>
              </w:rPr>
              <w:fldChar w:fldCharType="begin"/>
            </w:r>
            <w:r w:rsidR="00B54406">
              <w:rPr>
                <w:noProof/>
                <w:webHidden/>
              </w:rPr>
              <w:instrText xml:space="preserve"> PAGEREF _Toc145951071 \h </w:instrText>
            </w:r>
            <w:r w:rsidR="00B54406">
              <w:rPr>
                <w:noProof/>
                <w:webHidden/>
              </w:rPr>
            </w:r>
            <w:r w:rsidR="00B54406">
              <w:rPr>
                <w:noProof/>
                <w:webHidden/>
              </w:rPr>
              <w:fldChar w:fldCharType="separate"/>
            </w:r>
            <w:r w:rsidR="00B54406">
              <w:rPr>
                <w:noProof/>
                <w:webHidden/>
              </w:rPr>
              <w:t>7</w:t>
            </w:r>
            <w:r w:rsidR="00B54406">
              <w:rPr>
                <w:noProof/>
                <w:webHidden/>
              </w:rPr>
              <w:fldChar w:fldCharType="end"/>
            </w:r>
          </w:hyperlink>
        </w:p>
        <w:p w14:paraId="293890B1" w14:textId="389E3F4F"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072" w:history="1">
            <w:r w:rsidR="00B54406" w:rsidRPr="00C5672A">
              <w:rPr>
                <w:rStyle w:val="Hyperlink"/>
                <w:noProof/>
                <w14:scene3d>
                  <w14:camera w14:prst="orthographicFront"/>
                  <w14:lightRig w14:rig="threePt" w14:dir="t">
                    <w14:rot w14:lat="0" w14:lon="0" w14:rev="0"/>
                  </w14:lightRig>
                </w14:scene3d>
              </w:rPr>
              <w:t>1.3</w:t>
            </w:r>
            <w:r w:rsidR="00B54406">
              <w:rPr>
                <w:rFonts w:asciiTheme="minorHAnsi" w:eastAsiaTheme="minorEastAsia" w:hAnsiTheme="minorHAnsi" w:cstheme="minorBidi"/>
                <w:noProof/>
                <w:sz w:val="22"/>
              </w:rPr>
              <w:tab/>
            </w:r>
            <w:r w:rsidR="00B54406" w:rsidRPr="00C5672A">
              <w:rPr>
                <w:rStyle w:val="Hyperlink"/>
                <w:noProof/>
              </w:rPr>
              <w:t>Research Objective</w:t>
            </w:r>
            <w:r w:rsidR="00B54406">
              <w:rPr>
                <w:noProof/>
                <w:webHidden/>
              </w:rPr>
              <w:tab/>
            </w:r>
            <w:r w:rsidR="00B54406">
              <w:rPr>
                <w:noProof/>
                <w:webHidden/>
              </w:rPr>
              <w:fldChar w:fldCharType="begin"/>
            </w:r>
            <w:r w:rsidR="00B54406">
              <w:rPr>
                <w:noProof/>
                <w:webHidden/>
              </w:rPr>
              <w:instrText xml:space="preserve"> PAGEREF _Toc145951072 \h </w:instrText>
            </w:r>
            <w:r w:rsidR="00B54406">
              <w:rPr>
                <w:noProof/>
                <w:webHidden/>
              </w:rPr>
            </w:r>
            <w:r w:rsidR="00B54406">
              <w:rPr>
                <w:noProof/>
                <w:webHidden/>
              </w:rPr>
              <w:fldChar w:fldCharType="separate"/>
            </w:r>
            <w:r w:rsidR="00B54406">
              <w:rPr>
                <w:noProof/>
                <w:webHidden/>
              </w:rPr>
              <w:t>12</w:t>
            </w:r>
            <w:r w:rsidR="00B54406">
              <w:rPr>
                <w:noProof/>
                <w:webHidden/>
              </w:rPr>
              <w:fldChar w:fldCharType="end"/>
            </w:r>
          </w:hyperlink>
        </w:p>
        <w:p w14:paraId="7A13A3EC" w14:textId="1349678A"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073" w:history="1">
            <w:r w:rsidR="00B54406" w:rsidRPr="00C5672A">
              <w:rPr>
                <w:rStyle w:val="Hyperlink"/>
                <w:noProof/>
                <w14:scene3d>
                  <w14:camera w14:prst="orthographicFront"/>
                  <w14:lightRig w14:rig="threePt" w14:dir="t">
                    <w14:rot w14:lat="0" w14:lon="0" w14:rev="0"/>
                  </w14:lightRig>
                </w14:scene3d>
              </w:rPr>
              <w:t>1.4</w:t>
            </w:r>
            <w:r w:rsidR="00B54406">
              <w:rPr>
                <w:rFonts w:asciiTheme="minorHAnsi" w:eastAsiaTheme="minorEastAsia" w:hAnsiTheme="minorHAnsi" w:cstheme="minorBidi"/>
                <w:noProof/>
                <w:sz w:val="22"/>
              </w:rPr>
              <w:tab/>
            </w:r>
            <w:r w:rsidR="00B54406" w:rsidRPr="00C5672A">
              <w:rPr>
                <w:rStyle w:val="Hyperlink"/>
                <w:noProof/>
              </w:rPr>
              <w:t>Research Questions</w:t>
            </w:r>
            <w:r w:rsidR="00B54406">
              <w:rPr>
                <w:noProof/>
                <w:webHidden/>
              </w:rPr>
              <w:tab/>
            </w:r>
            <w:r w:rsidR="00B54406">
              <w:rPr>
                <w:noProof/>
                <w:webHidden/>
              </w:rPr>
              <w:fldChar w:fldCharType="begin"/>
            </w:r>
            <w:r w:rsidR="00B54406">
              <w:rPr>
                <w:noProof/>
                <w:webHidden/>
              </w:rPr>
              <w:instrText xml:space="preserve"> PAGEREF _Toc145951073 \h </w:instrText>
            </w:r>
            <w:r w:rsidR="00B54406">
              <w:rPr>
                <w:noProof/>
                <w:webHidden/>
              </w:rPr>
            </w:r>
            <w:r w:rsidR="00B54406">
              <w:rPr>
                <w:noProof/>
                <w:webHidden/>
              </w:rPr>
              <w:fldChar w:fldCharType="separate"/>
            </w:r>
            <w:r w:rsidR="00B54406">
              <w:rPr>
                <w:noProof/>
                <w:webHidden/>
              </w:rPr>
              <w:t>12</w:t>
            </w:r>
            <w:r w:rsidR="00B54406">
              <w:rPr>
                <w:noProof/>
                <w:webHidden/>
              </w:rPr>
              <w:fldChar w:fldCharType="end"/>
            </w:r>
          </w:hyperlink>
        </w:p>
        <w:p w14:paraId="5E849BD4" w14:textId="1A0E805E"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074" w:history="1">
            <w:r w:rsidR="00B54406" w:rsidRPr="00C5672A">
              <w:rPr>
                <w:rStyle w:val="Hyperlink"/>
                <w:noProof/>
                <w14:scene3d>
                  <w14:camera w14:prst="orthographicFront"/>
                  <w14:lightRig w14:rig="threePt" w14:dir="t">
                    <w14:rot w14:lat="0" w14:lon="0" w14:rev="0"/>
                  </w14:lightRig>
                </w14:scene3d>
              </w:rPr>
              <w:t>1.5</w:t>
            </w:r>
            <w:r w:rsidR="00B54406">
              <w:rPr>
                <w:rFonts w:asciiTheme="minorHAnsi" w:eastAsiaTheme="minorEastAsia" w:hAnsiTheme="minorHAnsi" w:cstheme="minorBidi"/>
                <w:noProof/>
                <w:sz w:val="22"/>
              </w:rPr>
              <w:tab/>
            </w:r>
            <w:r w:rsidR="00B54406" w:rsidRPr="00C5672A">
              <w:rPr>
                <w:rStyle w:val="Hyperlink"/>
                <w:noProof/>
              </w:rPr>
              <w:t>Research Hypotheses</w:t>
            </w:r>
            <w:r w:rsidR="00B54406">
              <w:rPr>
                <w:noProof/>
                <w:webHidden/>
              </w:rPr>
              <w:tab/>
            </w:r>
            <w:r w:rsidR="00B54406">
              <w:rPr>
                <w:noProof/>
                <w:webHidden/>
              </w:rPr>
              <w:fldChar w:fldCharType="begin"/>
            </w:r>
            <w:r w:rsidR="00B54406">
              <w:rPr>
                <w:noProof/>
                <w:webHidden/>
              </w:rPr>
              <w:instrText xml:space="preserve"> PAGEREF _Toc145951074 \h </w:instrText>
            </w:r>
            <w:r w:rsidR="00B54406">
              <w:rPr>
                <w:noProof/>
                <w:webHidden/>
              </w:rPr>
            </w:r>
            <w:r w:rsidR="00B54406">
              <w:rPr>
                <w:noProof/>
                <w:webHidden/>
              </w:rPr>
              <w:fldChar w:fldCharType="separate"/>
            </w:r>
            <w:r w:rsidR="00B54406">
              <w:rPr>
                <w:noProof/>
                <w:webHidden/>
              </w:rPr>
              <w:t>12</w:t>
            </w:r>
            <w:r w:rsidR="00B54406">
              <w:rPr>
                <w:noProof/>
                <w:webHidden/>
              </w:rPr>
              <w:fldChar w:fldCharType="end"/>
            </w:r>
          </w:hyperlink>
        </w:p>
        <w:p w14:paraId="205B010A" w14:textId="456436E5"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075" w:history="1">
            <w:r w:rsidR="00B54406" w:rsidRPr="00C5672A">
              <w:rPr>
                <w:rStyle w:val="Hyperlink"/>
                <w:noProof/>
                <w14:scene3d>
                  <w14:camera w14:prst="orthographicFront"/>
                  <w14:lightRig w14:rig="threePt" w14:dir="t">
                    <w14:rot w14:lat="0" w14:lon="0" w14:rev="0"/>
                  </w14:lightRig>
                </w14:scene3d>
              </w:rPr>
              <w:t>1.6</w:t>
            </w:r>
            <w:r w:rsidR="00B54406">
              <w:rPr>
                <w:rFonts w:asciiTheme="minorHAnsi" w:eastAsiaTheme="minorEastAsia" w:hAnsiTheme="minorHAnsi" w:cstheme="minorBidi"/>
                <w:noProof/>
                <w:sz w:val="22"/>
              </w:rPr>
              <w:tab/>
            </w:r>
            <w:r w:rsidR="00B54406" w:rsidRPr="00C5672A">
              <w:rPr>
                <w:rStyle w:val="Hyperlink"/>
                <w:noProof/>
              </w:rPr>
              <w:t>Scope of the Study</w:t>
            </w:r>
            <w:r w:rsidR="00B54406">
              <w:rPr>
                <w:noProof/>
                <w:webHidden/>
              </w:rPr>
              <w:tab/>
            </w:r>
            <w:r w:rsidR="00B54406">
              <w:rPr>
                <w:noProof/>
                <w:webHidden/>
              </w:rPr>
              <w:fldChar w:fldCharType="begin"/>
            </w:r>
            <w:r w:rsidR="00B54406">
              <w:rPr>
                <w:noProof/>
                <w:webHidden/>
              </w:rPr>
              <w:instrText xml:space="preserve"> PAGEREF _Toc145951075 \h </w:instrText>
            </w:r>
            <w:r w:rsidR="00B54406">
              <w:rPr>
                <w:noProof/>
                <w:webHidden/>
              </w:rPr>
            </w:r>
            <w:r w:rsidR="00B54406">
              <w:rPr>
                <w:noProof/>
                <w:webHidden/>
              </w:rPr>
              <w:fldChar w:fldCharType="separate"/>
            </w:r>
            <w:r w:rsidR="00B54406">
              <w:rPr>
                <w:noProof/>
                <w:webHidden/>
              </w:rPr>
              <w:t>13</w:t>
            </w:r>
            <w:r w:rsidR="00B54406">
              <w:rPr>
                <w:noProof/>
                <w:webHidden/>
              </w:rPr>
              <w:fldChar w:fldCharType="end"/>
            </w:r>
          </w:hyperlink>
        </w:p>
        <w:p w14:paraId="5E439B1F" w14:textId="334A9DC3"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076" w:history="1">
            <w:r w:rsidR="00B54406" w:rsidRPr="00C5672A">
              <w:rPr>
                <w:rStyle w:val="Hyperlink"/>
                <w:noProof/>
                <w14:scene3d>
                  <w14:camera w14:prst="orthographicFront"/>
                  <w14:lightRig w14:rig="threePt" w14:dir="t">
                    <w14:rot w14:lat="0" w14:lon="0" w14:rev="0"/>
                  </w14:lightRig>
                </w14:scene3d>
              </w:rPr>
              <w:t>1.7</w:t>
            </w:r>
            <w:r w:rsidR="00B54406">
              <w:rPr>
                <w:rFonts w:asciiTheme="minorHAnsi" w:eastAsiaTheme="minorEastAsia" w:hAnsiTheme="minorHAnsi" w:cstheme="minorBidi"/>
                <w:noProof/>
                <w:sz w:val="22"/>
              </w:rPr>
              <w:tab/>
            </w:r>
            <w:r w:rsidR="00B54406" w:rsidRPr="00C5672A">
              <w:rPr>
                <w:rStyle w:val="Hyperlink"/>
                <w:noProof/>
              </w:rPr>
              <w:t>Justification for the Study</w:t>
            </w:r>
            <w:r w:rsidR="00B54406">
              <w:rPr>
                <w:noProof/>
                <w:webHidden/>
              </w:rPr>
              <w:tab/>
            </w:r>
            <w:r w:rsidR="00B54406">
              <w:rPr>
                <w:noProof/>
                <w:webHidden/>
              </w:rPr>
              <w:fldChar w:fldCharType="begin"/>
            </w:r>
            <w:r w:rsidR="00B54406">
              <w:rPr>
                <w:noProof/>
                <w:webHidden/>
              </w:rPr>
              <w:instrText xml:space="preserve"> PAGEREF _Toc145951076 \h </w:instrText>
            </w:r>
            <w:r w:rsidR="00B54406">
              <w:rPr>
                <w:noProof/>
                <w:webHidden/>
              </w:rPr>
            </w:r>
            <w:r w:rsidR="00B54406">
              <w:rPr>
                <w:noProof/>
                <w:webHidden/>
              </w:rPr>
              <w:fldChar w:fldCharType="separate"/>
            </w:r>
            <w:r w:rsidR="00B54406">
              <w:rPr>
                <w:noProof/>
                <w:webHidden/>
              </w:rPr>
              <w:t>13</w:t>
            </w:r>
            <w:r w:rsidR="00B54406">
              <w:rPr>
                <w:noProof/>
                <w:webHidden/>
              </w:rPr>
              <w:fldChar w:fldCharType="end"/>
            </w:r>
          </w:hyperlink>
        </w:p>
        <w:p w14:paraId="62A2E0D5" w14:textId="21BB3A08"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077" w:history="1">
            <w:r w:rsidR="00B54406" w:rsidRPr="00C5672A">
              <w:rPr>
                <w:rStyle w:val="Hyperlink"/>
                <w:noProof/>
                <w14:scene3d>
                  <w14:camera w14:prst="orthographicFront"/>
                  <w14:lightRig w14:rig="threePt" w14:dir="t">
                    <w14:rot w14:lat="0" w14:lon="0" w14:rev="0"/>
                  </w14:lightRig>
                </w14:scene3d>
              </w:rPr>
              <w:t>1.8</w:t>
            </w:r>
            <w:r w:rsidR="00B54406">
              <w:rPr>
                <w:rFonts w:asciiTheme="minorHAnsi" w:eastAsiaTheme="minorEastAsia" w:hAnsiTheme="minorHAnsi" w:cstheme="minorBidi"/>
                <w:noProof/>
                <w:sz w:val="22"/>
              </w:rPr>
              <w:tab/>
            </w:r>
            <w:r w:rsidR="00B54406" w:rsidRPr="00C5672A">
              <w:rPr>
                <w:rStyle w:val="Hyperlink"/>
                <w:noProof/>
              </w:rPr>
              <w:t>Significance of the Study</w:t>
            </w:r>
            <w:r w:rsidR="00B54406">
              <w:rPr>
                <w:noProof/>
                <w:webHidden/>
              </w:rPr>
              <w:tab/>
            </w:r>
            <w:r w:rsidR="00B54406">
              <w:rPr>
                <w:noProof/>
                <w:webHidden/>
              </w:rPr>
              <w:fldChar w:fldCharType="begin"/>
            </w:r>
            <w:r w:rsidR="00B54406">
              <w:rPr>
                <w:noProof/>
                <w:webHidden/>
              </w:rPr>
              <w:instrText xml:space="preserve"> PAGEREF _Toc145951077 \h </w:instrText>
            </w:r>
            <w:r w:rsidR="00B54406">
              <w:rPr>
                <w:noProof/>
                <w:webHidden/>
              </w:rPr>
            </w:r>
            <w:r w:rsidR="00B54406">
              <w:rPr>
                <w:noProof/>
                <w:webHidden/>
              </w:rPr>
              <w:fldChar w:fldCharType="separate"/>
            </w:r>
            <w:r w:rsidR="00B54406">
              <w:rPr>
                <w:noProof/>
                <w:webHidden/>
              </w:rPr>
              <w:t>15</w:t>
            </w:r>
            <w:r w:rsidR="00B54406">
              <w:rPr>
                <w:noProof/>
                <w:webHidden/>
              </w:rPr>
              <w:fldChar w:fldCharType="end"/>
            </w:r>
          </w:hyperlink>
        </w:p>
        <w:p w14:paraId="1D982CCA" w14:textId="7B4D079F"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078" w:history="1">
            <w:r w:rsidR="00B54406" w:rsidRPr="00C5672A">
              <w:rPr>
                <w:rStyle w:val="Hyperlink"/>
                <w:noProof/>
                <w14:scene3d>
                  <w14:camera w14:prst="orthographicFront"/>
                  <w14:lightRig w14:rig="threePt" w14:dir="t">
                    <w14:rot w14:lat="0" w14:lon="0" w14:rev="0"/>
                  </w14:lightRig>
                </w14:scene3d>
              </w:rPr>
              <w:t>1.9</w:t>
            </w:r>
            <w:r w:rsidR="00B54406">
              <w:rPr>
                <w:rFonts w:asciiTheme="minorHAnsi" w:eastAsiaTheme="minorEastAsia" w:hAnsiTheme="minorHAnsi" w:cstheme="minorBidi"/>
                <w:noProof/>
                <w:sz w:val="22"/>
              </w:rPr>
              <w:tab/>
            </w:r>
            <w:r w:rsidR="00B54406" w:rsidRPr="00C5672A">
              <w:rPr>
                <w:rStyle w:val="Hyperlink"/>
                <w:noProof/>
              </w:rPr>
              <w:t>Definition of Key Terms</w:t>
            </w:r>
            <w:r w:rsidR="00B54406">
              <w:rPr>
                <w:noProof/>
                <w:webHidden/>
              </w:rPr>
              <w:tab/>
            </w:r>
            <w:r w:rsidR="00B54406">
              <w:rPr>
                <w:noProof/>
                <w:webHidden/>
              </w:rPr>
              <w:fldChar w:fldCharType="begin"/>
            </w:r>
            <w:r w:rsidR="00B54406">
              <w:rPr>
                <w:noProof/>
                <w:webHidden/>
              </w:rPr>
              <w:instrText xml:space="preserve"> PAGEREF _Toc145951078 \h </w:instrText>
            </w:r>
            <w:r w:rsidR="00B54406">
              <w:rPr>
                <w:noProof/>
                <w:webHidden/>
              </w:rPr>
            </w:r>
            <w:r w:rsidR="00B54406">
              <w:rPr>
                <w:noProof/>
                <w:webHidden/>
              </w:rPr>
              <w:fldChar w:fldCharType="separate"/>
            </w:r>
            <w:r w:rsidR="00B54406">
              <w:rPr>
                <w:noProof/>
                <w:webHidden/>
              </w:rPr>
              <w:t>16</w:t>
            </w:r>
            <w:r w:rsidR="00B54406">
              <w:rPr>
                <w:noProof/>
                <w:webHidden/>
              </w:rPr>
              <w:fldChar w:fldCharType="end"/>
            </w:r>
          </w:hyperlink>
        </w:p>
        <w:p w14:paraId="71FAF9F3" w14:textId="3D0BF8BA"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079" w:history="1">
            <w:r w:rsidR="00B54406" w:rsidRPr="00C5672A">
              <w:rPr>
                <w:rStyle w:val="Hyperlink"/>
                <w:noProof/>
                <w14:scene3d>
                  <w14:camera w14:prst="orthographicFront"/>
                  <w14:lightRig w14:rig="threePt" w14:dir="t">
                    <w14:rot w14:lat="0" w14:lon="0" w14:rev="0"/>
                  </w14:lightRig>
                </w14:scene3d>
              </w:rPr>
              <w:t>1.10</w:t>
            </w:r>
            <w:r w:rsidR="00B54406">
              <w:rPr>
                <w:rFonts w:asciiTheme="minorHAnsi" w:eastAsiaTheme="minorEastAsia" w:hAnsiTheme="minorHAnsi" w:cstheme="minorBidi"/>
                <w:noProof/>
                <w:sz w:val="22"/>
              </w:rPr>
              <w:tab/>
            </w:r>
            <w:r w:rsidR="00B54406" w:rsidRPr="00C5672A">
              <w:rPr>
                <w:rStyle w:val="Hyperlink"/>
                <w:noProof/>
              </w:rPr>
              <w:t>Operationalization of Variables</w:t>
            </w:r>
            <w:r w:rsidR="00B54406">
              <w:rPr>
                <w:noProof/>
                <w:webHidden/>
              </w:rPr>
              <w:tab/>
            </w:r>
            <w:r w:rsidR="00B54406">
              <w:rPr>
                <w:noProof/>
                <w:webHidden/>
              </w:rPr>
              <w:fldChar w:fldCharType="begin"/>
            </w:r>
            <w:r w:rsidR="00B54406">
              <w:rPr>
                <w:noProof/>
                <w:webHidden/>
              </w:rPr>
              <w:instrText xml:space="preserve"> PAGEREF _Toc145951079 \h </w:instrText>
            </w:r>
            <w:r w:rsidR="00B54406">
              <w:rPr>
                <w:noProof/>
                <w:webHidden/>
              </w:rPr>
            </w:r>
            <w:r w:rsidR="00B54406">
              <w:rPr>
                <w:noProof/>
                <w:webHidden/>
              </w:rPr>
              <w:fldChar w:fldCharType="separate"/>
            </w:r>
            <w:r w:rsidR="00B54406">
              <w:rPr>
                <w:noProof/>
                <w:webHidden/>
              </w:rPr>
              <w:t>18</w:t>
            </w:r>
            <w:r w:rsidR="00B54406">
              <w:rPr>
                <w:noProof/>
                <w:webHidden/>
              </w:rPr>
              <w:fldChar w:fldCharType="end"/>
            </w:r>
          </w:hyperlink>
        </w:p>
        <w:p w14:paraId="4453E4CD" w14:textId="3F323FDE" w:rsidR="00B54406" w:rsidRDefault="00271F03">
          <w:pPr>
            <w:pStyle w:val="TOC1"/>
            <w:tabs>
              <w:tab w:val="right" w:leader="dot" w:pos="9350"/>
            </w:tabs>
            <w:rPr>
              <w:rFonts w:asciiTheme="minorHAnsi" w:eastAsiaTheme="minorEastAsia" w:hAnsiTheme="minorHAnsi" w:cstheme="minorBidi"/>
              <w:noProof/>
              <w:sz w:val="22"/>
            </w:rPr>
          </w:pPr>
          <w:hyperlink w:anchor="_Toc145951080" w:history="1">
            <w:r w:rsidR="00B54406" w:rsidRPr="00C5672A">
              <w:rPr>
                <w:rStyle w:val="Hyperlink"/>
                <w:noProof/>
              </w:rPr>
              <w:t>CHAPTER TWO: LITERATURE REVIEW</w:t>
            </w:r>
            <w:r w:rsidR="00B54406">
              <w:rPr>
                <w:noProof/>
                <w:webHidden/>
              </w:rPr>
              <w:tab/>
            </w:r>
            <w:r w:rsidR="00B54406">
              <w:rPr>
                <w:noProof/>
                <w:webHidden/>
              </w:rPr>
              <w:fldChar w:fldCharType="begin"/>
            </w:r>
            <w:r w:rsidR="00B54406">
              <w:rPr>
                <w:noProof/>
                <w:webHidden/>
              </w:rPr>
              <w:instrText xml:space="preserve"> PAGEREF _Toc145951080 \h </w:instrText>
            </w:r>
            <w:r w:rsidR="00B54406">
              <w:rPr>
                <w:noProof/>
                <w:webHidden/>
              </w:rPr>
            </w:r>
            <w:r w:rsidR="00B54406">
              <w:rPr>
                <w:noProof/>
                <w:webHidden/>
              </w:rPr>
              <w:fldChar w:fldCharType="separate"/>
            </w:r>
            <w:r w:rsidR="00B54406">
              <w:rPr>
                <w:noProof/>
                <w:webHidden/>
              </w:rPr>
              <w:t>20</w:t>
            </w:r>
            <w:r w:rsidR="00B54406">
              <w:rPr>
                <w:noProof/>
                <w:webHidden/>
              </w:rPr>
              <w:fldChar w:fldCharType="end"/>
            </w:r>
          </w:hyperlink>
        </w:p>
        <w:p w14:paraId="617D5A52" w14:textId="4077787D" w:rsidR="00B54406" w:rsidRDefault="00271F03">
          <w:pPr>
            <w:pStyle w:val="TOC1"/>
            <w:tabs>
              <w:tab w:val="left" w:pos="440"/>
              <w:tab w:val="right" w:leader="dot" w:pos="9350"/>
            </w:tabs>
            <w:rPr>
              <w:rFonts w:asciiTheme="minorHAnsi" w:eastAsiaTheme="minorEastAsia" w:hAnsiTheme="minorHAnsi" w:cstheme="minorBidi"/>
              <w:noProof/>
              <w:sz w:val="22"/>
            </w:rPr>
          </w:pPr>
          <w:hyperlink w:anchor="_Toc145951081" w:history="1">
            <w:r w:rsidR="00B54406" w:rsidRPr="00C5672A">
              <w:rPr>
                <w:rStyle w:val="Hyperlink"/>
                <w:noProof/>
              </w:rPr>
              <w:t>LITERATURE REVIEW</w:t>
            </w:r>
            <w:r w:rsidR="00B54406">
              <w:rPr>
                <w:noProof/>
                <w:webHidden/>
              </w:rPr>
              <w:tab/>
            </w:r>
            <w:r w:rsidR="00B54406">
              <w:rPr>
                <w:noProof/>
                <w:webHidden/>
              </w:rPr>
              <w:fldChar w:fldCharType="begin"/>
            </w:r>
            <w:r w:rsidR="00B54406">
              <w:rPr>
                <w:noProof/>
                <w:webHidden/>
              </w:rPr>
              <w:instrText xml:space="preserve"> PAGEREF _Toc145951081 \h </w:instrText>
            </w:r>
            <w:r w:rsidR="00B54406">
              <w:rPr>
                <w:noProof/>
                <w:webHidden/>
              </w:rPr>
            </w:r>
            <w:r w:rsidR="00B54406">
              <w:rPr>
                <w:noProof/>
                <w:webHidden/>
              </w:rPr>
              <w:fldChar w:fldCharType="separate"/>
            </w:r>
            <w:r w:rsidR="00B54406">
              <w:rPr>
                <w:noProof/>
                <w:webHidden/>
              </w:rPr>
              <w:t>20</w:t>
            </w:r>
            <w:r w:rsidR="00B54406">
              <w:rPr>
                <w:noProof/>
                <w:webHidden/>
              </w:rPr>
              <w:fldChar w:fldCharType="end"/>
            </w:r>
          </w:hyperlink>
        </w:p>
        <w:p w14:paraId="20FEF16E" w14:textId="6CC001B1"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082" w:history="1">
            <w:r w:rsidR="00B54406" w:rsidRPr="00C5672A">
              <w:rPr>
                <w:rStyle w:val="Hyperlink"/>
                <w:noProof/>
                <w14:scene3d>
                  <w14:camera w14:prst="orthographicFront"/>
                  <w14:lightRig w14:rig="threePt" w14:dir="t">
                    <w14:rot w14:lat="0" w14:lon="0" w14:rev="0"/>
                  </w14:lightRig>
                </w14:scene3d>
              </w:rPr>
              <w:t>2.1</w:t>
            </w:r>
            <w:r w:rsidR="00B54406">
              <w:rPr>
                <w:rFonts w:asciiTheme="minorHAnsi" w:eastAsiaTheme="minorEastAsia" w:hAnsiTheme="minorHAnsi" w:cstheme="minorBidi"/>
                <w:noProof/>
                <w:sz w:val="22"/>
              </w:rPr>
              <w:tab/>
            </w:r>
            <w:r w:rsidR="00B54406" w:rsidRPr="00C5672A">
              <w:rPr>
                <w:rStyle w:val="Hyperlink"/>
                <w:noProof/>
              </w:rPr>
              <w:t>Conceptual Review</w:t>
            </w:r>
            <w:r w:rsidR="00B54406">
              <w:rPr>
                <w:noProof/>
                <w:webHidden/>
              </w:rPr>
              <w:tab/>
            </w:r>
            <w:r w:rsidR="00B54406">
              <w:rPr>
                <w:noProof/>
                <w:webHidden/>
              </w:rPr>
              <w:fldChar w:fldCharType="begin"/>
            </w:r>
            <w:r w:rsidR="00B54406">
              <w:rPr>
                <w:noProof/>
                <w:webHidden/>
              </w:rPr>
              <w:instrText xml:space="preserve"> PAGEREF _Toc145951082 \h </w:instrText>
            </w:r>
            <w:r w:rsidR="00B54406">
              <w:rPr>
                <w:noProof/>
                <w:webHidden/>
              </w:rPr>
            </w:r>
            <w:r w:rsidR="00B54406">
              <w:rPr>
                <w:noProof/>
                <w:webHidden/>
              </w:rPr>
              <w:fldChar w:fldCharType="separate"/>
            </w:r>
            <w:r w:rsidR="00B54406">
              <w:rPr>
                <w:noProof/>
                <w:webHidden/>
              </w:rPr>
              <w:t>20</w:t>
            </w:r>
            <w:r w:rsidR="00B54406">
              <w:rPr>
                <w:noProof/>
                <w:webHidden/>
              </w:rPr>
              <w:fldChar w:fldCharType="end"/>
            </w:r>
          </w:hyperlink>
        </w:p>
        <w:p w14:paraId="6F80C32D" w14:textId="7714AAEB"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083" w:history="1">
            <w:r w:rsidR="00B54406" w:rsidRPr="00C5672A">
              <w:rPr>
                <w:rStyle w:val="Hyperlink"/>
                <w:bCs/>
                <w:noProof/>
                <w14:scene3d>
                  <w14:camera w14:prst="orthographicFront"/>
                  <w14:lightRig w14:rig="threePt" w14:dir="t">
                    <w14:rot w14:lat="0" w14:lon="0" w14:rev="0"/>
                  </w14:lightRig>
                </w14:scene3d>
              </w:rPr>
              <w:t>2.1.1</w:t>
            </w:r>
            <w:r w:rsidR="00B54406">
              <w:rPr>
                <w:rFonts w:asciiTheme="minorHAnsi" w:eastAsiaTheme="minorEastAsia" w:hAnsiTheme="minorHAnsi" w:cstheme="minorBidi"/>
                <w:noProof/>
                <w:sz w:val="22"/>
              </w:rPr>
              <w:tab/>
            </w:r>
            <w:r w:rsidR="00B54406" w:rsidRPr="00C5672A">
              <w:rPr>
                <w:rStyle w:val="Hyperlink"/>
                <w:noProof/>
              </w:rPr>
              <w:t>Financial Misconduct</w:t>
            </w:r>
            <w:r w:rsidR="00B54406">
              <w:rPr>
                <w:noProof/>
                <w:webHidden/>
              </w:rPr>
              <w:tab/>
            </w:r>
            <w:r w:rsidR="00B54406">
              <w:rPr>
                <w:noProof/>
                <w:webHidden/>
              </w:rPr>
              <w:fldChar w:fldCharType="begin"/>
            </w:r>
            <w:r w:rsidR="00B54406">
              <w:rPr>
                <w:noProof/>
                <w:webHidden/>
              </w:rPr>
              <w:instrText xml:space="preserve"> PAGEREF _Toc145951083 \h </w:instrText>
            </w:r>
            <w:r w:rsidR="00B54406">
              <w:rPr>
                <w:noProof/>
                <w:webHidden/>
              </w:rPr>
            </w:r>
            <w:r w:rsidR="00B54406">
              <w:rPr>
                <w:noProof/>
                <w:webHidden/>
              </w:rPr>
              <w:fldChar w:fldCharType="separate"/>
            </w:r>
            <w:r w:rsidR="00B54406">
              <w:rPr>
                <w:noProof/>
                <w:webHidden/>
              </w:rPr>
              <w:t>48</w:t>
            </w:r>
            <w:r w:rsidR="00B54406">
              <w:rPr>
                <w:noProof/>
                <w:webHidden/>
              </w:rPr>
              <w:fldChar w:fldCharType="end"/>
            </w:r>
          </w:hyperlink>
        </w:p>
        <w:p w14:paraId="39CC9AB9" w14:textId="616E5781"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084" w:history="1">
            <w:r w:rsidR="00B54406" w:rsidRPr="00C5672A">
              <w:rPr>
                <w:rStyle w:val="Hyperlink"/>
                <w:bCs/>
                <w:noProof/>
                <w14:scene3d>
                  <w14:camera w14:prst="orthographicFront"/>
                  <w14:lightRig w14:rig="threePt" w14:dir="t">
                    <w14:rot w14:lat="0" w14:lon="0" w14:rev="0"/>
                  </w14:lightRig>
                </w14:scene3d>
              </w:rPr>
              <w:t>2.1.2</w:t>
            </w:r>
            <w:r w:rsidR="00B54406">
              <w:rPr>
                <w:rFonts w:asciiTheme="minorHAnsi" w:eastAsiaTheme="minorEastAsia" w:hAnsiTheme="minorHAnsi" w:cstheme="minorBidi"/>
                <w:noProof/>
                <w:sz w:val="22"/>
              </w:rPr>
              <w:tab/>
            </w:r>
            <w:r w:rsidR="00B54406" w:rsidRPr="00C5672A">
              <w:rPr>
                <w:rStyle w:val="Hyperlink"/>
                <w:noProof/>
              </w:rPr>
              <w:t>Fund Misappropriation</w:t>
            </w:r>
            <w:r w:rsidR="00B54406">
              <w:rPr>
                <w:noProof/>
                <w:webHidden/>
              </w:rPr>
              <w:tab/>
            </w:r>
            <w:r w:rsidR="00B54406">
              <w:rPr>
                <w:noProof/>
                <w:webHidden/>
              </w:rPr>
              <w:fldChar w:fldCharType="begin"/>
            </w:r>
            <w:r w:rsidR="00B54406">
              <w:rPr>
                <w:noProof/>
                <w:webHidden/>
              </w:rPr>
              <w:instrText xml:space="preserve"> PAGEREF _Toc145951084 \h </w:instrText>
            </w:r>
            <w:r w:rsidR="00B54406">
              <w:rPr>
                <w:noProof/>
                <w:webHidden/>
              </w:rPr>
            </w:r>
            <w:r w:rsidR="00B54406">
              <w:rPr>
                <w:noProof/>
                <w:webHidden/>
              </w:rPr>
              <w:fldChar w:fldCharType="separate"/>
            </w:r>
            <w:r w:rsidR="00B54406">
              <w:rPr>
                <w:noProof/>
                <w:webHidden/>
              </w:rPr>
              <w:t>50</w:t>
            </w:r>
            <w:r w:rsidR="00B54406">
              <w:rPr>
                <w:noProof/>
                <w:webHidden/>
              </w:rPr>
              <w:fldChar w:fldCharType="end"/>
            </w:r>
          </w:hyperlink>
        </w:p>
        <w:p w14:paraId="79586AF8" w14:textId="44B6C120"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085" w:history="1">
            <w:r w:rsidR="00B54406" w:rsidRPr="00C5672A">
              <w:rPr>
                <w:rStyle w:val="Hyperlink"/>
                <w:bCs/>
                <w:noProof/>
                <w14:scene3d>
                  <w14:camera w14:prst="orthographicFront"/>
                  <w14:lightRig w14:rig="threePt" w14:dir="t">
                    <w14:rot w14:lat="0" w14:lon="0" w14:rev="0"/>
                  </w14:lightRig>
                </w14:scene3d>
              </w:rPr>
              <w:t>2.1.3</w:t>
            </w:r>
            <w:r w:rsidR="00B54406">
              <w:rPr>
                <w:rFonts w:asciiTheme="minorHAnsi" w:eastAsiaTheme="minorEastAsia" w:hAnsiTheme="minorHAnsi" w:cstheme="minorBidi"/>
                <w:noProof/>
                <w:sz w:val="22"/>
              </w:rPr>
              <w:tab/>
            </w:r>
            <w:r w:rsidR="00B54406" w:rsidRPr="00C5672A">
              <w:rPr>
                <w:rStyle w:val="Hyperlink"/>
                <w:noProof/>
              </w:rPr>
              <w:t xml:space="preserve">Value for Money </w:t>
            </w:r>
            <w:r w:rsidR="00B54406" w:rsidRPr="00C5672A">
              <w:rPr>
                <w:rStyle w:val="Hyperlink"/>
                <w:rFonts w:eastAsia="Calibri"/>
                <w:bCs/>
                <w:noProof/>
              </w:rPr>
              <w:t>Practices</w:t>
            </w:r>
            <w:r w:rsidR="00B54406">
              <w:rPr>
                <w:noProof/>
                <w:webHidden/>
              </w:rPr>
              <w:tab/>
            </w:r>
            <w:r w:rsidR="00B54406">
              <w:rPr>
                <w:noProof/>
                <w:webHidden/>
              </w:rPr>
              <w:fldChar w:fldCharType="begin"/>
            </w:r>
            <w:r w:rsidR="00B54406">
              <w:rPr>
                <w:noProof/>
                <w:webHidden/>
              </w:rPr>
              <w:instrText xml:space="preserve"> PAGEREF _Toc145951085 \h </w:instrText>
            </w:r>
            <w:r w:rsidR="00B54406">
              <w:rPr>
                <w:noProof/>
                <w:webHidden/>
              </w:rPr>
            </w:r>
            <w:r w:rsidR="00B54406">
              <w:rPr>
                <w:noProof/>
                <w:webHidden/>
              </w:rPr>
              <w:fldChar w:fldCharType="separate"/>
            </w:r>
            <w:r w:rsidR="00B54406">
              <w:rPr>
                <w:noProof/>
                <w:webHidden/>
              </w:rPr>
              <w:t>51</w:t>
            </w:r>
            <w:r w:rsidR="00B54406">
              <w:rPr>
                <w:noProof/>
                <w:webHidden/>
              </w:rPr>
              <w:fldChar w:fldCharType="end"/>
            </w:r>
          </w:hyperlink>
        </w:p>
        <w:p w14:paraId="500C9C09" w14:textId="05423841"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086" w:history="1">
            <w:r w:rsidR="00B54406" w:rsidRPr="00C5672A">
              <w:rPr>
                <w:rStyle w:val="Hyperlink"/>
                <w:bCs/>
                <w:noProof/>
                <w14:scene3d>
                  <w14:camera w14:prst="orthographicFront"/>
                  <w14:lightRig w14:rig="threePt" w14:dir="t">
                    <w14:rot w14:lat="0" w14:lon="0" w14:rev="0"/>
                  </w14:lightRig>
                </w14:scene3d>
              </w:rPr>
              <w:t>2.1.4</w:t>
            </w:r>
            <w:r w:rsidR="00B54406">
              <w:rPr>
                <w:rFonts w:asciiTheme="minorHAnsi" w:eastAsiaTheme="minorEastAsia" w:hAnsiTheme="minorHAnsi" w:cstheme="minorBidi"/>
                <w:noProof/>
                <w:sz w:val="22"/>
              </w:rPr>
              <w:tab/>
            </w:r>
            <w:r w:rsidR="00B54406" w:rsidRPr="00C5672A">
              <w:rPr>
                <w:rStyle w:val="Hyperlink"/>
                <w:noProof/>
              </w:rPr>
              <w:t>Creative Accounting Practices</w:t>
            </w:r>
            <w:r w:rsidR="00B54406">
              <w:rPr>
                <w:noProof/>
                <w:webHidden/>
              </w:rPr>
              <w:tab/>
            </w:r>
            <w:r w:rsidR="00B54406">
              <w:rPr>
                <w:noProof/>
                <w:webHidden/>
              </w:rPr>
              <w:fldChar w:fldCharType="begin"/>
            </w:r>
            <w:r w:rsidR="00B54406">
              <w:rPr>
                <w:noProof/>
                <w:webHidden/>
              </w:rPr>
              <w:instrText xml:space="preserve"> PAGEREF _Toc145951086 \h </w:instrText>
            </w:r>
            <w:r w:rsidR="00B54406">
              <w:rPr>
                <w:noProof/>
                <w:webHidden/>
              </w:rPr>
            </w:r>
            <w:r w:rsidR="00B54406">
              <w:rPr>
                <w:noProof/>
                <w:webHidden/>
              </w:rPr>
              <w:fldChar w:fldCharType="separate"/>
            </w:r>
            <w:r w:rsidR="00B54406">
              <w:rPr>
                <w:noProof/>
                <w:webHidden/>
              </w:rPr>
              <w:t>52</w:t>
            </w:r>
            <w:r w:rsidR="00B54406">
              <w:rPr>
                <w:noProof/>
                <w:webHidden/>
              </w:rPr>
              <w:fldChar w:fldCharType="end"/>
            </w:r>
          </w:hyperlink>
        </w:p>
        <w:p w14:paraId="0ECAED80" w14:textId="5B6AA30C"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087" w:history="1">
            <w:r w:rsidR="00B54406" w:rsidRPr="00C5672A">
              <w:rPr>
                <w:rStyle w:val="Hyperlink"/>
                <w:bCs/>
                <w:noProof/>
                <w14:scene3d>
                  <w14:camera w14:prst="orthographicFront"/>
                  <w14:lightRig w14:rig="threePt" w14:dir="t">
                    <w14:rot w14:lat="0" w14:lon="0" w14:rev="0"/>
                  </w14:lightRig>
                </w14:scene3d>
              </w:rPr>
              <w:t>2.1.5</w:t>
            </w:r>
            <w:r w:rsidR="00B54406">
              <w:rPr>
                <w:rFonts w:asciiTheme="minorHAnsi" w:eastAsiaTheme="minorEastAsia" w:hAnsiTheme="minorHAnsi" w:cstheme="minorBidi"/>
                <w:noProof/>
                <w:sz w:val="22"/>
              </w:rPr>
              <w:tab/>
            </w:r>
            <w:r w:rsidR="00B54406" w:rsidRPr="00C5672A">
              <w:rPr>
                <w:rStyle w:val="Hyperlink"/>
                <w:noProof/>
              </w:rPr>
              <w:t>Procurement Practices</w:t>
            </w:r>
            <w:r w:rsidR="00B54406">
              <w:rPr>
                <w:noProof/>
                <w:webHidden/>
              </w:rPr>
              <w:tab/>
            </w:r>
            <w:r w:rsidR="00B54406">
              <w:rPr>
                <w:noProof/>
                <w:webHidden/>
              </w:rPr>
              <w:fldChar w:fldCharType="begin"/>
            </w:r>
            <w:r w:rsidR="00B54406">
              <w:rPr>
                <w:noProof/>
                <w:webHidden/>
              </w:rPr>
              <w:instrText xml:space="preserve"> PAGEREF _Toc145951087 \h </w:instrText>
            </w:r>
            <w:r w:rsidR="00B54406">
              <w:rPr>
                <w:noProof/>
                <w:webHidden/>
              </w:rPr>
            </w:r>
            <w:r w:rsidR="00B54406">
              <w:rPr>
                <w:noProof/>
                <w:webHidden/>
              </w:rPr>
              <w:fldChar w:fldCharType="separate"/>
            </w:r>
            <w:r w:rsidR="00B54406">
              <w:rPr>
                <w:noProof/>
                <w:webHidden/>
              </w:rPr>
              <w:t>54</w:t>
            </w:r>
            <w:r w:rsidR="00B54406">
              <w:rPr>
                <w:noProof/>
                <w:webHidden/>
              </w:rPr>
              <w:fldChar w:fldCharType="end"/>
            </w:r>
          </w:hyperlink>
        </w:p>
        <w:p w14:paraId="1A05EE04" w14:textId="231A6E93"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088" w:history="1">
            <w:r w:rsidR="00B54406" w:rsidRPr="00C5672A">
              <w:rPr>
                <w:rStyle w:val="Hyperlink"/>
                <w:bCs/>
                <w:noProof/>
                <w14:scene3d>
                  <w14:camera w14:prst="orthographicFront"/>
                  <w14:lightRig w14:rig="threePt" w14:dir="t">
                    <w14:rot w14:lat="0" w14:lon="0" w14:rev="0"/>
                  </w14:lightRig>
                </w14:scene3d>
              </w:rPr>
              <w:t>2.1.6</w:t>
            </w:r>
            <w:r w:rsidR="00B54406">
              <w:rPr>
                <w:rFonts w:asciiTheme="minorHAnsi" w:eastAsiaTheme="minorEastAsia" w:hAnsiTheme="minorHAnsi" w:cstheme="minorBidi"/>
                <w:noProof/>
                <w:sz w:val="22"/>
              </w:rPr>
              <w:tab/>
            </w:r>
            <w:r w:rsidR="00B54406" w:rsidRPr="00C5672A">
              <w:rPr>
                <w:rStyle w:val="Hyperlink"/>
                <w:noProof/>
              </w:rPr>
              <w:t>Forensic Accounting Techniques</w:t>
            </w:r>
            <w:r w:rsidR="00B54406">
              <w:rPr>
                <w:noProof/>
                <w:webHidden/>
              </w:rPr>
              <w:tab/>
            </w:r>
            <w:r w:rsidR="00B54406">
              <w:rPr>
                <w:noProof/>
                <w:webHidden/>
              </w:rPr>
              <w:fldChar w:fldCharType="begin"/>
            </w:r>
            <w:r w:rsidR="00B54406">
              <w:rPr>
                <w:noProof/>
                <w:webHidden/>
              </w:rPr>
              <w:instrText xml:space="preserve"> PAGEREF _Toc145951088 \h </w:instrText>
            </w:r>
            <w:r w:rsidR="00B54406">
              <w:rPr>
                <w:noProof/>
                <w:webHidden/>
              </w:rPr>
            </w:r>
            <w:r w:rsidR="00B54406">
              <w:rPr>
                <w:noProof/>
                <w:webHidden/>
              </w:rPr>
              <w:fldChar w:fldCharType="separate"/>
            </w:r>
            <w:r w:rsidR="00B54406">
              <w:rPr>
                <w:noProof/>
                <w:webHidden/>
              </w:rPr>
              <w:t>56</w:t>
            </w:r>
            <w:r w:rsidR="00B54406">
              <w:rPr>
                <w:noProof/>
                <w:webHidden/>
              </w:rPr>
              <w:fldChar w:fldCharType="end"/>
            </w:r>
          </w:hyperlink>
        </w:p>
        <w:p w14:paraId="7088D0DD" w14:textId="65A1C37F"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089" w:history="1">
            <w:r w:rsidR="00B54406" w:rsidRPr="00C5672A">
              <w:rPr>
                <w:rStyle w:val="Hyperlink"/>
                <w:bCs/>
                <w:noProof/>
                <w14:scene3d>
                  <w14:camera w14:prst="orthographicFront"/>
                  <w14:lightRig w14:rig="threePt" w14:dir="t">
                    <w14:rot w14:lat="0" w14:lon="0" w14:rev="0"/>
                  </w14:lightRig>
                </w14:scene3d>
              </w:rPr>
              <w:t>2.1.7</w:t>
            </w:r>
            <w:r w:rsidR="00B54406">
              <w:rPr>
                <w:rFonts w:asciiTheme="minorHAnsi" w:eastAsiaTheme="minorEastAsia" w:hAnsiTheme="minorHAnsi" w:cstheme="minorBidi"/>
                <w:noProof/>
                <w:sz w:val="22"/>
              </w:rPr>
              <w:tab/>
            </w:r>
            <w:r w:rsidR="00B54406" w:rsidRPr="00C5672A">
              <w:rPr>
                <w:rStyle w:val="Hyperlink"/>
                <w:noProof/>
              </w:rPr>
              <w:t>Investigation of Fraud</w:t>
            </w:r>
            <w:r w:rsidR="00B54406">
              <w:rPr>
                <w:noProof/>
                <w:webHidden/>
              </w:rPr>
              <w:tab/>
            </w:r>
            <w:r w:rsidR="00B54406">
              <w:rPr>
                <w:noProof/>
                <w:webHidden/>
              </w:rPr>
              <w:fldChar w:fldCharType="begin"/>
            </w:r>
            <w:r w:rsidR="00B54406">
              <w:rPr>
                <w:noProof/>
                <w:webHidden/>
              </w:rPr>
              <w:instrText xml:space="preserve"> PAGEREF _Toc145951089 \h </w:instrText>
            </w:r>
            <w:r w:rsidR="00B54406">
              <w:rPr>
                <w:noProof/>
                <w:webHidden/>
              </w:rPr>
            </w:r>
            <w:r w:rsidR="00B54406">
              <w:rPr>
                <w:noProof/>
                <w:webHidden/>
              </w:rPr>
              <w:fldChar w:fldCharType="separate"/>
            </w:r>
            <w:r w:rsidR="00B54406">
              <w:rPr>
                <w:noProof/>
                <w:webHidden/>
              </w:rPr>
              <w:t>58</w:t>
            </w:r>
            <w:r w:rsidR="00B54406">
              <w:rPr>
                <w:noProof/>
                <w:webHidden/>
              </w:rPr>
              <w:fldChar w:fldCharType="end"/>
            </w:r>
          </w:hyperlink>
        </w:p>
        <w:p w14:paraId="4BC19E14" w14:textId="0E48AFF8"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090" w:history="1">
            <w:r w:rsidR="00B54406" w:rsidRPr="00C5672A">
              <w:rPr>
                <w:rStyle w:val="Hyperlink"/>
                <w:bCs/>
                <w:noProof/>
                <w14:scene3d>
                  <w14:camera w14:prst="orthographicFront"/>
                  <w14:lightRig w14:rig="threePt" w14:dir="t">
                    <w14:rot w14:lat="0" w14:lon="0" w14:rev="0"/>
                  </w14:lightRig>
                </w14:scene3d>
              </w:rPr>
              <w:t>2.1.8</w:t>
            </w:r>
            <w:r w:rsidR="00B54406">
              <w:rPr>
                <w:rFonts w:asciiTheme="minorHAnsi" w:eastAsiaTheme="minorEastAsia" w:hAnsiTheme="minorHAnsi" w:cstheme="minorBidi"/>
                <w:noProof/>
                <w:sz w:val="22"/>
              </w:rPr>
              <w:tab/>
            </w:r>
            <w:r w:rsidR="00B54406" w:rsidRPr="00C5672A">
              <w:rPr>
                <w:rStyle w:val="Hyperlink"/>
                <w:noProof/>
              </w:rPr>
              <w:t>Litigation Services</w:t>
            </w:r>
            <w:r w:rsidR="00B54406">
              <w:rPr>
                <w:noProof/>
                <w:webHidden/>
              </w:rPr>
              <w:tab/>
            </w:r>
            <w:r w:rsidR="00B54406">
              <w:rPr>
                <w:noProof/>
                <w:webHidden/>
              </w:rPr>
              <w:fldChar w:fldCharType="begin"/>
            </w:r>
            <w:r w:rsidR="00B54406">
              <w:rPr>
                <w:noProof/>
                <w:webHidden/>
              </w:rPr>
              <w:instrText xml:space="preserve"> PAGEREF _Toc145951090 \h </w:instrText>
            </w:r>
            <w:r w:rsidR="00B54406">
              <w:rPr>
                <w:noProof/>
                <w:webHidden/>
              </w:rPr>
            </w:r>
            <w:r w:rsidR="00B54406">
              <w:rPr>
                <w:noProof/>
                <w:webHidden/>
              </w:rPr>
              <w:fldChar w:fldCharType="separate"/>
            </w:r>
            <w:r w:rsidR="00B54406">
              <w:rPr>
                <w:noProof/>
                <w:webHidden/>
              </w:rPr>
              <w:t>59</w:t>
            </w:r>
            <w:r w:rsidR="00B54406">
              <w:rPr>
                <w:noProof/>
                <w:webHidden/>
              </w:rPr>
              <w:fldChar w:fldCharType="end"/>
            </w:r>
          </w:hyperlink>
        </w:p>
        <w:p w14:paraId="5DDA3F67" w14:textId="2F914567"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091" w:history="1">
            <w:r w:rsidR="00B54406" w:rsidRPr="00C5672A">
              <w:rPr>
                <w:rStyle w:val="Hyperlink"/>
                <w:bCs/>
                <w:noProof/>
                <w14:scene3d>
                  <w14:camera w14:prst="orthographicFront"/>
                  <w14:lightRig w14:rig="threePt" w14:dir="t">
                    <w14:rot w14:lat="0" w14:lon="0" w14:rev="0"/>
                  </w14:lightRig>
                </w14:scene3d>
              </w:rPr>
              <w:t>2.1.9</w:t>
            </w:r>
            <w:r w:rsidR="00B54406">
              <w:rPr>
                <w:rFonts w:asciiTheme="minorHAnsi" w:eastAsiaTheme="minorEastAsia" w:hAnsiTheme="minorHAnsi" w:cstheme="minorBidi"/>
                <w:noProof/>
                <w:sz w:val="22"/>
              </w:rPr>
              <w:tab/>
            </w:r>
            <w:r w:rsidR="00B54406" w:rsidRPr="00C5672A">
              <w:rPr>
                <w:rStyle w:val="Hyperlink"/>
                <w:noProof/>
              </w:rPr>
              <w:t>Surprise Cash Count Practices</w:t>
            </w:r>
            <w:r w:rsidR="00B54406">
              <w:rPr>
                <w:noProof/>
                <w:webHidden/>
              </w:rPr>
              <w:tab/>
            </w:r>
            <w:r w:rsidR="00B54406">
              <w:rPr>
                <w:noProof/>
                <w:webHidden/>
              </w:rPr>
              <w:fldChar w:fldCharType="begin"/>
            </w:r>
            <w:r w:rsidR="00B54406">
              <w:rPr>
                <w:noProof/>
                <w:webHidden/>
              </w:rPr>
              <w:instrText xml:space="preserve"> PAGEREF _Toc145951091 \h </w:instrText>
            </w:r>
            <w:r w:rsidR="00B54406">
              <w:rPr>
                <w:noProof/>
                <w:webHidden/>
              </w:rPr>
            </w:r>
            <w:r w:rsidR="00B54406">
              <w:rPr>
                <w:noProof/>
                <w:webHidden/>
              </w:rPr>
              <w:fldChar w:fldCharType="separate"/>
            </w:r>
            <w:r w:rsidR="00B54406">
              <w:rPr>
                <w:noProof/>
                <w:webHidden/>
              </w:rPr>
              <w:t>61</w:t>
            </w:r>
            <w:r w:rsidR="00B54406">
              <w:rPr>
                <w:noProof/>
                <w:webHidden/>
              </w:rPr>
              <w:fldChar w:fldCharType="end"/>
            </w:r>
          </w:hyperlink>
        </w:p>
        <w:p w14:paraId="18BF3FF7" w14:textId="6FA588BE"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092" w:history="1">
            <w:r w:rsidR="00B54406" w:rsidRPr="00C5672A">
              <w:rPr>
                <w:rStyle w:val="Hyperlink"/>
                <w:bCs/>
                <w:noProof/>
                <w14:scene3d>
                  <w14:camera w14:prst="orthographicFront"/>
                  <w14:lightRig w14:rig="threePt" w14:dir="t">
                    <w14:rot w14:lat="0" w14:lon="0" w14:rev="0"/>
                  </w14:lightRig>
                </w14:scene3d>
              </w:rPr>
              <w:t>2.1.10</w:t>
            </w:r>
            <w:r w:rsidR="00B54406">
              <w:rPr>
                <w:rFonts w:asciiTheme="minorHAnsi" w:eastAsiaTheme="minorEastAsia" w:hAnsiTheme="minorHAnsi" w:cstheme="minorBidi"/>
                <w:noProof/>
                <w:sz w:val="22"/>
              </w:rPr>
              <w:tab/>
            </w:r>
            <w:r w:rsidR="00B54406" w:rsidRPr="00C5672A">
              <w:rPr>
                <w:rStyle w:val="Hyperlink"/>
                <w:noProof/>
              </w:rPr>
              <w:t>Accounting and Digital Environment</w:t>
            </w:r>
            <w:r w:rsidR="00B54406">
              <w:rPr>
                <w:noProof/>
                <w:webHidden/>
              </w:rPr>
              <w:tab/>
            </w:r>
            <w:r w:rsidR="00B54406">
              <w:rPr>
                <w:noProof/>
                <w:webHidden/>
              </w:rPr>
              <w:fldChar w:fldCharType="begin"/>
            </w:r>
            <w:r w:rsidR="00B54406">
              <w:rPr>
                <w:noProof/>
                <w:webHidden/>
              </w:rPr>
              <w:instrText xml:space="preserve"> PAGEREF _Toc145951092 \h </w:instrText>
            </w:r>
            <w:r w:rsidR="00B54406">
              <w:rPr>
                <w:noProof/>
                <w:webHidden/>
              </w:rPr>
            </w:r>
            <w:r w:rsidR="00B54406">
              <w:rPr>
                <w:noProof/>
                <w:webHidden/>
              </w:rPr>
              <w:fldChar w:fldCharType="separate"/>
            </w:r>
            <w:r w:rsidR="00B54406">
              <w:rPr>
                <w:noProof/>
                <w:webHidden/>
              </w:rPr>
              <w:t>62</w:t>
            </w:r>
            <w:r w:rsidR="00B54406">
              <w:rPr>
                <w:noProof/>
                <w:webHidden/>
              </w:rPr>
              <w:fldChar w:fldCharType="end"/>
            </w:r>
          </w:hyperlink>
        </w:p>
        <w:p w14:paraId="7C05AFA2" w14:textId="7E09920F"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093" w:history="1">
            <w:r w:rsidR="00B54406" w:rsidRPr="00C5672A">
              <w:rPr>
                <w:rStyle w:val="Hyperlink"/>
                <w:noProof/>
                <w14:scene3d>
                  <w14:camera w14:prst="orthographicFront"/>
                  <w14:lightRig w14:rig="threePt" w14:dir="t">
                    <w14:rot w14:lat="0" w14:lon="0" w14:rev="0"/>
                  </w14:lightRig>
                </w14:scene3d>
              </w:rPr>
              <w:t>2.2</w:t>
            </w:r>
            <w:r w:rsidR="00B54406">
              <w:rPr>
                <w:rFonts w:asciiTheme="minorHAnsi" w:eastAsiaTheme="minorEastAsia" w:hAnsiTheme="minorHAnsi" w:cstheme="minorBidi"/>
                <w:noProof/>
                <w:sz w:val="22"/>
              </w:rPr>
              <w:tab/>
            </w:r>
            <w:r w:rsidR="00B54406" w:rsidRPr="00C5672A">
              <w:rPr>
                <w:rStyle w:val="Hyperlink"/>
                <w:noProof/>
              </w:rPr>
              <w:t>Theoretical Review</w:t>
            </w:r>
            <w:r w:rsidR="00B54406">
              <w:rPr>
                <w:noProof/>
                <w:webHidden/>
              </w:rPr>
              <w:tab/>
            </w:r>
            <w:r w:rsidR="00B54406">
              <w:rPr>
                <w:noProof/>
                <w:webHidden/>
              </w:rPr>
              <w:fldChar w:fldCharType="begin"/>
            </w:r>
            <w:r w:rsidR="00B54406">
              <w:rPr>
                <w:noProof/>
                <w:webHidden/>
              </w:rPr>
              <w:instrText xml:space="preserve"> PAGEREF _Toc145951093 \h </w:instrText>
            </w:r>
            <w:r w:rsidR="00B54406">
              <w:rPr>
                <w:noProof/>
                <w:webHidden/>
              </w:rPr>
            </w:r>
            <w:r w:rsidR="00B54406">
              <w:rPr>
                <w:noProof/>
                <w:webHidden/>
              </w:rPr>
              <w:fldChar w:fldCharType="separate"/>
            </w:r>
            <w:r w:rsidR="00B54406">
              <w:rPr>
                <w:noProof/>
                <w:webHidden/>
              </w:rPr>
              <w:t>65</w:t>
            </w:r>
            <w:r w:rsidR="00B54406">
              <w:rPr>
                <w:noProof/>
                <w:webHidden/>
              </w:rPr>
              <w:fldChar w:fldCharType="end"/>
            </w:r>
          </w:hyperlink>
        </w:p>
        <w:p w14:paraId="012FCFF1" w14:textId="226222AB"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094" w:history="1">
            <w:r w:rsidR="00B54406" w:rsidRPr="00C5672A">
              <w:rPr>
                <w:rStyle w:val="Hyperlink"/>
                <w:bCs/>
                <w:noProof/>
                <w14:scene3d>
                  <w14:camera w14:prst="orthographicFront"/>
                  <w14:lightRig w14:rig="threePt" w14:dir="t">
                    <w14:rot w14:lat="0" w14:lon="0" w14:rev="0"/>
                  </w14:lightRig>
                </w14:scene3d>
              </w:rPr>
              <w:t>2.2.1</w:t>
            </w:r>
            <w:r w:rsidR="00B54406">
              <w:rPr>
                <w:rFonts w:asciiTheme="minorHAnsi" w:eastAsiaTheme="minorEastAsia" w:hAnsiTheme="minorHAnsi" w:cstheme="minorBidi"/>
                <w:noProof/>
                <w:sz w:val="22"/>
              </w:rPr>
              <w:tab/>
            </w:r>
            <w:r w:rsidR="00B54406" w:rsidRPr="00C5672A">
              <w:rPr>
                <w:rStyle w:val="Hyperlink"/>
                <w:noProof/>
              </w:rPr>
              <w:t>Theoretical Background</w:t>
            </w:r>
            <w:r w:rsidR="00B54406">
              <w:rPr>
                <w:noProof/>
                <w:webHidden/>
              </w:rPr>
              <w:tab/>
            </w:r>
            <w:r w:rsidR="00B54406">
              <w:rPr>
                <w:noProof/>
                <w:webHidden/>
              </w:rPr>
              <w:fldChar w:fldCharType="begin"/>
            </w:r>
            <w:r w:rsidR="00B54406">
              <w:rPr>
                <w:noProof/>
                <w:webHidden/>
              </w:rPr>
              <w:instrText xml:space="preserve"> PAGEREF _Toc145951094 \h </w:instrText>
            </w:r>
            <w:r w:rsidR="00B54406">
              <w:rPr>
                <w:noProof/>
                <w:webHidden/>
              </w:rPr>
            </w:r>
            <w:r w:rsidR="00B54406">
              <w:rPr>
                <w:noProof/>
                <w:webHidden/>
              </w:rPr>
              <w:fldChar w:fldCharType="separate"/>
            </w:r>
            <w:r w:rsidR="00B54406">
              <w:rPr>
                <w:noProof/>
                <w:webHidden/>
              </w:rPr>
              <w:t>65</w:t>
            </w:r>
            <w:r w:rsidR="00B54406">
              <w:rPr>
                <w:noProof/>
                <w:webHidden/>
              </w:rPr>
              <w:fldChar w:fldCharType="end"/>
            </w:r>
          </w:hyperlink>
        </w:p>
        <w:p w14:paraId="22490E38" w14:textId="7C7C2279"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095" w:history="1">
            <w:r w:rsidR="00B54406" w:rsidRPr="00C5672A">
              <w:rPr>
                <w:rStyle w:val="Hyperlink"/>
                <w:bCs/>
                <w:noProof/>
                <w14:scene3d>
                  <w14:camera w14:prst="orthographicFront"/>
                  <w14:lightRig w14:rig="threePt" w14:dir="t">
                    <w14:rot w14:lat="0" w14:lon="0" w14:rev="0"/>
                  </w14:lightRig>
                </w14:scene3d>
              </w:rPr>
              <w:t>2.2.2</w:t>
            </w:r>
            <w:r w:rsidR="00B54406">
              <w:rPr>
                <w:rFonts w:asciiTheme="minorHAnsi" w:eastAsiaTheme="minorEastAsia" w:hAnsiTheme="minorHAnsi" w:cstheme="minorBidi"/>
                <w:noProof/>
                <w:sz w:val="22"/>
              </w:rPr>
              <w:tab/>
            </w:r>
            <w:r w:rsidR="00B54406" w:rsidRPr="00C5672A">
              <w:rPr>
                <w:rStyle w:val="Hyperlink"/>
                <w:noProof/>
              </w:rPr>
              <w:t>Fraud Triangle Theory</w:t>
            </w:r>
            <w:r w:rsidR="00B54406">
              <w:rPr>
                <w:noProof/>
                <w:webHidden/>
              </w:rPr>
              <w:tab/>
            </w:r>
            <w:r w:rsidR="00B54406">
              <w:rPr>
                <w:noProof/>
                <w:webHidden/>
              </w:rPr>
              <w:fldChar w:fldCharType="begin"/>
            </w:r>
            <w:r w:rsidR="00B54406">
              <w:rPr>
                <w:noProof/>
                <w:webHidden/>
              </w:rPr>
              <w:instrText xml:space="preserve"> PAGEREF _Toc145951095 \h </w:instrText>
            </w:r>
            <w:r w:rsidR="00B54406">
              <w:rPr>
                <w:noProof/>
                <w:webHidden/>
              </w:rPr>
            </w:r>
            <w:r w:rsidR="00B54406">
              <w:rPr>
                <w:noProof/>
                <w:webHidden/>
              </w:rPr>
              <w:fldChar w:fldCharType="separate"/>
            </w:r>
            <w:r w:rsidR="00B54406">
              <w:rPr>
                <w:noProof/>
                <w:webHidden/>
              </w:rPr>
              <w:t>68</w:t>
            </w:r>
            <w:r w:rsidR="00B54406">
              <w:rPr>
                <w:noProof/>
                <w:webHidden/>
              </w:rPr>
              <w:fldChar w:fldCharType="end"/>
            </w:r>
          </w:hyperlink>
        </w:p>
        <w:p w14:paraId="67B340A0" w14:textId="3FD118AD"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096" w:history="1">
            <w:r w:rsidR="00B54406" w:rsidRPr="00C5672A">
              <w:rPr>
                <w:rStyle w:val="Hyperlink"/>
                <w:bCs/>
                <w:noProof/>
                <w14:scene3d>
                  <w14:camera w14:prst="orthographicFront"/>
                  <w14:lightRig w14:rig="threePt" w14:dir="t">
                    <w14:rot w14:lat="0" w14:lon="0" w14:rev="0"/>
                  </w14:lightRig>
                </w14:scene3d>
              </w:rPr>
              <w:t>2.2.3</w:t>
            </w:r>
            <w:r w:rsidR="00B54406">
              <w:rPr>
                <w:rFonts w:asciiTheme="minorHAnsi" w:eastAsiaTheme="minorEastAsia" w:hAnsiTheme="minorHAnsi" w:cstheme="minorBidi"/>
                <w:noProof/>
                <w:sz w:val="22"/>
              </w:rPr>
              <w:tab/>
            </w:r>
            <w:r w:rsidR="00B54406" w:rsidRPr="00C5672A">
              <w:rPr>
                <w:rStyle w:val="Hyperlink"/>
                <w:noProof/>
              </w:rPr>
              <w:t xml:space="preserve">Fraud Diamond </w:t>
            </w:r>
            <w:r w:rsidR="00B54406" w:rsidRPr="00C5672A">
              <w:rPr>
                <w:rStyle w:val="Hyperlink"/>
                <w:rFonts w:eastAsia="Calibri"/>
                <w:noProof/>
              </w:rPr>
              <w:t>Theory</w:t>
            </w:r>
            <w:r w:rsidR="00B54406">
              <w:rPr>
                <w:noProof/>
                <w:webHidden/>
              </w:rPr>
              <w:tab/>
            </w:r>
            <w:r w:rsidR="00B54406">
              <w:rPr>
                <w:noProof/>
                <w:webHidden/>
              </w:rPr>
              <w:fldChar w:fldCharType="begin"/>
            </w:r>
            <w:r w:rsidR="00B54406">
              <w:rPr>
                <w:noProof/>
                <w:webHidden/>
              </w:rPr>
              <w:instrText xml:space="preserve"> PAGEREF _Toc145951096 \h </w:instrText>
            </w:r>
            <w:r w:rsidR="00B54406">
              <w:rPr>
                <w:noProof/>
                <w:webHidden/>
              </w:rPr>
            </w:r>
            <w:r w:rsidR="00B54406">
              <w:rPr>
                <w:noProof/>
                <w:webHidden/>
              </w:rPr>
              <w:fldChar w:fldCharType="separate"/>
            </w:r>
            <w:r w:rsidR="00B54406">
              <w:rPr>
                <w:noProof/>
                <w:webHidden/>
              </w:rPr>
              <w:t>71</w:t>
            </w:r>
            <w:r w:rsidR="00B54406">
              <w:rPr>
                <w:noProof/>
                <w:webHidden/>
              </w:rPr>
              <w:fldChar w:fldCharType="end"/>
            </w:r>
          </w:hyperlink>
        </w:p>
        <w:p w14:paraId="62C32E00" w14:textId="461693DF"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097" w:history="1">
            <w:r w:rsidR="00B54406" w:rsidRPr="00C5672A">
              <w:rPr>
                <w:rStyle w:val="Hyperlink"/>
                <w:bCs/>
                <w:noProof/>
                <w14:scene3d>
                  <w14:camera w14:prst="orthographicFront"/>
                  <w14:lightRig w14:rig="threePt" w14:dir="t">
                    <w14:rot w14:lat="0" w14:lon="0" w14:rev="0"/>
                  </w14:lightRig>
                </w14:scene3d>
              </w:rPr>
              <w:t>2.2.4</w:t>
            </w:r>
            <w:r w:rsidR="00B54406">
              <w:rPr>
                <w:rFonts w:asciiTheme="minorHAnsi" w:eastAsiaTheme="minorEastAsia" w:hAnsiTheme="minorHAnsi" w:cstheme="minorBidi"/>
                <w:noProof/>
                <w:sz w:val="22"/>
              </w:rPr>
              <w:tab/>
            </w:r>
            <w:r w:rsidR="00B54406" w:rsidRPr="00C5672A">
              <w:rPr>
                <w:rStyle w:val="Hyperlink"/>
                <w:noProof/>
              </w:rPr>
              <w:t>Forensic Accounting theory</w:t>
            </w:r>
            <w:r w:rsidR="00B54406">
              <w:rPr>
                <w:noProof/>
                <w:webHidden/>
              </w:rPr>
              <w:tab/>
            </w:r>
            <w:r w:rsidR="00B54406">
              <w:rPr>
                <w:noProof/>
                <w:webHidden/>
              </w:rPr>
              <w:fldChar w:fldCharType="begin"/>
            </w:r>
            <w:r w:rsidR="00B54406">
              <w:rPr>
                <w:noProof/>
                <w:webHidden/>
              </w:rPr>
              <w:instrText xml:space="preserve"> PAGEREF _Toc145951097 \h </w:instrText>
            </w:r>
            <w:r w:rsidR="00B54406">
              <w:rPr>
                <w:noProof/>
                <w:webHidden/>
              </w:rPr>
            </w:r>
            <w:r w:rsidR="00B54406">
              <w:rPr>
                <w:noProof/>
                <w:webHidden/>
              </w:rPr>
              <w:fldChar w:fldCharType="separate"/>
            </w:r>
            <w:r w:rsidR="00B54406">
              <w:rPr>
                <w:noProof/>
                <w:webHidden/>
              </w:rPr>
              <w:t>72</w:t>
            </w:r>
            <w:r w:rsidR="00B54406">
              <w:rPr>
                <w:noProof/>
                <w:webHidden/>
              </w:rPr>
              <w:fldChar w:fldCharType="end"/>
            </w:r>
          </w:hyperlink>
        </w:p>
        <w:p w14:paraId="74C89F7F" w14:textId="0F981C8A"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098" w:history="1">
            <w:r w:rsidR="00B54406" w:rsidRPr="00C5672A">
              <w:rPr>
                <w:rStyle w:val="Hyperlink"/>
                <w:noProof/>
                <w14:scene3d>
                  <w14:camera w14:prst="orthographicFront"/>
                  <w14:lightRig w14:rig="threePt" w14:dir="t">
                    <w14:rot w14:lat="0" w14:lon="0" w14:rev="0"/>
                  </w14:lightRig>
                </w14:scene3d>
              </w:rPr>
              <w:t>2.3</w:t>
            </w:r>
            <w:r w:rsidR="00B54406">
              <w:rPr>
                <w:rFonts w:asciiTheme="minorHAnsi" w:eastAsiaTheme="minorEastAsia" w:hAnsiTheme="minorHAnsi" w:cstheme="minorBidi"/>
                <w:noProof/>
                <w:sz w:val="22"/>
              </w:rPr>
              <w:tab/>
            </w:r>
            <w:r w:rsidR="00B54406" w:rsidRPr="00C5672A">
              <w:rPr>
                <w:rStyle w:val="Hyperlink"/>
                <w:noProof/>
              </w:rPr>
              <w:t>Fraud Star Theory</w:t>
            </w:r>
            <w:r w:rsidR="00B54406">
              <w:rPr>
                <w:noProof/>
                <w:webHidden/>
              </w:rPr>
              <w:tab/>
            </w:r>
            <w:r w:rsidR="00B54406">
              <w:rPr>
                <w:noProof/>
                <w:webHidden/>
              </w:rPr>
              <w:fldChar w:fldCharType="begin"/>
            </w:r>
            <w:r w:rsidR="00B54406">
              <w:rPr>
                <w:noProof/>
                <w:webHidden/>
              </w:rPr>
              <w:instrText xml:space="preserve"> PAGEREF _Toc145951098 \h </w:instrText>
            </w:r>
            <w:r w:rsidR="00B54406">
              <w:rPr>
                <w:noProof/>
                <w:webHidden/>
              </w:rPr>
            </w:r>
            <w:r w:rsidR="00B54406">
              <w:rPr>
                <w:noProof/>
                <w:webHidden/>
              </w:rPr>
              <w:fldChar w:fldCharType="separate"/>
            </w:r>
            <w:r w:rsidR="00B54406">
              <w:rPr>
                <w:noProof/>
                <w:webHidden/>
              </w:rPr>
              <w:t>74</w:t>
            </w:r>
            <w:r w:rsidR="00B54406">
              <w:rPr>
                <w:noProof/>
                <w:webHidden/>
              </w:rPr>
              <w:fldChar w:fldCharType="end"/>
            </w:r>
          </w:hyperlink>
        </w:p>
        <w:p w14:paraId="4F9BC1BF" w14:textId="0F40BC04"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099" w:history="1">
            <w:r w:rsidR="00B54406" w:rsidRPr="00C5672A">
              <w:rPr>
                <w:rStyle w:val="Hyperlink"/>
                <w:bCs/>
                <w:noProof/>
                <w14:scene3d>
                  <w14:camera w14:prst="orthographicFront"/>
                  <w14:lightRig w14:rig="threePt" w14:dir="t">
                    <w14:rot w14:lat="0" w14:lon="0" w14:rev="0"/>
                  </w14:lightRig>
                </w14:scene3d>
              </w:rPr>
              <w:t>2.3.1</w:t>
            </w:r>
            <w:r w:rsidR="00B54406">
              <w:rPr>
                <w:rFonts w:asciiTheme="minorHAnsi" w:eastAsiaTheme="minorEastAsia" w:hAnsiTheme="minorHAnsi" w:cstheme="minorBidi"/>
                <w:noProof/>
                <w:sz w:val="22"/>
              </w:rPr>
              <w:tab/>
            </w:r>
            <w:r w:rsidR="00B54406" w:rsidRPr="00C5672A">
              <w:rPr>
                <w:rStyle w:val="Hyperlink"/>
                <w:noProof/>
              </w:rPr>
              <w:t>Theoretical Framework</w:t>
            </w:r>
            <w:r w:rsidR="00B54406">
              <w:rPr>
                <w:noProof/>
                <w:webHidden/>
              </w:rPr>
              <w:tab/>
            </w:r>
            <w:r w:rsidR="00B54406">
              <w:rPr>
                <w:noProof/>
                <w:webHidden/>
              </w:rPr>
              <w:fldChar w:fldCharType="begin"/>
            </w:r>
            <w:r w:rsidR="00B54406">
              <w:rPr>
                <w:noProof/>
                <w:webHidden/>
              </w:rPr>
              <w:instrText xml:space="preserve"> PAGEREF _Toc145951099 \h </w:instrText>
            </w:r>
            <w:r w:rsidR="00B54406">
              <w:rPr>
                <w:noProof/>
                <w:webHidden/>
              </w:rPr>
            </w:r>
            <w:r w:rsidR="00B54406">
              <w:rPr>
                <w:noProof/>
                <w:webHidden/>
              </w:rPr>
              <w:fldChar w:fldCharType="separate"/>
            </w:r>
            <w:r w:rsidR="00B54406">
              <w:rPr>
                <w:noProof/>
                <w:webHidden/>
              </w:rPr>
              <w:t>76</w:t>
            </w:r>
            <w:r w:rsidR="00B54406">
              <w:rPr>
                <w:noProof/>
                <w:webHidden/>
              </w:rPr>
              <w:fldChar w:fldCharType="end"/>
            </w:r>
          </w:hyperlink>
        </w:p>
        <w:p w14:paraId="2564AAE8" w14:textId="1A7ABA6D"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100" w:history="1">
            <w:r w:rsidR="00B54406" w:rsidRPr="00C5672A">
              <w:rPr>
                <w:rStyle w:val="Hyperlink"/>
                <w:noProof/>
                <w14:scene3d>
                  <w14:camera w14:prst="orthographicFront"/>
                  <w14:lightRig w14:rig="threePt" w14:dir="t">
                    <w14:rot w14:lat="0" w14:lon="0" w14:rev="0"/>
                  </w14:lightRig>
                </w14:scene3d>
              </w:rPr>
              <w:t>2.4</w:t>
            </w:r>
            <w:r w:rsidR="00B54406">
              <w:rPr>
                <w:rFonts w:asciiTheme="minorHAnsi" w:eastAsiaTheme="minorEastAsia" w:hAnsiTheme="minorHAnsi" w:cstheme="minorBidi"/>
                <w:noProof/>
                <w:sz w:val="22"/>
              </w:rPr>
              <w:tab/>
            </w:r>
            <w:r w:rsidR="00B54406" w:rsidRPr="00C5672A">
              <w:rPr>
                <w:rStyle w:val="Hyperlink"/>
                <w:noProof/>
              </w:rPr>
              <w:t>Empirical Review</w:t>
            </w:r>
            <w:r w:rsidR="00B54406">
              <w:rPr>
                <w:noProof/>
                <w:webHidden/>
              </w:rPr>
              <w:tab/>
            </w:r>
            <w:r w:rsidR="00B54406">
              <w:rPr>
                <w:noProof/>
                <w:webHidden/>
              </w:rPr>
              <w:fldChar w:fldCharType="begin"/>
            </w:r>
            <w:r w:rsidR="00B54406">
              <w:rPr>
                <w:noProof/>
                <w:webHidden/>
              </w:rPr>
              <w:instrText xml:space="preserve"> PAGEREF _Toc145951100 \h </w:instrText>
            </w:r>
            <w:r w:rsidR="00B54406">
              <w:rPr>
                <w:noProof/>
                <w:webHidden/>
              </w:rPr>
            </w:r>
            <w:r w:rsidR="00B54406">
              <w:rPr>
                <w:noProof/>
                <w:webHidden/>
              </w:rPr>
              <w:fldChar w:fldCharType="separate"/>
            </w:r>
            <w:r w:rsidR="00B54406">
              <w:rPr>
                <w:noProof/>
                <w:webHidden/>
              </w:rPr>
              <w:t>88</w:t>
            </w:r>
            <w:r w:rsidR="00B54406">
              <w:rPr>
                <w:noProof/>
                <w:webHidden/>
              </w:rPr>
              <w:fldChar w:fldCharType="end"/>
            </w:r>
          </w:hyperlink>
        </w:p>
        <w:p w14:paraId="21FD5D0D" w14:textId="162F0125"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101" w:history="1">
            <w:r w:rsidR="00B54406" w:rsidRPr="00C5672A">
              <w:rPr>
                <w:rStyle w:val="Hyperlink"/>
                <w:bCs/>
                <w:noProof/>
                <w14:scene3d>
                  <w14:camera w14:prst="orthographicFront"/>
                  <w14:lightRig w14:rig="threePt" w14:dir="t">
                    <w14:rot w14:lat="0" w14:lon="0" w14:rev="0"/>
                  </w14:lightRig>
                </w14:scene3d>
              </w:rPr>
              <w:t>2.4.1</w:t>
            </w:r>
            <w:r w:rsidR="00B54406">
              <w:rPr>
                <w:rFonts w:asciiTheme="minorHAnsi" w:eastAsiaTheme="minorEastAsia" w:hAnsiTheme="minorHAnsi" w:cstheme="minorBidi"/>
                <w:noProof/>
                <w:sz w:val="22"/>
              </w:rPr>
              <w:tab/>
            </w:r>
            <w:r w:rsidR="00B54406" w:rsidRPr="00C5672A">
              <w:rPr>
                <w:rStyle w:val="Hyperlink"/>
                <w:noProof/>
              </w:rPr>
              <w:t>Forensic Accounting Techniques and Fund Misappropriation</w:t>
            </w:r>
            <w:r w:rsidR="00B54406">
              <w:rPr>
                <w:noProof/>
                <w:webHidden/>
              </w:rPr>
              <w:tab/>
            </w:r>
            <w:r w:rsidR="00B54406">
              <w:rPr>
                <w:noProof/>
                <w:webHidden/>
              </w:rPr>
              <w:fldChar w:fldCharType="begin"/>
            </w:r>
            <w:r w:rsidR="00B54406">
              <w:rPr>
                <w:noProof/>
                <w:webHidden/>
              </w:rPr>
              <w:instrText xml:space="preserve"> PAGEREF _Toc145951101 \h </w:instrText>
            </w:r>
            <w:r w:rsidR="00B54406">
              <w:rPr>
                <w:noProof/>
                <w:webHidden/>
              </w:rPr>
            </w:r>
            <w:r w:rsidR="00B54406">
              <w:rPr>
                <w:noProof/>
                <w:webHidden/>
              </w:rPr>
              <w:fldChar w:fldCharType="separate"/>
            </w:r>
            <w:r w:rsidR="00B54406">
              <w:rPr>
                <w:noProof/>
                <w:webHidden/>
              </w:rPr>
              <w:t>88</w:t>
            </w:r>
            <w:r w:rsidR="00B54406">
              <w:rPr>
                <w:noProof/>
                <w:webHidden/>
              </w:rPr>
              <w:fldChar w:fldCharType="end"/>
            </w:r>
          </w:hyperlink>
        </w:p>
        <w:p w14:paraId="0FE77C3D" w14:textId="17B93B3E"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102" w:history="1">
            <w:r w:rsidR="00B54406" w:rsidRPr="00C5672A">
              <w:rPr>
                <w:rStyle w:val="Hyperlink"/>
                <w:bCs/>
                <w:noProof/>
                <w14:scene3d>
                  <w14:camera w14:prst="orthographicFront"/>
                  <w14:lightRig w14:rig="threePt" w14:dir="t">
                    <w14:rot w14:lat="0" w14:lon="0" w14:rev="0"/>
                  </w14:lightRig>
                </w14:scene3d>
              </w:rPr>
              <w:t>2.4.2</w:t>
            </w:r>
            <w:r w:rsidR="00B54406">
              <w:rPr>
                <w:rFonts w:asciiTheme="minorHAnsi" w:eastAsiaTheme="minorEastAsia" w:hAnsiTheme="minorHAnsi" w:cstheme="minorBidi"/>
                <w:noProof/>
                <w:sz w:val="22"/>
              </w:rPr>
              <w:tab/>
            </w:r>
            <w:r w:rsidR="00B54406" w:rsidRPr="00C5672A">
              <w:rPr>
                <w:rStyle w:val="Hyperlink"/>
                <w:noProof/>
              </w:rPr>
              <w:t>Forensic Accounting Technique and Value for Money Practices</w:t>
            </w:r>
            <w:r w:rsidR="00B54406">
              <w:rPr>
                <w:noProof/>
                <w:webHidden/>
              </w:rPr>
              <w:tab/>
            </w:r>
            <w:r w:rsidR="00B54406">
              <w:rPr>
                <w:noProof/>
                <w:webHidden/>
              </w:rPr>
              <w:fldChar w:fldCharType="begin"/>
            </w:r>
            <w:r w:rsidR="00B54406">
              <w:rPr>
                <w:noProof/>
                <w:webHidden/>
              </w:rPr>
              <w:instrText xml:space="preserve"> PAGEREF _Toc145951102 \h </w:instrText>
            </w:r>
            <w:r w:rsidR="00B54406">
              <w:rPr>
                <w:noProof/>
                <w:webHidden/>
              </w:rPr>
            </w:r>
            <w:r w:rsidR="00B54406">
              <w:rPr>
                <w:noProof/>
                <w:webHidden/>
              </w:rPr>
              <w:fldChar w:fldCharType="separate"/>
            </w:r>
            <w:r w:rsidR="00B54406">
              <w:rPr>
                <w:noProof/>
                <w:webHidden/>
              </w:rPr>
              <w:t>91</w:t>
            </w:r>
            <w:r w:rsidR="00B54406">
              <w:rPr>
                <w:noProof/>
                <w:webHidden/>
              </w:rPr>
              <w:fldChar w:fldCharType="end"/>
            </w:r>
          </w:hyperlink>
        </w:p>
        <w:p w14:paraId="3E95F2B2" w14:textId="6CAB131C"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103" w:history="1">
            <w:r w:rsidR="00B54406" w:rsidRPr="00C5672A">
              <w:rPr>
                <w:rStyle w:val="Hyperlink"/>
                <w:rFonts w:eastAsia="Calibri"/>
                <w:bCs/>
                <w:noProof/>
                <w14:scene3d>
                  <w14:camera w14:prst="orthographicFront"/>
                  <w14:lightRig w14:rig="threePt" w14:dir="t">
                    <w14:rot w14:lat="0" w14:lon="0" w14:rev="0"/>
                  </w14:lightRig>
                </w14:scene3d>
              </w:rPr>
              <w:t>2.4.3</w:t>
            </w:r>
            <w:r w:rsidR="00B54406">
              <w:rPr>
                <w:rFonts w:asciiTheme="minorHAnsi" w:eastAsiaTheme="minorEastAsia" w:hAnsiTheme="minorHAnsi" w:cstheme="minorBidi"/>
                <w:noProof/>
                <w:sz w:val="22"/>
              </w:rPr>
              <w:tab/>
            </w:r>
            <w:r w:rsidR="00B54406" w:rsidRPr="00C5672A">
              <w:rPr>
                <w:rStyle w:val="Hyperlink"/>
                <w:noProof/>
              </w:rPr>
              <w:t>Forensic Accounting Techniques and Procurement Practices</w:t>
            </w:r>
            <w:r w:rsidR="00B54406">
              <w:rPr>
                <w:noProof/>
                <w:webHidden/>
              </w:rPr>
              <w:tab/>
            </w:r>
            <w:r w:rsidR="00B54406">
              <w:rPr>
                <w:noProof/>
                <w:webHidden/>
              </w:rPr>
              <w:fldChar w:fldCharType="begin"/>
            </w:r>
            <w:r w:rsidR="00B54406">
              <w:rPr>
                <w:noProof/>
                <w:webHidden/>
              </w:rPr>
              <w:instrText xml:space="preserve"> PAGEREF _Toc145951103 \h </w:instrText>
            </w:r>
            <w:r w:rsidR="00B54406">
              <w:rPr>
                <w:noProof/>
                <w:webHidden/>
              </w:rPr>
            </w:r>
            <w:r w:rsidR="00B54406">
              <w:rPr>
                <w:noProof/>
                <w:webHidden/>
              </w:rPr>
              <w:fldChar w:fldCharType="separate"/>
            </w:r>
            <w:r w:rsidR="00B54406">
              <w:rPr>
                <w:noProof/>
                <w:webHidden/>
              </w:rPr>
              <w:t>93</w:t>
            </w:r>
            <w:r w:rsidR="00B54406">
              <w:rPr>
                <w:noProof/>
                <w:webHidden/>
              </w:rPr>
              <w:fldChar w:fldCharType="end"/>
            </w:r>
          </w:hyperlink>
        </w:p>
        <w:p w14:paraId="198C7BE5" w14:textId="3154C861"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104" w:history="1">
            <w:r w:rsidR="00B54406" w:rsidRPr="00C5672A">
              <w:rPr>
                <w:rStyle w:val="Hyperlink"/>
                <w:bCs/>
                <w:noProof/>
                <w14:scene3d>
                  <w14:camera w14:prst="orthographicFront"/>
                  <w14:lightRig w14:rig="threePt" w14:dir="t">
                    <w14:rot w14:lat="0" w14:lon="0" w14:rev="0"/>
                  </w14:lightRig>
                </w14:scene3d>
              </w:rPr>
              <w:t>2.4.4</w:t>
            </w:r>
            <w:r w:rsidR="00B54406">
              <w:rPr>
                <w:rFonts w:asciiTheme="minorHAnsi" w:eastAsiaTheme="minorEastAsia" w:hAnsiTheme="minorHAnsi" w:cstheme="minorBidi"/>
                <w:noProof/>
                <w:sz w:val="22"/>
              </w:rPr>
              <w:tab/>
            </w:r>
            <w:r w:rsidR="00B54406" w:rsidRPr="00C5672A">
              <w:rPr>
                <w:rStyle w:val="Hyperlink"/>
                <w:noProof/>
              </w:rPr>
              <w:t>Summary of Empirical Review</w:t>
            </w:r>
            <w:r w:rsidR="00B54406">
              <w:rPr>
                <w:noProof/>
                <w:webHidden/>
              </w:rPr>
              <w:tab/>
            </w:r>
            <w:r w:rsidR="00B54406">
              <w:rPr>
                <w:noProof/>
                <w:webHidden/>
              </w:rPr>
              <w:fldChar w:fldCharType="begin"/>
            </w:r>
            <w:r w:rsidR="00B54406">
              <w:rPr>
                <w:noProof/>
                <w:webHidden/>
              </w:rPr>
              <w:instrText xml:space="preserve"> PAGEREF _Toc145951104 \h </w:instrText>
            </w:r>
            <w:r w:rsidR="00B54406">
              <w:rPr>
                <w:noProof/>
                <w:webHidden/>
              </w:rPr>
            </w:r>
            <w:r w:rsidR="00B54406">
              <w:rPr>
                <w:noProof/>
                <w:webHidden/>
              </w:rPr>
              <w:fldChar w:fldCharType="separate"/>
            </w:r>
            <w:r w:rsidR="00B54406">
              <w:rPr>
                <w:noProof/>
                <w:webHidden/>
              </w:rPr>
              <w:t>97</w:t>
            </w:r>
            <w:r w:rsidR="00B54406">
              <w:rPr>
                <w:noProof/>
                <w:webHidden/>
              </w:rPr>
              <w:fldChar w:fldCharType="end"/>
            </w:r>
          </w:hyperlink>
        </w:p>
        <w:p w14:paraId="3D79C2E1" w14:textId="08D833B2"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105" w:history="1">
            <w:r w:rsidR="00B54406" w:rsidRPr="00C5672A">
              <w:rPr>
                <w:rStyle w:val="Hyperlink"/>
                <w:noProof/>
                <w14:scene3d>
                  <w14:camera w14:prst="orthographicFront"/>
                  <w14:lightRig w14:rig="threePt" w14:dir="t">
                    <w14:rot w14:lat="0" w14:lon="0" w14:rev="0"/>
                  </w14:lightRig>
                </w14:scene3d>
              </w:rPr>
              <w:t>2.5</w:t>
            </w:r>
            <w:r w:rsidR="00B54406">
              <w:rPr>
                <w:rFonts w:asciiTheme="minorHAnsi" w:eastAsiaTheme="minorEastAsia" w:hAnsiTheme="minorHAnsi" w:cstheme="minorBidi"/>
                <w:noProof/>
                <w:sz w:val="22"/>
              </w:rPr>
              <w:tab/>
            </w:r>
            <w:r w:rsidR="00B54406" w:rsidRPr="00C5672A">
              <w:rPr>
                <w:rStyle w:val="Hyperlink"/>
                <w:noProof/>
              </w:rPr>
              <w:t>Gaps in Literature</w:t>
            </w:r>
            <w:r w:rsidR="00B54406">
              <w:rPr>
                <w:noProof/>
                <w:webHidden/>
              </w:rPr>
              <w:tab/>
            </w:r>
            <w:r w:rsidR="00B54406">
              <w:rPr>
                <w:noProof/>
                <w:webHidden/>
              </w:rPr>
              <w:fldChar w:fldCharType="begin"/>
            </w:r>
            <w:r w:rsidR="00B54406">
              <w:rPr>
                <w:noProof/>
                <w:webHidden/>
              </w:rPr>
              <w:instrText xml:space="preserve"> PAGEREF _Toc145951105 \h </w:instrText>
            </w:r>
            <w:r w:rsidR="00B54406">
              <w:rPr>
                <w:noProof/>
                <w:webHidden/>
              </w:rPr>
            </w:r>
            <w:r w:rsidR="00B54406">
              <w:rPr>
                <w:noProof/>
                <w:webHidden/>
              </w:rPr>
              <w:fldChar w:fldCharType="separate"/>
            </w:r>
            <w:r w:rsidR="00B54406">
              <w:rPr>
                <w:noProof/>
                <w:webHidden/>
              </w:rPr>
              <w:t>111</w:t>
            </w:r>
            <w:r w:rsidR="00B54406">
              <w:rPr>
                <w:noProof/>
                <w:webHidden/>
              </w:rPr>
              <w:fldChar w:fldCharType="end"/>
            </w:r>
          </w:hyperlink>
        </w:p>
        <w:p w14:paraId="0335FE8B" w14:textId="58A48666" w:rsidR="00B54406" w:rsidRDefault="00271F03">
          <w:pPr>
            <w:pStyle w:val="TOC1"/>
            <w:tabs>
              <w:tab w:val="right" w:leader="dot" w:pos="9350"/>
            </w:tabs>
            <w:rPr>
              <w:rFonts w:asciiTheme="minorHAnsi" w:eastAsiaTheme="minorEastAsia" w:hAnsiTheme="minorHAnsi" w:cstheme="minorBidi"/>
              <w:noProof/>
              <w:sz w:val="22"/>
            </w:rPr>
          </w:pPr>
          <w:hyperlink w:anchor="_Toc145951106" w:history="1">
            <w:r w:rsidR="00B54406" w:rsidRPr="00C5672A">
              <w:rPr>
                <w:rStyle w:val="Hyperlink"/>
                <w:noProof/>
              </w:rPr>
              <w:t>CHAPTER THREE: METHODOLOGY</w:t>
            </w:r>
            <w:r w:rsidR="00B54406">
              <w:rPr>
                <w:noProof/>
                <w:webHidden/>
              </w:rPr>
              <w:tab/>
            </w:r>
            <w:r w:rsidR="00B54406">
              <w:rPr>
                <w:noProof/>
                <w:webHidden/>
              </w:rPr>
              <w:fldChar w:fldCharType="begin"/>
            </w:r>
            <w:r w:rsidR="00B54406">
              <w:rPr>
                <w:noProof/>
                <w:webHidden/>
              </w:rPr>
              <w:instrText xml:space="preserve"> PAGEREF _Toc145951106 \h </w:instrText>
            </w:r>
            <w:r w:rsidR="00B54406">
              <w:rPr>
                <w:noProof/>
                <w:webHidden/>
              </w:rPr>
            </w:r>
            <w:r w:rsidR="00B54406">
              <w:rPr>
                <w:noProof/>
                <w:webHidden/>
              </w:rPr>
              <w:fldChar w:fldCharType="separate"/>
            </w:r>
            <w:r w:rsidR="00B54406">
              <w:rPr>
                <w:noProof/>
                <w:webHidden/>
              </w:rPr>
              <w:t>113</w:t>
            </w:r>
            <w:r w:rsidR="00B54406">
              <w:rPr>
                <w:noProof/>
                <w:webHidden/>
              </w:rPr>
              <w:fldChar w:fldCharType="end"/>
            </w:r>
          </w:hyperlink>
        </w:p>
        <w:p w14:paraId="4972D4F1" w14:textId="7F467F97" w:rsidR="00B54406" w:rsidRDefault="00271F03">
          <w:pPr>
            <w:pStyle w:val="TOC1"/>
            <w:tabs>
              <w:tab w:val="left" w:pos="440"/>
              <w:tab w:val="right" w:leader="dot" w:pos="9350"/>
            </w:tabs>
            <w:rPr>
              <w:rFonts w:asciiTheme="minorHAnsi" w:eastAsiaTheme="minorEastAsia" w:hAnsiTheme="minorHAnsi" w:cstheme="minorBidi"/>
              <w:noProof/>
              <w:sz w:val="22"/>
            </w:rPr>
          </w:pPr>
          <w:hyperlink w:anchor="_Toc145951107" w:history="1">
            <w:r w:rsidR="00B54406" w:rsidRPr="00C5672A">
              <w:rPr>
                <w:rStyle w:val="Hyperlink"/>
                <w:noProof/>
              </w:rPr>
              <w:t>METHODOLOGY</w:t>
            </w:r>
            <w:r w:rsidR="00B54406">
              <w:rPr>
                <w:noProof/>
                <w:webHidden/>
              </w:rPr>
              <w:tab/>
            </w:r>
            <w:r w:rsidR="00B54406">
              <w:rPr>
                <w:noProof/>
                <w:webHidden/>
              </w:rPr>
              <w:fldChar w:fldCharType="begin"/>
            </w:r>
            <w:r w:rsidR="00B54406">
              <w:rPr>
                <w:noProof/>
                <w:webHidden/>
              </w:rPr>
              <w:instrText xml:space="preserve"> PAGEREF _Toc145951107 \h </w:instrText>
            </w:r>
            <w:r w:rsidR="00B54406">
              <w:rPr>
                <w:noProof/>
                <w:webHidden/>
              </w:rPr>
            </w:r>
            <w:r w:rsidR="00B54406">
              <w:rPr>
                <w:noProof/>
                <w:webHidden/>
              </w:rPr>
              <w:fldChar w:fldCharType="separate"/>
            </w:r>
            <w:r w:rsidR="00B54406">
              <w:rPr>
                <w:noProof/>
                <w:webHidden/>
              </w:rPr>
              <w:t>113</w:t>
            </w:r>
            <w:r w:rsidR="00B54406">
              <w:rPr>
                <w:noProof/>
                <w:webHidden/>
              </w:rPr>
              <w:fldChar w:fldCharType="end"/>
            </w:r>
          </w:hyperlink>
        </w:p>
        <w:p w14:paraId="555FEF1A" w14:textId="3CF69DA0"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108" w:history="1">
            <w:r w:rsidR="00B54406" w:rsidRPr="00C5672A">
              <w:rPr>
                <w:rStyle w:val="Hyperlink"/>
                <w:noProof/>
                <w14:scene3d>
                  <w14:camera w14:prst="orthographicFront"/>
                  <w14:lightRig w14:rig="threePt" w14:dir="t">
                    <w14:rot w14:lat="0" w14:lon="0" w14:rev="0"/>
                  </w14:lightRig>
                </w14:scene3d>
              </w:rPr>
              <w:t>3.1</w:t>
            </w:r>
            <w:r w:rsidR="00B54406">
              <w:rPr>
                <w:rFonts w:asciiTheme="minorHAnsi" w:eastAsiaTheme="minorEastAsia" w:hAnsiTheme="minorHAnsi" w:cstheme="minorBidi"/>
                <w:noProof/>
                <w:sz w:val="22"/>
              </w:rPr>
              <w:tab/>
            </w:r>
            <w:r w:rsidR="00B54406" w:rsidRPr="00C5672A">
              <w:rPr>
                <w:rStyle w:val="Hyperlink"/>
                <w:noProof/>
              </w:rPr>
              <w:t>Research Design</w:t>
            </w:r>
            <w:r w:rsidR="00B54406">
              <w:rPr>
                <w:noProof/>
                <w:webHidden/>
              </w:rPr>
              <w:tab/>
            </w:r>
            <w:r w:rsidR="00B54406">
              <w:rPr>
                <w:noProof/>
                <w:webHidden/>
              </w:rPr>
              <w:fldChar w:fldCharType="begin"/>
            </w:r>
            <w:r w:rsidR="00B54406">
              <w:rPr>
                <w:noProof/>
                <w:webHidden/>
              </w:rPr>
              <w:instrText xml:space="preserve"> PAGEREF _Toc145951108 \h </w:instrText>
            </w:r>
            <w:r w:rsidR="00B54406">
              <w:rPr>
                <w:noProof/>
                <w:webHidden/>
              </w:rPr>
            </w:r>
            <w:r w:rsidR="00B54406">
              <w:rPr>
                <w:noProof/>
                <w:webHidden/>
              </w:rPr>
              <w:fldChar w:fldCharType="separate"/>
            </w:r>
            <w:r w:rsidR="00B54406">
              <w:rPr>
                <w:noProof/>
                <w:webHidden/>
              </w:rPr>
              <w:t>113</w:t>
            </w:r>
            <w:r w:rsidR="00B54406">
              <w:rPr>
                <w:noProof/>
                <w:webHidden/>
              </w:rPr>
              <w:fldChar w:fldCharType="end"/>
            </w:r>
          </w:hyperlink>
        </w:p>
        <w:p w14:paraId="5C64A936" w14:textId="346D7216"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109" w:history="1">
            <w:r w:rsidR="00B54406" w:rsidRPr="00C5672A">
              <w:rPr>
                <w:rStyle w:val="Hyperlink"/>
                <w:noProof/>
                <w14:scene3d>
                  <w14:camera w14:prst="orthographicFront"/>
                  <w14:lightRig w14:rig="threePt" w14:dir="t">
                    <w14:rot w14:lat="0" w14:lon="0" w14:rev="0"/>
                  </w14:lightRig>
                </w14:scene3d>
              </w:rPr>
              <w:t>3.2</w:t>
            </w:r>
            <w:r w:rsidR="00B54406">
              <w:rPr>
                <w:rFonts w:asciiTheme="minorHAnsi" w:eastAsiaTheme="minorEastAsia" w:hAnsiTheme="minorHAnsi" w:cstheme="minorBidi"/>
                <w:noProof/>
                <w:sz w:val="22"/>
              </w:rPr>
              <w:tab/>
            </w:r>
            <w:r w:rsidR="00B54406" w:rsidRPr="00C5672A">
              <w:rPr>
                <w:rStyle w:val="Hyperlink"/>
                <w:noProof/>
              </w:rPr>
              <w:t>Population</w:t>
            </w:r>
            <w:r w:rsidR="00B54406">
              <w:rPr>
                <w:noProof/>
                <w:webHidden/>
              </w:rPr>
              <w:tab/>
            </w:r>
            <w:r w:rsidR="00B54406">
              <w:rPr>
                <w:noProof/>
                <w:webHidden/>
              </w:rPr>
              <w:fldChar w:fldCharType="begin"/>
            </w:r>
            <w:r w:rsidR="00B54406">
              <w:rPr>
                <w:noProof/>
                <w:webHidden/>
              </w:rPr>
              <w:instrText xml:space="preserve"> PAGEREF _Toc145951109 \h </w:instrText>
            </w:r>
            <w:r w:rsidR="00B54406">
              <w:rPr>
                <w:noProof/>
                <w:webHidden/>
              </w:rPr>
            </w:r>
            <w:r w:rsidR="00B54406">
              <w:rPr>
                <w:noProof/>
                <w:webHidden/>
              </w:rPr>
              <w:fldChar w:fldCharType="separate"/>
            </w:r>
            <w:r w:rsidR="00B54406">
              <w:rPr>
                <w:noProof/>
                <w:webHidden/>
              </w:rPr>
              <w:t>113</w:t>
            </w:r>
            <w:r w:rsidR="00B54406">
              <w:rPr>
                <w:noProof/>
                <w:webHidden/>
              </w:rPr>
              <w:fldChar w:fldCharType="end"/>
            </w:r>
          </w:hyperlink>
        </w:p>
        <w:p w14:paraId="1CBC649F" w14:textId="47281D55"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110" w:history="1">
            <w:r w:rsidR="00B54406" w:rsidRPr="00C5672A">
              <w:rPr>
                <w:rStyle w:val="Hyperlink"/>
                <w:noProof/>
                <w14:scene3d>
                  <w14:camera w14:prst="orthographicFront"/>
                  <w14:lightRig w14:rig="threePt" w14:dir="t">
                    <w14:rot w14:lat="0" w14:lon="0" w14:rev="0"/>
                  </w14:lightRig>
                </w14:scene3d>
              </w:rPr>
              <w:t>3.3</w:t>
            </w:r>
            <w:r w:rsidR="00B54406">
              <w:rPr>
                <w:rFonts w:asciiTheme="minorHAnsi" w:eastAsiaTheme="minorEastAsia" w:hAnsiTheme="minorHAnsi" w:cstheme="minorBidi"/>
                <w:noProof/>
                <w:sz w:val="22"/>
              </w:rPr>
              <w:tab/>
            </w:r>
            <w:r w:rsidR="00B54406" w:rsidRPr="00C5672A">
              <w:rPr>
                <w:rStyle w:val="Hyperlink"/>
                <w:noProof/>
              </w:rPr>
              <w:t>Sample Size and Sampling Technique</w:t>
            </w:r>
            <w:r w:rsidR="00B54406">
              <w:rPr>
                <w:noProof/>
                <w:webHidden/>
              </w:rPr>
              <w:tab/>
            </w:r>
            <w:r w:rsidR="00B54406">
              <w:rPr>
                <w:noProof/>
                <w:webHidden/>
              </w:rPr>
              <w:fldChar w:fldCharType="begin"/>
            </w:r>
            <w:r w:rsidR="00B54406">
              <w:rPr>
                <w:noProof/>
                <w:webHidden/>
              </w:rPr>
              <w:instrText xml:space="preserve"> PAGEREF _Toc145951110 \h </w:instrText>
            </w:r>
            <w:r w:rsidR="00B54406">
              <w:rPr>
                <w:noProof/>
                <w:webHidden/>
              </w:rPr>
            </w:r>
            <w:r w:rsidR="00B54406">
              <w:rPr>
                <w:noProof/>
                <w:webHidden/>
              </w:rPr>
              <w:fldChar w:fldCharType="separate"/>
            </w:r>
            <w:r w:rsidR="00B54406">
              <w:rPr>
                <w:noProof/>
                <w:webHidden/>
              </w:rPr>
              <w:t>114</w:t>
            </w:r>
            <w:r w:rsidR="00B54406">
              <w:rPr>
                <w:noProof/>
                <w:webHidden/>
              </w:rPr>
              <w:fldChar w:fldCharType="end"/>
            </w:r>
          </w:hyperlink>
        </w:p>
        <w:p w14:paraId="026CDFBD" w14:textId="442FA0A1"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111" w:history="1">
            <w:r w:rsidR="00B54406" w:rsidRPr="00C5672A">
              <w:rPr>
                <w:rStyle w:val="Hyperlink"/>
                <w:noProof/>
                <w14:scene3d>
                  <w14:camera w14:prst="orthographicFront"/>
                  <w14:lightRig w14:rig="threePt" w14:dir="t">
                    <w14:rot w14:lat="0" w14:lon="0" w14:rev="0"/>
                  </w14:lightRig>
                </w14:scene3d>
              </w:rPr>
              <w:t>3.4</w:t>
            </w:r>
            <w:r w:rsidR="00B54406">
              <w:rPr>
                <w:rFonts w:asciiTheme="minorHAnsi" w:eastAsiaTheme="minorEastAsia" w:hAnsiTheme="minorHAnsi" w:cstheme="minorBidi"/>
                <w:noProof/>
                <w:sz w:val="22"/>
              </w:rPr>
              <w:tab/>
            </w:r>
            <w:r w:rsidR="00B54406" w:rsidRPr="00C5672A">
              <w:rPr>
                <w:rStyle w:val="Hyperlink"/>
                <w:i/>
                <w:iCs/>
                <w:noProof/>
              </w:rPr>
              <w:t>Apriori</w:t>
            </w:r>
            <w:r w:rsidR="00B54406" w:rsidRPr="00C5672A">
              <w:rPr>
                <w:rStyle w:val="Hyperlink"/>
                <w:noProof/>
              </w:rPr>
              <w:t xml:space="preserve"> Expectation</w:t>
            </w:r>
            <w:r w:rsidR="00B54406">
              <w:rPr>
                <w:noProof/>
                <w:webHidden/>
              </w:rPr>
              <w:tab/>
            </w:r>
            <w:r w:rsidR="00B54406">
              <w:rPr>
                <w:noProof/>
                <w:webHidden/>
              </w:rPr>
              <w:fldChar w:fldCharType="begin"/>
            </w:r>
            <w:r w:rsidR="00B54406">
              <w:rPr>
                <w:noProof/>
                <w:webHidden/>
              </w:rPr>
              <w:instrText xml:space="preserve"> PAGEREF _Toc145951111 \h </w:instrText>
            </w:r>
            <w:r w:rsidR="00B54406">
              <w:rPr>
                <w:noProof/>
                <w:webHidden/>
              </w:rPr>
            </w:r>
            <w:r w:rsidR="00B54406">
              <w:rPr>
                <w:noProof/>
                <w:webHidden/>
              </w:rPr>
              <w:fldChar w:fldCharType="separate"/>
            </w:r>
            <w:r w:rsidR="00B54406">
              <w:rPr>
                <w:noProof/>
                <w:webHidden/>
              </w:rPr>
              <w:t>115</w:t>
            </w:r>
            <w:r w:rsidR="00B54406">
              <w:rPr>
                <w:noProof/>
                <w:webHidden/>
              </w:rPr>
              <w:fldChar w:fldCharType="end"/>
            </w:r>
          </w:hyperlink>
        </w:p>
        <w:p w14:paraId="25CFFD13" w14:textId="3212C749"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112" w:history="1">
            <w:r w:rsidR="00B54406" w:rsidRPr="00C5672A">
              <w:rPr>
                <w:rStyle w:val="Hyperlink"/>
                <w:noProof/>
                <w14:scene3d>
                  <w14:camera w14:prst="orthographicFront"/>
                  <w14:lightRig w14:rig="threePt" w14:dir="t">
                    <w14:rot w14:lat="0" w14:lon="0" w14:rev="0"/>
                  </w14:lightRig>
                </w14:scene3d>
              </w:rPr>
              <w:t>3.5</w:t>
            </w:r>
            <w:r w:rsidR="00B54406">
              <w:rPr>
                <w:rFonts w:asciiTheme="minorHAnsi" w:eastAsiaTheme="minorEastAsia" w:hAnsiTheme="minorHAnsi" w:cstheme="minorBidi"/>
                <w:noProof/>
                <w:sz w:val="22"/>
              </w:rPr>
              <w:tab/>
            </w:r>
            <w:r w:rsidR="00B54406" w:rsidRPr="00C5672A">
              <w:rPr>
                <w:rStyle w:val="Hyperlink"/>
                <w:noProof/>
              </w:rPr>
              <w:t>Method of Data Collection</w:t>
            </w:r>
            <w:r w:rsidR="00B54406">
              <w:rPr>
                <w:noProof/>
                <w:webHidden/>
              </w:rPr>
              <w:tab/>
            </w:r>
            <w:r w:rsidR="00B54406">
              <w:rPr>
                <w:noProof/>
                <w:webHidden/>
              </w:rPr>
              <w:fldChar w:fldCharType="begin"/>
            </w:r>
            <w:r w:rsidR="00B54406">
              <w:rPr>
                <w:noProof/>
                <w:webHidden/>
              </w:rPr>
              <w:instrText xml:space="preserve"> PAGEREF _Toc145951112 \h </w:instrText>
            </w:r>
            <w:r w:rsidR="00B54406">
              <w:rPr>
                <w:noProof/>
                <w:webHidden/>
              </w:rPr>
            </w:r>
            <w:r w:rsidR="00B54406">
              <w:rPr>
                <w:noProof/>
                <w:webHidden/>
              </w:rPr>
              <w:fldChar w:fldCharType="separate"/>
            </w:r>
            <w:r w:rsidR="00B54406">
              <w:rPr>
                <w:noProof/>
                <w:webHidden/>
              </w:rPr>
              <w:t>115</w:t>
            </w:r>
            <w:r w:rsidR="00B54406">
              <w:rPr>
                <w:noProof/>
                <w:webHidden/>
              </w:rPr>
              <w:fldChar w:fldCharType="end"/>
            </w:r>
          </w:hyperlink>
        </w:p>
        <w:p w14:paraId="372C8A36" w14:textId="0CF7BE54"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113" w:history="1">
            <w:r w:rsidR="00B54406" w:rsidRPr="00C5672A">
              <w:rPr>
                <w:rStyle w:val="Hyperlink"/>
                <w:bCs/>
                <w:noProof/>
                <w14:scene3d>
                  <w14:camera w14:prst="orthographicFront"/>
                  <w14:lightRig w14:rig="threePt" w14:dir="t">
                    <w14:rot w14:lat="0" w14:lon="0" w14:rev="0"/>
                  </w14:lightRig>
                </w14:scene3d>
              </w:rPr>
              <w:t>3.5.1</w:t>
            </w:r>
            <w:r w:rsidR="00B54406">
              <w:rPr>
                <w:rFonts w:asciiTheme="minorHAnsi" w:eastAsiaTheme="minorEastAsia" w:hAnsiTheme="minorHAnsi" w:cstheme="minorBidi"/>
                <w:noProof/>
                <w:sz w:val="22"/>
              </w:rPr>
              <w:tab/>
            </w:r>
            <w:r w:rsidR="00B54406" w:rsidRPr="00C5672A">
              <w:rPr>
                <w:rStyle w:val="Hyperlink"/>
                <w:noProof/>
              </w:rPr>
              <w:t>Instrument of Data Collection</w:t>
            </w:r>
            <w:r w:rsidR="00B54406">
              <w:rPr>
                <w:noProof/>
                <w:webHidden/>
              </w:rPr>
              <w:tab/>
            </w:r>
            <w:r w:rsidR="00B54406">
              <w:rPr>
                <w:noProof/>
                <w:webHidden/>
              </w:rPr>
              <w:fldChar w:fldCharType="begin"/>
            </w:r>
            <w:r w:rsidR="00B54406">
              <w:rPr>
                <w:noProof/>
                <w:webHidden/>
              </w:rPr>
              <w:instrText xml:space="preserve"> PAGEREF _Toc145951113 \h </w:instrText>
            </w:r>
            <w:r w:rsidR="00B54406">
              <w:rPr>
                <w:noProof/>
                <w:webHidden/>
              </w:rPr>
            </w:r>
            <w:r w:rsidR="00B54406">
              <w:rPr>
                <w:noProof/>
                <w:webHidden/>
              </w:rPr>
              <w:fldChar w:fldCharType="separate"/>
            </w:r>
            <w:r w:rsidR="00B54406">
              <w:rPr>
                <w:noProof/>
                <w:webHidden/>
              </w:rPr>
              <w:t>115</w:t>
            </w:r>
            <w:r w:rsidR="00B54406">
              <w:rPr>
                <w:noProof/>
                <w:webHidden/>
              </w:rPr>
              <w:fldChar w:fldCharType="end"/>
            </w:r>
          </w:hyperlink>
        </w:p>
        <w:p w14:paraId="42BF0EF6" w14:textId="0390EBBC"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114" w:history="1">
            <w:r w:rsidR="00B54406" w:rsidRPr="00C5672A">
              <w:rPr>
                <w:rStyle w:val="Hyperlink"/>
                <w:noProof/>
                <w14:scene3d>
                  <w14:camera w14:prst="orthographicFront"/>
                  <w14:lightRig w14:rig="threePt" w14:dir="t">
                    <w14:rot w14:lat="0" w14:lon="0" w14:rev="0"/>
                  </w14:lightRig>
                </w14:scene3d>
              </w:rPr>
              <w:t>3.6</w:t>
            </w:r>
            <w:r w:rsidR="00B54406">
              <w:rPr>
                <w:rFonts w:asciiTheme="minorHAnsi" w:eastAsiaTheme="minorEastAsia" w:hAnsiTheme="minorHAnsi" w:cstheme="minorBidi"/>
                <w:noProof/>
                <w:sz w:val="22"/>
              </w:rPr>
              <w:tab/>
            </w:r>
            <w:r w:rsidR="00B54406" w:rsidRPr="00C5672A">
              <w:rPr>
                <w:rStyle w:val="Hyperlink"/>
                <w:noProof/>
              </w:rPr>
              <w:t>Validity and Reliability of Instrument</w:t>
            </w:r>
            <w:r w:rsidR="00B54406">
              <w:rPr>
                <w:noProof/>
                <w:webHidden/>
              </w:rPr>
              <w:tab/>
            </w:r>
            <w:r w:rsidR="00B54406">
              <w:rPr>
                <w:noProof/>
                <w:webHidden/>
              </w:rPr>
              <w:fldChar w:fldCharType="begin"/>
            </w:r>
            <w:r w:rsidR="00B54406">
              <w:rPr>
                <w:noProof/>
                <w:webHidden/>
              </w:rPr>
              <w:instrText xml:space="preserve"> PAGEREF _Toc145951114 \h </w:instrText>
            </w:r>
            <w:r w:rsidR="00B54406">
              <w:rPr>
                <w:noProof/>
                <w:webHidden/>
              </w:rPr>
            </w:r>
            <w:r w:rsidR="00B54406">
              <w:rPr>
                <w:noProof/>
                <w:webHidden/>
              </w:rPr>
              <w:fldChar w:fldCharType="separate"/>
            </w:r>
            <w:r w:rsidR="00B54406">
              <w:rPr>
                <w:noProof/>
                <w:webHidden/>
              </w:rPr>
              <w:t>116</w:t>
            </w:r>
            <w:r w:rsidR="00B54406">
              <w:rPr>
                <w:noProof/>
                <w:webHidden/>
              </w:rPr>
              <w:fldChar w:fldCharType="end"/>
            </w:r>
          </w:hyperlink>
        </w:p>
        <w:p w14:paraId="36ADC8F0" w14:textId="4ADBEE52"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115" w:history="1">
            <w:r w:rsidR="00B54406" w:rsidRPr="00C5672A">
              <w:rPr>
                <w:rStyle w:val="Hyperlink"/>
                <w:bCs/>
                <w:noProof/>
                <w14:scene3d>
                  <w14:camera w14:prst="orthographicFront"/>
                  <w14:lightRig w14:rig="threePt" w14:dir="t">
                    <w14:rot w14:lat="0" w14:lon="0" w14:rev="0"/>
                  </w14:lightRig>
                </w14:scene3d>
              </w:rPr>
              <w:t>3.6.1</w:t>
            </w:r>
            <w:r w:rsidR="00B54406">
              <w:rPr>
                <w:rFonts w:asciiTheme="minorHAnsi" w:eastAsiaTheme="minorEastAsia" w:hAnsiTheme="minorHAnsi" w:cstheme="minorBidi"/>
                <w:noProof/>
                <w:sz w:val="22"/>
              </w:rPr>
              <w:tab/>
            </w:r>
            <w:r w:rsidR="00B54406" w:rsidRPr="00C5672A">
              <w:rPr>
                <w:rStyle w:val="Hyperlink"/>
                <w:noProof/>
              </w:rPr>
              <w:t>Validity of Research Instrument</w:t>
            </w:r>
            <w:r w:rsidR="00B54406">
              <w:rPr>
                <w:noProof/>
                <w:webHidden/>
              </w:rPr>
              <w:tab/>
            </w:r>
            <w:r w:rsidR="00B54406">
              <w:rPr>
                <w:noProof/>
                <w:webHidden/>
              </w:rPr>
              <w:fldChar w:fldCharType="begin"/>
            </w:r>
            <w:r w:rsidR="00B54406">
              <w:rPr>
                <w:noProof/>
                <w:webHidden/>
              </w:rPr>
              <w:instrText xml:space="preserve"> PAGEREF _Toc145951115 \h </w:instrText>
            </w:r>
            <w:r w:rsidR="00B54406">
              <w:rPr>
                <w:noProof/>
                <w:webHidden/>
              </w:rPr>
            </w:r>
            <w:r w:rsidR="00B54406">
              <w:rPr>
                <w:noProof/>
                <w:webHidden/>
              </w:rPr>
              <w:fldChar w:fldCharType="separate"/>
            </w:r>
            <w:r w:rsidR="00B54406">
              <w:rPr>
                <w:noProof/>
                <w:webHidden/>
              </w:rPr>
              <w:t>116</w:t>
            </w:r>
            <w:r w:rsidR="00B54406">
              <w:rPr>
                <w:noProof/>
                <w:webHidden/>
              </w:rPr>
              <w:fldChar w:fldCharType="end"/>
            </w:r>
          </w:hyperlink>
        </w:p>
        <w:p w14:paraId="4402634C" w14:textId="4745D463"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116" w:history="1">
            <w:r w:rsidR="00B54406" w:rsidRPr="00C5672A">
              <w:rPr>
                <w:rStyle w:val="Hyperlink"/>
                <w:bCs/>
                <w:noProof/>
                <w14:scene3d>
                  <w14:camera w14:prst="orthographicFront"/>
                  <w14:lightRig w14:rig="threePt" w14:dir="t">
                    <w14:rot w14:lat="0" w14:lon="0" w14:rev="0"/>
                  </w14:lightRig>
                </w14:scene3d>
              </w:rPr>
              <w:t>3.6.2</w:t>
            </w:r>
            <w:r w:rsidR="00B54406">
              <w:rPr>
                <w:rFonts w:asciiTheme="minorHAnsi" w:eastAsiaTheme="minorEastAsia" w:hAnsiTheme="minorHAnsi" w:cstheme="minorBidi"/>
                <w:noProof/>
                <w:sz w:val="22"/>
              </w:rPr>
              <w:tab/>
            </w:r>
            <w:r w:rsidR="00B54406" w:rsidRPr="00C5672A">
              <w:rPr>
                <w:rStyle w:val="Hyperlink"/>
                <w:noProof/>
              </w:rPr>
              <w:t>Reliability of Research Instrument</w:t>
            </w:r>
            <w:r w:rsidR="00B54406">
              <w:rPr>
                <w:noProof/>
                <w:webHidden/>
              </w:rPr>
              <w:tab/>
            </w:r>
            <w:r w:rsidR="00B54406">
              <w:rPr>
                <w:noProof/>
                <w:webHidden/>
              </w:rPr>
              <w:fldChar w:fldCharType="begin"/>
            </w:r>
            <w:r w:rsidR="00B54406">
              <w:rPr>
                <w:noProof/>
                <w:webHidden/>
              </w:rPr>
              <w:instrText xml:space="preserve"> PAGEREF _Toc145951116 \h </w:instrText>
            </w:r>
            <w:r w:rsidR="00B54406">
              <w:rPr>
                <w:noProof/>
                <w:webHidden/>
              </w:rPr>
            </w:r>
            <w:r w:rsidR="00B54406">
              <w:rPr>
                <w:noProof/>
                <w:webHidden/>
              </w:rPr>
              <w:fldChar w:fldCharType="separate"/>
            </w:r>
            <w:r w:rsidR="00B54406">
              <w:rPr>
                <w:noProof/>
                <w:webHidden/>
              </w:rPr>
              <w:t>117</w:t>
            </w:r>
            <w:r w:rsidR="00B54406">
              <w:rPr>
                <w:noProof/>
                <w:webHidden/>
              </w:rPr>
              <w:fldChar w:fldCharType="end"/>
            </w:r>
          </w:hyperlink>
        </w:p>
        <w:p w14:paraId="2AA838B9" w14:textId="429C7683"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117" w:history="1">
            <w:r w:rsidR="00B54406" w:rsidRPr="00C5672A">
              <w:rPr>
                <w:rStyle w:val="Hyperlink"/>
                <w:noProof/>
                <w14:scene3d>
                  <w14:camera w14:prst="orthographicFront"/>
                  <w14:lightRig w14:rig="threePt" w14:dir="t">
                    <w14:rot w14:lat="0" w14:lon="0" w14:rev="0"/>
                  </w14:lightRig>
                </w14:scene3d>
              </w:rPr>
              <w:t>3.7</w:t>
            </w:r>
            <w:r w:rsidR="00B54406">
              <w:rPr>
                <w:rFonts w:asciiTheme="minorHAnsi" w:eastAsiaTheme="minorEastAsia" w:hAnsiTheme="minorHAnsi" w:cstheme="minorBidi"/>
                <w:noProof/>
                <w:sz w:val="22"/>
              </w:rPr>
              <w:tab/>
            </w:r>
            <w:r w:rsidR="00B54406" w:rsidRPr="00C5672A">
              <w:rPr>
                <w:rStyle w:val="Hyperlink"/>
                <w:noProof/>
              </w:rPr>
              <w:t>Method of Data Analysis</w:t>
            </w:r>
            <w:r w:rsidR="00B54406">
              <w:rPr>
                <w:noProof/>
                <w:webHidden/>
              </w:rPr>
              <w:tab/>
            </w:r>
            <w:r w:rsidR="00B54406">
              <w:rPr>
                <w:noProof/>
                <w:webHidden/>
              </w:rPr>
              <w:fldChar w:fldCharType="begin"/>
            </w:r>
            <w:r w:rsidR="00B54406">
              <w:rPr>
                <w:noProof/>
                <w:webHidden/>
              </w:rPr>
              <w:instrText xml:space="preserve"> PAGEREF _Toc145951117 \h </w:instrText>
            </w:r>
            <w:r w:rsidR="00B54406">
              <w:rPr>
                <w:noProof/>
                <w:webHidden/>
              </w:rPr>
            </w:r>
            <w:r w:rsidR="00B54406">
              <w:rPr>
                <w:noProof/>
                <w:webHidden/>
              </w:rPr>
              <w:fldChar w:fldCharType="separate"/>
            </w:r>
            <w:r w:rsidR="00B54406">
              <w:rPr>
                <w:noProof/>
                <w:webHidden/>
              </w:rPr>
              <w:t>118</w:t>
            </w:r>
            <w:r w:rsidR="00B54406">
              <w:rPr>
                <w:noProof/>
                <w:webHidden/>
              </w:rPr>
              <w:fldChar w:fldCharType="end"/>
            </w:r>
          </w:hyperlink>
        </w:p>
        <w:p w14:paraId="1294CA15" w14:textId="12F200C4"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118" w:history="1">
            <w:r w:rsidR="00B54406" w:rsidRPr="00C5672A">
              <w:rPr>
                <w:rStyle w:val="Hyperlink"/>
                <w:noProof/>
                <w14:scene3d>
                  <w14:camera w14:prst="orthographicFront"/>
                  <w14:lightRig w14:rig="threePt" w14:dir="t">
                    <w14:rot w14:lat="0" w14:lon="0" w14:rev="0"/>
                  </w14:lightRig>
                </w14:scene3d>
              </w:rPr>
              <w:t>3.8</w:t>
            </w:r>
            <w:r w:rsidR="00B54406">
              <w:rPr>
                <w:rFonts w:asciiTheme="minorHAnsi" w:eastAsiaTheme="minorEastAsia" w:hAnsiTheme="minorHAnsi" w:cstheme="minorBidi"/>
                <w:noProof/>
                <w:sz w:val="22"/>
              </w:rPr>
              <w:tab/>
            </w:r>
            <w:r w:rsidR="00B54406" w:rsidRPr="00C5672A">
              <w:rPr>
                <w:rStyle w:val="Hyperlink"/>
                <w:noProof/>
              </w:rPr>
              <w:t>Model Specification</w:t>
            </w:r>
            <w:r w:rsidR="00B54406">
              <w:rPr>
                <w:noProof/>
                <w:webHidden/>
              </w:rPr>
              <w:tab/>
            </w:r>
            <w:r w:rsidR="00B54406">
              <w:rPr>
                <w:noProof/>
                <w:webHidden/>
              </w:rPr>
              <w:fldChar w:fldCharType="begin"/>
            </w:r>
            <w:r w:rsidR="00B54406">
              <w:rPr>
                <w:noProof/>
                <w:webHidden/>
              </w:rPr>
              <w:instrText xml:space="preserve"> PAGEREF _Toc145951118 \h </w:instrText>
            </w:r>
            <w:r w:rsidR="00B54406">
              <w:rPr>
                <w:noProof/>
                <w:webHidden/>
              </w:rPr>
            </w:r>
            <w:r w:rsidR="00B54406">
              <w:rPr>
                <w:noProof/>
                <w:webHidden/>
              </w:rPr>
              <w:fldChar w:fldCharType="separate"/>
            </w:r>
            <w:r w:rsidR="00B54406">
              <w:rPr>
                <w:noProof/>
                <w:webHidden/>
              </w:rPr>
              <w:t>118</w:t>
            </w:r>
            <w:r w:rsidR="00B54406">
              <w:rPr>
                <w:noProof/>
                <w:webHidden/>
              </w:rPr>
              <w:fldChar w:fldCharType="end"/>
            </w:r>
          </w:hyperlink>
        </w:p>
        <w:p w14:paraId="711935EF" w14:textId="60CA957B"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119" w:history="1">
            <w:r w:rsidR="00B54406" w:rsidRPr="00C5672A">
              <w:rPr>
                <w:rStyle w:val="Hyperlink"/>
                <w:noProof/>
                <w14:scene3d>
                  <w14:camera w14:prst="orthographicFront"/>
                  <w14:lightRig w14:rig="threePt" w14:dir="t">
                    <w14:rot w14:lat="0" w14:lon="0" w14:rev="0"/>
                  </w14:lightRig>
                </w14:scene3d>
              </w:rPr>
              <w:t>3.9</w:t>
            </w:r>
            <w:r w:rsidR="00B54406">
              <w:rPr>
                <w:rFonts w:asciiTheme="minorHAnsi" w:eastAsiaTheme="minorEastAsia" w:hAnsiTheme="minorHAnsi" w:cstheme="minorBidi"/>
                <w:noProof/>
                <w:sz w:val="22"/>
              </w:rPr>
              <w:tab/>
            </w:r>
            <w:r w:rsidR="00B54406" w:rsidRPr="00C5672A">
              <w:rPr>
                <w:rStyle w:val="Hyperlink"/>
                <w:noProof/>
              </w:rPr>
              <w:t>Model Estimation and Evaluation Technique</w:t>
            </w:r>
            <w:r w:rsidR="00B54406">
              <w:rPr>
                <w:noProof/>
                <w:webHidden/>
              </w:rPr>
              <w:tab/>
            </w:r>
            <w:r w:rsidR="00B54406">
              <w:rPr>
                <w:noProof/>
                <w:webHidden/>
              </w:rPr>
              <w:fldChar w:fldCharType="begin"/>
            </w:r>
            <w:r w:rsidR="00B54406">
              <w:rPr>
                <w:noProof/>
                <w:webHidden/>
              </w:rPr>
              <w:instrText xml:space="preserve"> PAGEREF _Toc145951119 \h </w:instrText>
            </w:r>
            <w:r w:rsidR="00B54406">
              <w:rPr>
                <w:noProof/>
                <w:webHidden/>
              </w:rPr>
            </w:r>
            <w:r w:rsidR="00B54406">
              <w:rPr>
                <w:noProof/>
                <w:webHidden/>
              </w:rPr>
              <w:fldChar w:fldCharType="separate"/>
            </w:r>
            <w:r w:rsidR="00B54406">
              <w:rPr>
                <w:noProof/>
                <w:webHidden/>
              </w:rPr>
              <w:t>120</w:t>
            </w:r>
            <w:r w:rsidR="00B54406">
              <w:rPr>
                <w:noProof/>
                <w:webHidden/>
              </w:rPr>
              <w:fldChar w:fldCharType="end"/>
            </w:r>
          </w:hyperlink>
        </w:p>
        <w:p w14:paraId="6F36F567" w14:textId="45F28C75"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120" w:history="1">
            <w:r w:rsidR="00B54406" w:rsidRPr="00C5672A">
              <w:rPr>
                <w:rStyle w:val="Hyperlink"/>
                <w:noProof/>
                <w14:scene3d>
                  <w14:camera w14:prst="orthographicFront"/>
                  <w14:lightRig w14:rig="threePt" w14:dir="t">
                    <w14:rot w14:lat="0" w14:lon="0" w14:rev="0"/>
                  </w14:lightRig>
                </w14:scene3d>
              </w:rPr>
              <w:t>3.10</w:t>
            </w:r>
            <w:r w:rsidR="00B54406">
              <w:rPr>
                <w:rFonts w:asciiTheme="minorHAnsi" w:eastAsiaTheme="minorEastAsia" w:hAnsiTheme="minorHAnsi" w:cstheme="minorBidi"/>
                <w:noProof/>
                <w:sz w:val="22"/>
              </w:rPr>
              <w:tab/>
            </w:r>
            <w:r w:rsidR="00B54406" w:rsidRPr="00C5672A">
              <w:rPr>
                <w:rStyle w:val="Hyperlink"/>
                <w:noProof/>
              </w:rPr>
              <w:t>Ethical Consideration</w:t>
            </w:r>
            <w:r w:rsidR="00B54406">
              <w:rPr>
                <w:noProof/>
                <w:webHidden/>
              </w:rPr>
              <w:tab/>
            </w:r>
            <w:r w:rsidR="00B54406">
              <w:rPr>
                <w:noProof/>
                <w:webHidden/>
              </w:rPr>
              <w:fldChar w:fldCharType="begin"/>
            </w:r>
            <w:r w:rsidR="00B54406">
              <w:rPr>
                <w:noProof/>
                <w:webHidden/>
              </w:rPr>
              <w:instrText xml:space="preserve"> PAGEREF _Toc145951120 \h </w:instrText>
            </w:r>
            <w:r w:rsidR="00B54406">
              <w:rPr>
                <w:noProof/>
                <w:webHidden/>
              </w:rPr>
            </w:r>
            <w:r w:rsidR="00B54406">
              <w:rPr>
                <w:noProof/>
                <w:webHidden/>
              </w:rPr>
              <w:fldChar w:fldCharType="separate"/>
            </w:r>
            <w:r w:rsidR="00B54406">
              <w:rPr>
                <w:noProof/>
                <w:webHidden/>
              </w:rPr>
              <w:t>120</w:t>
            </w:r>
            <w:r w:rsidR="00B54406">
              <w:rPr>
                <w:noProof/>
                <w:webHidden/>
              </w:rPr>
              <w:fldChar w:fldCharType="end"/>
            </w:r>
          </w:hyperlink>
        </w:p>
        <w:p w14:paraId="2A7159B2" w14:textId="7A566772" w:rsidR="00B54406" w:rsidRDefault="00271F03">
          <w:pPr>
            <w:pStyle w:val="TOC1"/>
            <w:tabs>
              <w:tab w:val="right" w:leader="dot" w:pos="9350"/>
            </w:tabs>
            <w:rPr>
              <w:rFonts w:asciiTheme="minorHAnsi" w:eastAsiaTheme="minorEastAsia" w:hAnsiTheme="minorHAnsi" w:cstheme="minorBidi"/>
              <w:noProof/>
              <w:sz w:val="22"/>
            </w:rPr>
          </w:pPr>
          <w:hyperlink w:anchor="_Toc145951121" w:history="1">
            <w:r w:rsidR="00B54406" w:rsidRPr="00C5672A">
              <w:rPr>
                <w:rStyle w:val="Hyperlink"/>
                <w:noProof/>
              </w:rPr>
              <w:t>CHAPTER FOUR</w:t>
            </w:r>
            <w:r w:rsidR="00B54406">
              <w:rPr>
                <w:noProof/>
                <w:webHidden/>
              </w:rPr>
              <w:tab/>
            </w:r>
            <w:r w:rsidR="00B54406">
              <w:rPr>
                <w:noProof/>
                <w:webHidden/>
              </w:rPr>
              <w:fldChar w:fldCharType="begin"/>
            </w:r>
            <w:r w:rsidR="00B54406">
              <w:rPr>
                <w:noProof/>
                <w:webHidden/>
              </w:rPr>
              <w:instrText xml:space="preserve"> PAGEREF _Toc145951121 \h </w:instrText>
            </w:r>
            <w:r w:rsidR="00B54406">
              <w:rPr>
                <w:noProof/>
                <w:webHidden/>
              </w:rPr>
            </w:r>
            <w:r w:rsidR="00B54406">
              <w:rPr>
                <w:noProof/>
                <w:webHidden/>
              </w:rPr>
              <w:fldChar w:fldCharType="separate"/>
            </w:r>
            <w:r w:rsidR="00B54406">
              <w:rPr>
                <w:noProof/>
                <w:webHidden/>
              </w:rPr>
              <w:t>121</w:t>
            </w:r>
            <w:r w:rsidR="00B54406">
              <w:rPr>
                <w:noProof/>
                <w:webHidden/>
              </w:rPr>
              <w:fldChar w:fldCharType="end"/>
            </w:r>
          </w:hyperlink>
        </w:p>
        <w:p w14:paraId="598ABD15" w14:textId="7C53C192" w:rsidR="00B54406" w:rsidRDefault="00271F03">
          <w:pPr>
            <w:pStyle w:val="TOC1"/>
            <w:tabs>
              <w:tab w:val="left" w:pos="440"/>
              <w:tab w:val="right" w:leader="dot" w:pos="9350"/>
            </w:tabs>
            <w:rPr>
              <w:rFonts w:asciiTheme="minorHAnsi" w:eastAsiaTheme="minorEastAsia" w:hAnsiTheme="minorHAnsi" w:cstheme="minorBidi"/>
              <w:noProof/>
              <w:sz w:val="22"/>
            </w:rPr>
          </w:pPr>
          <w:hyperlink w:anchor="_Toc145951122" w:history="1">
            <w:r w:rsidR="00B54406" w:rsidRPr="00C5672A">
              <w:rPr>
                <w:rStyle w:val="Hyperlink"/>
                <w:noProof/>
              </w:rPr>
              <w:t>DATA ANALYSIS, PRESENTATION AND DISCUSSCION</w:t>
            </w:r>
            <w:r w:rsidR="00B54406">
              <w:rPr>
                <w:noProof/>
                <w:webHidden/>
              </w:rPr>
              <w:tab/>
            </w:r>
            <w:r w:rsidR="00B54406">
              <w:rPr>
                <w:noProof/>
                <w:webHidden/>
              </w:rPr>
              <w:fldChar w:fldCharType="begin"/>
            </w:r>
            <w:r w:rsidR="00B54406">
              <w:rPr>
                <w:noProof/>
                <w:webHidden/>
              </w:rPr>
              <w:instrText xml:space="preserve"> PAGEREF _Toc145951122 \h </w:instrText>
            </w:r>
            <w:r w:rsidR="00B54406">
              <w:rPr>
                <w:noProof/>
                <w:webHidden/>
              </w:rPr>
            </w:r>
            <w:r w:rsidR="00B54406">
              <w:rPr>
                <w:noProof/>
                <w:webHidden/>
              </w:rPr>
              <w:fldChar w:fldCharType="separate"/>
            </w:r>
            <w:r w:rsidR="00B54406">
              <w:rPr>
                <w:noProof/>
                <w:webHidden/>
              </w:rPr>
              <w:t>121</w:t>
            </w:r>
            <w:r w:rsidR="00B54406">
              <w:rPr>
                <w:noProof/>
                <w:webHidden/>
              </w:rPr>
              <w:fldChar w:fldCharType="end"/>
            </w:r>
          </w:hyperlink>
        </w:p>
        <w:p w14:paraId="3A84AA0B" w14:textId="452108E1"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123" w:history="1">
            <w:r w:rsidR="00B54406" w:rsidRPr="00C5672A">
              <w:rPr>
                <w:rStyle w:val="Hyperlink"/>
                <w:noProof/>
                <w14:scene3d>
                  <w14:camera w14:prst="orthographicFront"/>
                  <w14:lightRig w14:rig="threePt" w14:dir="t">
                    <w14:rot w14:lat="0" w14:lon="0" w14:rev="0"/>
                  </w14:lightRig>
                </w14:scene3d>
              </w:rPr>
              <w:t>4.1</w:t>
            </w:r>
            <w:r w:rsidR="00B54406">
              <w:rPr>
                <w:rFonts w:asciiTheme="minorHAnsi" w:eastAsiaTheme="minorEastAsia" w:hAnsiTheme="minorHAnsi" w:cstheme="minorBidi"/>
                <w:noProof/>
                <w:sz w:val="22"/>
              </w:rPr>
              <w:tab/>
            </w:r>
            <w:r w:rsidR="00B54406" w:rsidRPr="00C5672A">
              <w:rPr>
                <w:rStyle w:val="Hyperlink"/>
                <w:noProof/>
              </w:rPr>
              <w:t>Descriptive Statistics</w:t>
            </w:r>
            <w:r w:rsidR="00B54406">
              <w:rPr>
                <w:noProof/>
                <w:webHidden/>
              </w:rPr>
              <w:tab/>
            </w:r>
            <w:r w:rsidR="00B54406">
              <w:rPr>
                <w:noProof/>
                <w:webHidden/>
              </w:rPr>
              <w:fldChar w:fldCharType="begin"/>
            </w:r>
            <w:r w:rsidR="00B54406">
              <w:rPr>
                <w:noProof/>
                <w:webHidden/>
              </w:rPr>
              <w:instrText xml:space="preserve"> PAGEREF _Toc145951123 \h </w:instrText>
            </w:r>
            <w:r w:rsidR="00B54406">
              <w:rPr>
                <w:noProof/>
                <w:webHidden/>
              </w:rPr>
            </w:r>
            <w:r w:rsidR="00B54406">
              <w:rPr>
                <w:noProof/>
                <w:webHidden/>
              </w:rPr>
              <w:fldChar w:fldCharType="separate"/>
            </w:r>
            <w:r w:rsidR="00B54406">
              <w:rPr>
                <w:noProof/>
                <w:webHidden/>
              </w:rPr>
              <w:t>121</w:t>
            </w:r>
            <w:r w:rsidR="00B54406">
              <w:rPr>
                <w:noProof/>
                <w:webHidden/>
              </w:rPr>
              <w:fldChar w:fldCharType="end"/>
            </w:r>
          </w:hyperlink>
        </w:p>
        <w:p w14:paraId="0E7C328E" w14:textId="4A46001C"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124" w:history="1">
            <w:r w:rsidR="00B54406" w:rsidRPr="00C5672A">
              <w:rPr>
                <w:rStyle w:val="Hyperlink"/>
                <w:noProof/>
                <w14:scene3d>
                  <w14:camera w14:prst="orthographicFront"/>
                  <w14:lightRig w14:rig="threePt" w14:dir="t">
                    <w14:rot w14:lat="0" w14:lon="0" w14:rev="0"/>
                  </w14:lightRig>
                </w14:scene3d>
              </w:rPr>
              <w:t>4.2</w:t>
            </w:r>
            <w:r w:rsidR="00B54406">
              <w:rPr>
                <w:rFonts w:asciiTheme="minorHAnsi" w:eastAsiaTheme="minorEastAsia" w:hAnsiTheme="minorHAnsi" w:cstheme="minorBidi"/>
                <w:noProof/>
                <w:sz w:val="22"/>
              </w:rPr>
              <w:tab/>
            </w:r>
            <w:r w:rsidR="00B54406" w:rsidRPr="00C5672A">
              <w:rPr>
                <w:rStyle w:val="Hyperlink"/>
                <w:noProof/>
              </w:rPr>
              <w:t>Analysis of Responses to Research Variables</w:t>
            </w:r>
            <w:r w:rsidR="00B54406">
              <w:rPr>
                <w:noProof/>
                <w:webHidden/>
              </w:rPr>
              <w:tab/>
            </w:r>
            <w:r w:rsidR="00B54406">
              <w:rPr>
                <w:noProof/>
                <w:webHidden/>
              </w:rPr>
              <w:fldChar w:fldCharType="begin"/>
            </w:r>
            <w:r w:rsidR="00B54406">
              <w:rPr>
                <w:noProof/>
                <w:webHidden/>
              </w:rPr>
              <w:instrText xml:space="preserve"> PAGEREF _Toc145951124 \h </w:instrText>
            </w:r>
            <w:r w:rsidR="00B54406">
              <w:rPr>
                <w:noProof/>
                <w:webHidden/>
              </w:rPr>
            </w:r>
            <w:r w:rsidR="00B54406">
              <w:rPr>
                <w:noProof/>
                <w:webHidden/>
              </w:rPr>
              <w:fldChar w:fldCharType="separate"/>
            </w:r>
            <w:r w:rsidR="00B54406">
              <w:rPr>
                <w:noProof/>
                <w:webHidden/>
              </w:rPr>
              <w:t>125</w:t>
            </w:r>
            <w:r w:rsidR="00B54406">
              <w:rPr>
                <w:noProof/>
                <w:webHidden/>
              </w:rPr>
              <w:fldChar w:fldCharType="end"/>
            </w:r>
          </w:hyperlink>
        </w:p>
        <w:p w14:paraId="4DAC1ACC" w14:textId="589F8BBC"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125" w:history="1">
            <w:r w:rsidR="00B54406" w:rsidRPr="00C5672A">
              <w:rPr>
                <w:rStyle w:val="Hyperlink"/>
                <w:bCs/>
                <w:noProof/>
                <w14:scene3d>
                  <w14:camera w14:prst="orthographicFront"/>
                  <w14:lightRig w14:rig="threePt" w14:dir="t">
                    <w14:rot w14:lat="0" w14:lon="0" w14:rev="0"/>
                  </w14:lightRig>
                </w14:scene3d>
              </w:rPr>
              <w:t>4.2.1</w:t>
            </w:r>
            <w:r w:rsidR="00B54406">
              <w:rPr>
                <w:rFonts w:asciiTheme="minorHAnsi" w:eastAsiaTheme="minorEastAsia" w:hAnsiTheme="minorHAnsi" w:cstheme="minorBidi"/>
                <w:noProof/>
                <w:sz w:val="22"/>
              </w:rPr>
              <w:tab/>
            </w:r>
            <w:r w:rsidR="00B54406" w:rsidRPr="00C5672A">
              <w:rPr>
                <w:rStyle w:val="Hyperlink"/>
                <w:noProof/>
              </w:rPr>
              <w:t>Diagnostic Test</w:t>
            </w:r>
            <w:r w:rsidR="00B54406">
              <w:rPr>
                <w:noProof/>
                <w:webHidden/>
              </w:rPr>
              <w:tab/>
            </w:r>
            <w:r w:rsidR="00B54406">
              <w:rPr>
                <w:noProof/>
                <w:webHidden/>
              </w:rPr>
              <w:fldChar w:fldCharType="begin"/>
            </w:r>
            <w:r w:rsidR="00B54406">
              <w:rPr>
                <w:noProof/>
                <w:webHidden/>
              </w:rPr>
              <w:instrText xml:space="preserve"> PAGEREF _Toc145951125 \h </w:instrText>
            </w:r>
            <w:r w:rsidR="00B54406">
              <w:rPr>
                <w:noProof/>
                <w:webHidden/>
              </w:rPr>
            </w:r>
            <w:r w:rsidR="00B54406">
              <w:rPr>
                <w:noProof/>
                <w:webHidden/>
              </w:rPr>
              <w:fldChar w:fldCharType="separate"/>
            </w:r>
            <w:r w:rsidR="00B54406">
              <w:rPr>
                <w:noProof/>
                <w:webHidden/>
              </w:rPr>
              <w:t>146</w:t>
            </w:r>
            <w:r w:rsidR="00B54406">
              <w:rPr>
                <w:noProof/>
                <w:webHidden/>
              </w:rPr>
              <w:fldChar w:fldCharType="end"/>
            </w:r>
          </w:hyperlink>
        </w:p>
        <w:p w14:paraId="5E8CDA33" w14:textId="7F06D469"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126" w:history="1">
            <w:r w:rsidR="00B54406" w:rsidRPr="00C5672A">
              <w:rPr>
                <w:rStyle w:val="Hyperlink"/>
                <w:noProof/>
                <w14:scene3d>
                  <w14:camera w14:prst="orthographicFront"/>
                  <w14:lightRig w14:rig="threePt" w14:dir="t">
                    <w14:rot w14:lat="0" w14:lon="0" w14:rev="0"/>
                  </w14:lightRig>
                </w14:scene3d>
              </w:rPr>
              <w:t>4.3</w:t>
            </w:r>
            <w:r w:rsidR="00B54406">
              <w:rPr>
                <w:rFonts w:asciiTheme="minorHAnsi" w:eastAsiaTheme="minorEastAsia" w:hAnsiTheme="minorHAnsi" w:cstheme="minorBidi"/>
                <w:noProof/>
                <w:sz w:val="22"/>
              </w:rPr>
              <w:tab/>
            </w:r>
            <w:r w:rsidR="00B54406" w:rsidRPr="00C5672A">
              <w:rPr>
                <w:rStyle w:val="Hyperlink"/>
                <w:noProof/>
              </w:rPr>
              <w:t>Test of Normality</w:t>
            </w:r>
            <w:r w:rsidR="00B54406">
              <w:rPr>
                <w:noProof/>
                <w:webHidden/>
              </w:rPr>
              <w:tab/>
            </w:r>
            <w:r w:rsidR="00B54406">
              <w:rPr>
                <w:noProof/>
                <w:webHidden/>
              </w:rPr>
              <w:fldChar w:fldCharType="begin"/>
            </w:r>
            <w:r w:rsidR="00B54406">
              <w:rPr>
                <w:noProof/>
                <w:webHidden/>
              </w:rPr>
              <w:instrText xml:space="preserve"> PAGEREF _Toc145951126 \h </w:instrText>
            </w:r>
            <w:r w:rsidR="00B54406">
              <w:rPr>
                <w:noProof/>
                <w:webHidden/>
              </w:rPr>
            </w:r>
            <w:r w:rsidR="00B54406">
              <w:rPr>
                <w:noProof/>
                <w:webHidden/>
              </w:rPr>
              <w:fldChar w:fldCharType="separate"/>
            </w:r>
            <w:r w:rsidR="00B54406">
              <w:rPr>
                <w:noProof/>
                <w:webHidden/>
              </w:rPr>
              <w:t>147</w:t>
            </w:r>
            <w:r w:rsidR="00B54406">
              <w:rPr>
                <w:noProof/>
                <w:webHidden/>
              </w:rPr>
              <w:fldChar w:fldCharType="end"/>
            </w:r>
          </w:hyperlink>
        </w:p>
        <w:p w14:paraId="5C9BCB6A" w14:textId="288DA61D"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127" w:history="1">
            <w:r w:rsidR="00B54406" w:rsidRPr="00C5672A">
              <w:rPr>
                <w:rStyle w:val="Hyperlink"/>
                <w:bCs/>
                <w:noProof/>
                <w14:scene3d>
                  <w14:camera w14:prst="orthographicFront"/>
                  <w14:lightRig w14:rig="threePt" w14:dir="t">
                    <w14:rot w14:lat="0" w14:lon="0" w14:rev="0"/>
                  </w14:lightRig>
                </w14:scene3d>
              </w:rPr>
              <w:t>4.3.1</w:t>
            </w:r>
            <w:r w:rsidR="00B54406">
              <w:rPr>
                <w:rFonts w:asciiTheme="minorHAnsi" w:eastAsiaTheme="minorEastAsia" w:hAnsiTheme="minorHAnsi" w:cstheme="minorBidi"/>
                <w:noProof/>
                <w:sz w:val="22"/>
              </w:rPr>
              <w:tab/>
            </w:r>
            <w:r w:rsidR="00B54406" w:rsidRPr="00C5672A">
              <w:rPr>
                <w:rStyle w:val="Hyperlink"/>
                <w:noProof/>
              </w:rPr>
              <w:t>Effect of Forensic Accounting Techniques on Fund Misappropriation</w:t>
            </w:r>
            <w:r w:rsidR="00B54406">
              <w:rPr>
                <w:noProof/>
                <w:webHidden/>
              </w:rPr>
              <w:tab/>
            </w:r>
            <w:r w:rsidR="00B54406">
              <w:rPr>
                <w:noProof/>
                <w:webHidden/>
              </w:rPr>
              <w:fldChar w:fldCharType="begin"/>
            </w:r>
            <w:r w:rsidR="00B54406">
              <w:rPr>
                <w:noProof/>
                <w:webHidden/>
              </w:rPr>
              <w:instrText xml:space="preserve"> PAGEREF _Toc145951127 \h </w:instrText>
            </w:r>
            <w:r w:rsidR="00B54406">
              <w:rPr>
                <w:noProof/>
                <w:webHidden/>
              </w:rPr>
            </w:r>
            <w:r w:rsidR="00B54406">
              <w:rPr>
                <w:noProof/>
                <w:webHidden/>
              </w:rPr>
              <w:fldChar w:fldCharType="separate"/>
            </w:r>
            <w:r w:rsidR="00B54406">
              <w:rPr>
                <w:noProof/>
                <w:webHidden/>
              </w:rPr>
              <w:t>149</w:t>
            </w:r>
            <w:r w:rsidR="00B54406">
              <w:rPr>
                <w:noProof/>
                <w:webHidden/>
              </w:rPr>
              <w:fldChar w:fldCharType="end"/>
            </w:r>
          </w:hyperlink>
        </w:p>
        <w:p w14:paraId="5FD78922" w14:textId="1D8C5624"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128" w:history="1">
            <w:r w:rsidR="00B54406" w:rsidRPr="00C5672A">
              <w:rPr>
                <w:rStyle w:val="Hyperlink"/>
                <w:bCs/>
                <w:noProof/>
                <w14:scene3d>
                  <w14:camera w14:prst="orthographicFront"/>
                  <w14:lightRig w14:rig="threePt" w14:dir="t">
                    <w14:rot w14:lat="0" w14:lon="0" w14:rev="0"/>
                  </w14:lightRig>
                </w14:scene3d>
              </w:rPr>
              <w:t>4.3.2</w:t>
            </w:r>
            <w:r w:rsidR="00B54406">
              <w:rPr>
                <w:rFonts w:asciiTheme="minorHAnsi" w:eastAsiaTheme="minorEastAsia" w:hAnsiTheme="minorHAnsi" w:cstheme="minorBidi"/>
                <w:noProof/>
                <w:sz w:val="22"/>
              </w:rPr>
              <w:tab/>
            </w:r>
            <w:r w:rsidR="00B54406" w:rsidRPr="00C5672A">
              <w:rPr>
                <w:rStyle w:val="Hyperlink"/>
                <w:noProof/>
              </w:rPr>
              <w:t>Effect of Forensic Accounting Techniques on Value for Money Practices</w:t>
            </w:r>
            <w:r w:rsidR="00B54406">
              <w:rPr>
                <w:noProof/>
                <w:webHidden/>
              </w:rPr>
              <w:tab/>
            </w:r>
            <w:r w:rsidR="00B54406">
              <w:rPr>
                <w:noProof/>
                <w:webHidden/>
              </w:rPr>
              <w:fldChar w:fldCharType="begin"/>
            </w:r>
            <w:r w:rsidR="00B54406">
              <w:rPr>
                <w:noProof/>
                <w:webHidden/>
              </w:rPr>
              <w:instrText xml:space="preserve"> PAGEREF _Toc145951128 \h </w:instrText>
            </w:r>
            <w:r w:rsidR="00B54406">
              <w:rPr>
                <w:noProof/>
                <w:webHidden/>
              </w:rPr>
            </w:r>
            <w:r w:rsidR="00B54406">
              <w:rPr>
                <w:noProof/>
                <w:webHidden/>
              </w:rPr>
              <w:fldChar w:fldCharType="separate"/>
            </w:r>
            <w:r w:rsidR="00B54406">
              <w:rPr>
                <w:noProof/>
                <w:webHidden/>
              </w:rPr>
              <w:t>151</w:t>
            </w:r>
            <w:r w:rsidR="00B54406">
              <w:rPr>
                <w:noProof/>
                <w:webHidden/>
              </w:rPr>
              <w:fldChar w:fldCharType="end"/>
            </w:r>
          </w:hyperlink>
        </w:p>
        <w:p w14:paraId="6AB4BF35" w14:textId="64DD4002"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129" w:history="1">
            <w:r w:rsidR="00B54406" w:rsidRPr="00C5672A">
              <w:rPr>
                <w:rStyle w:val="Hyperlink"/>
                <w:bCs/>
                <w:noProof/>
                <w14:scene3d>
                  <w14:camera w14:prst="orthographicFront"/>
                  <w14:lightRig w14:rig="threePt" w14:dir="t">
                    <w14:rot w14:lat="0" w14:lon="0" w14:rev="0"/>
                  </w14:lightRig>
                </w14:scene3d>
              </w:rPr>
              <w:t>4.3.3</w:t>
            </w:r>
            <w:r w:rsidR="00B54406">
              <w:rPr>
                <w:rFonts w:asciiTheme="minorHAnsi" w:eastAsiaTheme="minorEastAsia" w:hAnsiTheme="minorHAnsi" w:cstheme="minorBidi"/>
                <w:noProof/>
                <w:sz w:val="22"/>
              </w:rPr>
              <w:tab/>
            </w:r>
            <w:r w:rsidR="00B54406" w:rsidRPr="00C5672A">
              <w:rPr>
                <w:rStyle w:val="Hyperlink"/>
                <w:noProof/>
              </w:rPr>
              <w:t>Effect of Forensic Accounting Techniques on Creative Accounting practices</w:t>
            </w:r>
            <w:r w:rsidR="00B54406">
              <w:rPr>
                <w:noProof/>
                <w:webHidden/>
              </w:rPr>
              <w:tab/>
            </w:r>
            <w:r w:rsidR="00B54406">
              <w:rPr>
                <w:noProof/>
                <w:webHidden/>
              </w:rPr>
              <w:fldChar w:fldCharType="begin"/>
            </w:r>
            <w:r w:rsidR="00B54406">
              <w:rPr>
                <w:noProof/>
                <w:webHidden/>
              </w:rPr>
              <w:instrText xml:space="preserve"> PAGEREF _Toc145951129 \h </w:instrText>
            </w:r>
            <w:r w:rsidR="00B54406">
              <w:rPr>
                <w:noProof/>
                <w:webHidden/>
              </w:rPr>
            </w:r>
            <w:r w:rsidR="00B54406">
              <w:rPr>
                <w:noProof/>
                <w:webHidden/>
              </w:rPr>
              <w:fldChar w:fldCharType="separate"/>
            </w:r>
            <w:r w:rsidR="00B54406">
              <w:rPr>
                <w:noProof/>
                <w:webHidden/>
              </w:rPr>
              <w:t>152</w:t>
            </w:r>
            <w:r w:rsidR="00B54406">
              <w:rPr>
                <w:noProof/>
                <w:webHidden/>
              </w:rPr>
              <w:fldChar w:fldCharType="end"/>
            </w:r>
          </w:hyperlink>
        </w:p>
        <w:p w14:paraId="331836A3" w14:textId="1E0E3E6D"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130" w:history="1">
            <w:r w:rsidR="00B54406" w:rsidRPr="00C5672A">
              <w:rPr>
                <w:rStyle w:val="Hyperlink"/>
                <w:bCs/>
                <w:noProof/>
                <w14:scene3d>
                  <w14:camera w14:prst="orthographicFront"/>
                  <w14:lightRig w14:rig="threePt" w14:dir="t">
                    <w14:rot w14:lat="0" w14:lon="0" w14:rev="0"/>
                  </w14:lightRig>
                </w14:scene3d>
              </w:rPr>
              <w:t>4.3.4</w:t>
            </w:r>
            <w:r w:rsidR="00B54406">
              <w:rPr>
                <w:rFonts w:asciiTheme="minorHAnsi" w:eastAsiaTheme="minorEastAsia" w:hAnsiTheme="minorHAnsi" w:cstheme="minorBidi"/>
                <w:noProof/>
                <w:sz w:val="22"/>
              </w:rPr>
              <w:tab/>
            </w:r>
            <w:r w:rsidR="00B54406" w:rsidRPr="00C5672A">
              <w:rPr>
                <w:rStyle w:val="Hyperlink"/>
                <w:noProof/>
              </w:rPr>
              <w:t>Effect of Forensic Accounting Techniques on Procurement Practices</w:t>
            </w:r>
            <w:r w:rsidR="00B54406">
              <w:rPr>
                <w:noProof/>
                <w:webHidden/>
              </w:rPr>
              <w:tab/>
            </w:r>
            <w:r w:rsidR="00B54406">
              <w:rPr>
                <w:noProof/>
                <w:webHidden/>
              </w:rPr>
              <w:fldChar w:fldCharType="begin"/>
            </w:r>
            <w:r w:rsidR="00B54406">
              <w:rPr>
                <w:noProof/>
                <w:webHidden/>
              </w:rPr>
              <w:instrText xml:space="preserve"> PAGEREF _Toc145951130 \h </w:instrText>
            </w:r>
            <w:r w:rsidR="00B54406">
              <w:rPr>
                <w:noProof/>
                <w:webHidden/>
              </w:rPr>
            </w:r>
            <w:r w:rsidR="00B54406">
              <w:rPr>
                <w:noProof/>
                <w:webHidden/>
              </w:rPr>
              <w:fldChar w:fldCharType="separate"/>
            </w:r>
            <w:r w:rsidR="00B54406">
              <w:rPr>
                <w:noProof/>
                <w:webHidden/>
              </w:rPr>
              <w:t>153</w:t>
            </w:r>
            <w:r w:rsidR="00B54406">
              <w:rPr>
                <w:noProof/>
                <w:webHidden/>
              </w:rPr>
              <w:fldChar w:fldCharType="end"/>
            </w:r>
          </w:hyperlink>
        </w:p>
        <w:p w14:paraId="42F4D1A6" w14:textId="39D368B9"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131" w:history="1">
            <w:r w:rsidR="00B54406" w:rsidRPr="00C5672A">
              <w:rPr>
                <w:rStyle w:val="Hyperlink"/>
                <w:noProof/>
                <w14:scene3d>
                  <w14:camera w14:prst="orthographicFront"/>
                  <w14:lightRig w14:rig="threePt" w14:dir="t">
                    <w14:rot w14:lat="0" w14:lon="0" w14:rev="0"/>
                  </w14:lightRig>
                </w14:scene3d>
              </w:rPr>
              <w:t>4.4</w:t>
            </w:r>
            <w:r w:rsidR="00B54406">
              <w:rPr>
                <w:rFonts w:asciiTheme="minorHAnsi" w:eastAsiaTheme="minorEastAsia" w:hAnsiTheme="minorHAnsi" w:cstheme="minorBidi"/>
                <w:noProof/>
                <w:sz w:val="22"/>
              </w:rPr>
              <w:tab/>
            </w:r>
            <w:r w:rsidR="00B54406" w:rsidRPr="00C5672A">
              <w:rPr>
                <w:rStyle w:val="Hyperlink"/>
                <w:noProof/>
              </w:rPr>
              <w:t>Test of Hypotheses</w:t>
            </w:r>
            <w:r w:rsidR="00B54406">
              <w:rPr>
                <w:noProof/>
                <w:webHidden/>
              </w:rPr>
              <w:tab/>
            </w:r>
            <w:r w:rsidR="00B54406">
              <w:rPr>
                <w:noProof/>
                <w:webHidden/>
              </w:rPr>
              <w:fldChar w:fldCharType="begin"/>
            </w:r>
            <w:r w:rsidR="00B54406">
              <w:rPr>
                <w:noProof/>
                <w:webHidden/>
              </w:rPr>
              <w:instrText xml:space="preserve"> PAGEREF _Toc145951131 \h </w:instrText>
            </w:r>
            <w:r w:rsidR="00B54406">
              <w:rPr>
                <w:noProof/>
                <w:webHidden/>
              </w:rPr>
            </w:r>
            <w:r w:rsidR="00B54406">
              <w:rPr>
                <w:noProof/>
                <w:webHidden/>
              </w:rPr>
              <w:fldChar w:fldCharType="separate"/>
            </w:r>
            <w:r w:rsidR="00B54406">
              <w:rPr>
                <w:noProof/>
                <w:webHidden/>
              </w:rPr>
              <w:t>154</w:t>
            </w:r>
            <w:r w:rsidR="00B54406">
              <w:rPr>
                <w:noProof/>
                <w:webHidden/>
              </w:rPr>
              <w:fldChar w:fldCharType="end"/>
            </w:r>
          </w:hyperlink>
        </w:p>
        <w:p w14:paraId="451B9D41" w14:textId="623EEDCC"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132" w:history="1">
            <w:r w:rsidR="00B54406" w:rsidRPr="00C5672A">
              <w:rPr>
                <w:rStyle w:val="Hyperlink"/>
                <w:noProof/>
                <w14:scene3d>
                  <w14:camera w14:prst="orthographicFront"/>
                  <w14:lightRig w14:rig="threePt" w14:dir="t">
                    <w14:rot w14:lat="0" w14:lon="0" w14:rev="0"/>
                  </w14:lightRig>
                </w14:scene3d>
              </w:rPr>
              <w:t>4.5</w:t>
            </w:r>
            <w:r w:rsidR="00B54406">
              <w:rPr>
                <w:rFonts w:asciiTheme="minorHAnsi" w:eastAsiaTheme="minorEastAsia" w:hAnsiTheme="minorHAnsi" w:cstheme="minorBidi"/>
                <w:noProof/>
                <w:sz w:val="22"/>
              </w:rPr>
              <w:tab/>
            </w:r>
            <w:r w:rsidR="00B54406" w:rsidRPr="00C5672A">
              <w:rPr>
                <w:rStyle w:val="Hyperlink"/>
                <w:noProof/>
              </w:rPr>
              <w:t>Discussion of Findings</w:t>
            </w:r>
            <w:r w:rsidR="00B54406">
              <w:rPr>
                <w:noProof/>
                <w:webHidden/>
              </w:rPr>
              <w:tab/>
            </w:r>
            <w:r w:rsidR="00B54406">
              <w:rPr>
                <w:noProof/>
                <w:webHidden/>
              </w:rPr>
              <w:fldChar w:fldCharType="begin"/>
            </w:r>
            <w:r w:rsidR="00B54406">
              <w:rPr>
                <w:noProof/>
                <w:webHidden/>
              </w:rPr>
              <w:instrText xml:space="preserve"> PAGEREF _Toc145951132 \h </w:instrText>
            </w:r>
            <w:r w:rsidR="00B54406">
              <w:rPr>
                <w:noProof/>
                <w:webHidden/>
              </w:rPr>
            </w:r>
            <w:r w:rsidR="00B54406">
              <w:rPr>
                <w:noProof/>
                <w:webHidden/>
              </w:rPr>
              <w:fldChar w:fldCharType="separate"/>
            </w:r>
            <w:r w:rsidR="00B54406">
              <w:rPr>
                <w:noProof/>
                <w:webHidden/>
              </w:rPr>
              <w:t>169</w:t>
            </w:r>
            <w:r w:rsidR="00B54406">
              <w:rPr>
                <w:noProof/>
                <w:webHidden/>
              </w:rPr>
              <w:fldChar w:fldCharType="end"/>
            </w:r>
          </w:hyperlink>
        </w:p>
        <w:p w14:paraId="4F6C992F" w14:textId="78DF117A"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133" w:history="1">
            <w:r w:rsidR="00B54406" w:rsidRPr="00C5672A">
              <w:rPr>
                <w:rStyle w:val="Hyperlink"/>
                <w:bCs/>
                <w:noProof/>
                <w14:scene3d>
                  <w14:camera w14:prst="orthographicFront"/>
                  <w14:lightRig w14:rig="threePt" w14:dir="t">
                    <w14:rot w14:lat="0" w14:lon="0" w14:rev="0"/>
                  </w14:lightRig>
                </w14:scene3d>
              </w:rPr>
              <w:t>4.5.1</w:t>
            </w:r>
            <w:r w:rsidR="00B54406">
              <w:rPr>
                <w:rFonts w:asciiTheme="minorHAnsi" w:eastAsiaTheme="minorEastAsia" w:hAnsiTheme="minorHAnsi" w:cstheme="minorBidi"/>
                <w:noProof/>
                <w:sz w:val="22"/>
              </w:rPr>
              <w:tab/>
            </w:r>
            <w:r w:rsidR="00B54406" w:rsidRPr="00C5672A">
              <w:rPr>
                <w:rStyle w:val="Hyperlink"/>
                <w:noProof/>
              </w:rPr>
              <w:t>Forensic Accounting Techniques and Fund Misappropriation</w:t>
            </w:r>
            <w:r w:rsidR="00B54406">
              <w:rPr>
                <w:noProof/>
                <w:webHidden/>
              </w:rPr>
              <w:tab/>
            </w:r>
            <w:r w:rsidR="00B54406">
              <w:rPr>
                <w:noProof/>
                <w:webHidden/>
              </w:rPr>
              <w:fldChar w:fldCharType="begin"/>
            </w:r>
            <w:r w:rsidR="00B54406">
              <w:rPr>
                <w:noProof/>
                <w:webHidden/>
              </w:rPr>
              <w:instrText xml:space="preserve"> PAGEREF _Toc145951133 \h </w:instrText>
            </w:r>
            <w:r w:rsidR="00B54406">
              <w:rPr>
                <w:noProof/>
                <w:webHidden/>
              </w:rPr>
            </w:r>
            <w:r w:rsidR="00B54406">
              <w:rPr>
                <w:noProof/>
                <w:webHidden/>
              </w:rPr>
              <w:fldChar w:fldCharType="separate"/>
            </w:r>
            <w:r w:rsidR="00B54406">
              <w:rPr>
                <w:noProof/>
                <w:webHidden/>
              </w:rPr>
              <w:t>169</w:t>
            </w:r>
            <w:r w:rsidR="00B54406">
              <w:rPr>
                <w:noProof/>
                <w:webHidden/>
              </w:rPr>
              <w:fldChar w:fldCharType="end"/>
            </w:r>
          </w:hyperlink>
        </w:p>
        <w:p w14:paraId="143D805C" w14:textId="0AC6B7E1"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134" w:history="1">
            <w:r w:rsidR="00B54406" w:rsidRPr="00C5672A">
              <w:rPr>
                <w:rStyle w:val="Hyperlink"/>
                <w:bCs/>
                <w:noProof/>
                <w14:scene3d>
                  <w14:camera w14:prst="orthographicFront"/>
                  <w14:lightRig w14:rig="threePt" w14:dir="t">
                    <w14:rot w14:lat="0" w14:lon="0" w14:rev="0"/>
                  </w14:lightRig>
                </w14:scene3d>
              </w:rPr>
              <w:t>4.5.2</w:t>
            </w:r>
            <w:r w:rsidR="00B54406">
              <w:rPr>
                <w:rFonts w:asciiTheme="minorHAnsi" w:eastAsiaTheme="minorEastAsia" w:hAnsiTheme="minorHAnsi" w:cstheme="minorBidi"/>
                <w:noProof/>
                <w:sz w:val="22"/>
              </w:rPr>
              <w:tab/>
            </w:r>
            <w:r w:rsidR="00B54406" w:rsidRPr="00C5672A">
              <w:rPr>
                <w:rStyle w:val="Hyperlink"/>
                <w:noProof/>
              </w:rPr>
              <w:t>Effect of Forensic Accounting Techniques on Value for Money Practices</w:t>
            </w:r>
            <w:r w:rsidR="00B54406">
              <w:rPr>
                <w:noProof/>
                <w:webHidden/>
              </w:rPr>
              <w:tab/>
            </w:r>
            <w:r w:rsidR="00B54406">
              <w:rPr>
                <w:noProof/>
                <w:webHidden/>
              </w:rPr>
              <w:fldChar w:fldCharType="begin"/>
            </w:r>
            <w:r w:rsidR="00B54406">
              <w:rPr>
                <w:noProof/>
                <w:webHidden/>
              </w:rPr>
              <w:instrText xml:space="preserve"> PAGEREF _Toc145951134 \h </w:instrText>
            </w:r>
            <w:r w:rsidR="00B54406">
              <w:rPr>
                <w:noProof/>
                <w:webHidden/>
              </w:rPr>
            </w:r>
            <w:r w:rsidR="00B54406">
              <w:rPr>
                <w:noProof/>
                <w:webHidden/>
              </w:rPr>
              <w:fldChar w:fldCharType="separate"/>
            </w:r>
            <w:r w:rsidR="00B54406">
              <w:rPr>
                <w:noProof/>
                <w:webHidden/>
              </w:rPr>
              <w:t>170</w:t>
            </w:r>
            <w:r w:rsidR="00B54406">
              <w:rPr>
                <w:noProof/>
                <w:webHidden/>
              </w:rPr>
              <w:fldChar w:fldCharType="end"/>
            </w:r>
          </w:hyperlink>
        </w:p>
        <w:p w14:paraId="16720C8F" w14:textId="66477F43"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135" w:history="1">
            <w:r w:rsidR="00B54406" w:rsidRPr="00C5672A">
              <w:rPr>
                <w:rStyle w:val="Hyperlink"/>
                <w:bCs/>
                <w:noProof/>
                <w14:scene3d>
                  <w14:camera w14:prst="orthographicFront"/>
                  <w14:lightRig w14:rig="threePt" w14:dir="t">
                    <w14:rot w14:lat="0" w14:lon="0" w14:rev="0"/>
                  </w14:lightRig>
                </w14:scene3d>
              </w:rPr>
              <w:t>4.5.3</w:t>
            </w:r>
            <w:r w:rsidR="00B54406">
              <w:rPr>
                <w:rFonts w:asciiTheme="minorHAnsi" w:eastAsiaTheme="minorEastAsia" w:hAnsiTheme="minorHAnsi" w:cstheme="minorBidi"/>
                <w:noProof/>
                <w:sz w:val="22"/>
              </w:rPr>
              <w:tab/>
            </w:r>
            <w:r w:rsidR="00B54406" w:rsidRPr="00C5672A">
              <w:rPr>
                <w:rStyle w:val="Hyperlink"/>
                <w:noProof/>
              </w:rPr>
              <w:t>Effect of Forensic Accounting Techniques on Creative Accounting Practices</w:t>
            </w:r>
            <w:r w:rsidR="00B54406">
              <w:rPr>
                <w:noProof/>
                <w:webHidden/>
              </w:rPr>
              <w:tab/>
            </w:r>
            <w:r w:rsidR="00B54406">
              <w:rPr>
                <w:noProof/>
                <w:webHidden/>
              </w:rPr>
              <w:fldChar w:fldCharType="begin"/>
            </w:r>
            <w:r w:rsidR="00B54406">
              <w:rPr>
                <w:noProof/>
                <w:webHidden/>
              </w:rPr>
              <w:instrText xml:space="preserve"> PAGEREF _Toc145951135 \h </w:instrText>
            </w:r>
            <w:r w:rsidR="00B54406">
              <w:rPr>
                <w:noProof/>
                <w:webHidden/>
              </w:rPr>
            </w:r>
            <w:r w:rsidR="00B54406">
              <w:rPr>
                <w:noProof/>
                <w:webHidden/>
              </w:rPr>
              <w:fldChar w:fldCharType="separate"/>
            </w:r>
            <w:r w:rsidR="00B54406">
              <w:rPr>
                <w:noProof/>
                <w:webHidden/>
              </w:rPr>
              <w:t>171</w:t>
            </w:r>
            <w:r w:rsidR="00B54406">
              <w:rPr>
                <w:noProof/>
                <w:webHidden/>
              </w:rPr>
              <w:fldChar w:fldCharType="end"/>
            </w:r>
          </w:hyperlink>
        </w:p>
        <w:p w14:paraId="30589A33" w14:textId="58F9F786"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136" w:history="1">
            <w:r w:rsidR="00B54406" w:rsidRPr="00C5672A">
              <w:rPr>
                <w:rStyle w:val="Hyperlink"/>
                <w:bCs/>
                <w:noProof/>
                <w14:scene3d>
                  <w14:camera w14:prst="orthographicFront"/>
                  <w14:lightRig w14:rig="threePt" w14:dir="t">
                    <w14:rot w14:lat="0" w14:lon="0" w14:rev="0"/>
                  </w14:lightRig>
                </w14:scene3d>
              </w:rPr>
              <w:t>4.5.4</w:t>
            </w:r>
            <w:r w:rsidR="00B54406">
              <w:rPr>
                <w:rFonts w:asciiTheme="minorHAnsi" w:eastAsiaTheme="minorEastAsia" w:hAnsiTheme="minorHAnsi" w:cstheme="minorBidi"/>
                <w:noProof/>
                <w:sz w:val="22"/>
              </w:rPr>
              <w:tab/>
            </w:r>
            <w:r w:rsidR="00B54406" w:rsidRPr="00C5672A">
              <w:rPr>
                <w:rStyle w:val="Hyperlink"/>
                <w:noProof/>
              </w:rPr>
              <w:t>Effect of  Forensic Accounting Techniques on Procurement Practices</w:t>
            </w:r>
            <w:r w:rsidR="00B54406">
              <w:rPr>
                <w:noProof/>
                <w:webHidden/>
              </w:rPr>
              <w:tab/>
            </w:r>
            <w:r w:rsidR="00B54406">
              <w:rPr>
                <w:noProof/>
                <w:webHidden/>
              </w:rPr>
              <w:fldChar w:fldCharType="begin"/>
            </w:r>
            <w:r w:rsidR="00B54406">
              <w:rPr>
                <w:noProof/>
                <w:webHidden/>
              </w:rPr>
              <w:instrText xml:space="preserve"> PAGEREF _Toc145951136 \h </w:instrText>
            </w:r>
            <w:r w:rsidR="00B54406">
              <w:rPr>
                <w:noProof/>
                <w:webHidden/>
              </w:rPr>
            </w:r>
            <w:r w:rsidR="00B54406">
              <w:rPr>
                <w:noProof/>
                <w:webHidden/>
              </w:rPr>
              <w:fldChar w:fldCharType="separate"/>
            </w:r>
            <w:r w:rsidR="00B54406">
              <w:rPr>
                <w:noProof/>
                <w:webHidden/>
              </w:rPr>
              <w:t>172</w:t>
            </w:r>
            <w:r w:rsidR="00B54406">
              <w:rPr>
                <w:noProof/>
                <w:webHidden/>
              </w:rPr>
              <w:fldChar w:fldCharType="end"/>
            </w:r>
          </w:hyperlink>
        </w:p>
        <w:p w14:paraId="52205E9C" w14:textId="1755F79D" w:rsidR="00B54406" w:rsidRDefault="00271F03">
          <w:pPr>
            <w:pStyle w:val="TOC1"/>
            <w:tabs>
              <w:tab w:val="left" w:pos="440"/>
              <w:tab w:val="right" w:leader="dot" w:pos="9350"/>
            </w:tabs>
            <w:rPr>
              <w:rFonts w:asciiTheme="minorHAnsi" w:eastAsiaTheme="minorEastAsia" w:hAnsiTheme="minorHAnsi" w:cstheme="minorBidi"/>
              <w:noProof/>
              <w:sz w:val="22"/>
            </w:rPr>
          </w:pPr>
          <w:hyperlink w:anchor="_Toc145951137" w:history="1">
            <w:r w:rsidR="00B54406" w:rsidRPr="00C5672A">
              <w:rPr>
                <w:rStyle w:val="Hyperlink"/>
                <w:noProof/>
              </w:rPr>
              <w:t>CHAPTER FIVE</w:t>
            </w:r>
            <w:r w:rsidR="00B54406">
              <w:rPr>
                <w:noProof/>
                <w:webHidden/>
              </w:rPr>
              <w:tab/>
            </w:r>
            <w:r w:rsidR="00B54406">
              <w:rPr>
                <w:noProof/>
                <w:webHidden/>
              </w:rPr>
              <w:fldChar w:fldCharType="begin"/>
            </w:r>
            <w:r w:rsidR="00B54406">
              <w:rPr>
                <w:noProof/>
                <w:webHidden/>
              </w:rPr>
              <w:instrText xml:space="preserve"> PAGEREF _Toc145951137 \h </w:instrText>
            </w:r>
            <w:r w:rsidR="00B54406">
              <w:rPr>
                <w:noProof/>
                <w:webHidden/>
              </w:rPr>
            </w:r>
            <w:r w:rsidR="00B54406">
              <w:rPr>
                <w:noProof/>
                <w:webHidden/>
              </w:rPr>
              <w:fldChar w:fldCharType="separate"/>
            </w:r>
            <w:r w:rsidR="00B54406">
              <w:rPr>
                <w:noProof/>
                <w:webHidden/>
              </w:rPr>
              <w:t>174</w:t>
            </w:r>
            <w:r w:rsidR="00B54406">
              <w:rPr>
                <w:noProof/>
                <w:webHidden/>
              </w:rPr>
              <w:fldChar w:fldCharType="end"/>
            </w:r>
          </w:hyperlink>
        </w:p>
        <w:p w14:paraId="3EDA5679" w14:textId="26CD1ABC" w:rsidR="00B54406" w:rsidRDefault="00271F03">
          <w:pPr>
            <w:pStyle w:val="TOC1"/>
            <w:tabs>
              <w:tab w:val="right" w:leader="dot" w:pos="9350"/>
            </w:tabs>
            <w:rPr>
              <w:rFonts w:asciiTheme="minorHAnsi" w:eastAsiaTheme="minorEastAsia" w:hAnsiTheme="minorHAnsi" w:cstheme="minorBidi"/>
              <w:noProof/>
              <w:sz w:val="22"/>
            </w:rPr>
          </w:pPr>
          <w:hyperlink w:anchor="_Toc145951138" w:history="1">
            <w:r w:rsidR="00B54406" w:rsidRPr="00C5672A">
              <w:rPr>
                <w:rStyle w:val="Hyperlink"/>
                <w:noProof/>
              </w:rPr>
              <w:t>SUMMARY, CONCLUSION AND RECOMMENDATIONSSIONS AND</w:t>
            </w:r>
            <w:r w:rsidR="00B54406">
              <w:rPr>
                <w:noProof/>
                <w:webHidden/>
              </w:rPr>
              <w:tab/>
            </w:r>
            <w:r w:rsidR="00B54406">
              <w:rPr>
                <w:noProof/>
                <w:webHidden/>
              </w:rPr>
              <w:fldChar w:fldCharType="begin"/>
            </w:r>
            <w:r w:rsidR="00B54406">
              <w:rPr>
                <w:noProof/>
                <w:webHidden/>
              </w:rPr>
              <w:instrText xml:space="preserve"> PAGEREF _Toc145951138 \h </w:instrText>
            </w:r>
            <w:r w:rsidR="00B54406">
              <w:rPr>
                <w:noProof/>
                <w:webHidden/>
              </w:rPr>
            </w:r>
            <w:r w:rsidR="00B54406">
              <w:rPr>
                <w:noProof/>
                <w:webHidden/>
              </w:rPr>
              <w:fldChar w:fldCharType="separate"/>
            </w:r>
            <w:r w:rsidR="00B54406">
              <w:rPr>
                <w:noProof/>
                <w:webHidden/>
              </w:rPr>
              <w:t>174</w:t>
            </w:r>
            <w:r w:rsidR="00B54406">
              <w:rPr>
                <w:noProof/>
                <w:webHidden/>
              </w:rPr>
              <w:fldChar w:fldCharType="end"/>
            </w:r>
          </w:hyperlink>
        </w:p>
        <w:p w14:paraId="59342497" w14:textId="60B71990"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139" w:history="1">
            <w:r w:rsidR="00B54406" w:rsidRPr="00C5672A">
              <w:rPr>
                <w:rStyle w:val="Hyperlink"/>
                <w:noProof/>
                <w14:scene3d>
                  <w14:camera w14:prst="orthographicFront"/>
                  <w14:lightRig w14:rig="threePt" w14:dir="t">
                    <w14:rot w14:lat="0" w14:lon="0" w14:rev="0"/>
                  </w14:lightRig>
                </w14:scene3d>
              </w:rPr>
              <w:t>5.1</w:t>
            </w:r>
            <w:r w:rsidR="00B54406">
              <w:rPr>
                <w:rFonts w:asciiTheme="minorHAnsi" w:eastAsiaTheme="minorEastAsia" w:hAnsiTheme="minorHAnsi" w:cstheme="minorBidi"/>
                <w:noProof/>
                <w:sz w:val="22"/>
              </w:rPr>
              <w:tab/>
            </w:r>
            <w:r w:rsidR="00B54406" w:rsidRPr="00C5672A">
              <w:rPr>
                <w:rStyle w:val="Hyperlink"/>
                <w:noProof/>
              </w:rPr>
              <w:t>Summary</w:t>
            </w:r>
            <w:r w:rsidR="00B54406">
              <w:rPr>
                <w:noProof/>
                <w:webHidden/>
              </w:rPr>
              <w:tab/>
            </w:r>
            <w:r w:rsidR="00B54406">
              <w:rPr>
                <w:noProof/>
                <w:webHidden/>
              </w:rPr>
              <w:fldChar w:fldCharType="begin"/>
            </w:r>
            <w:r w:rsidR="00B54406">
              <w:rPr>
                <w:noProof/>
                <w:webHidden/>
              </w:rPr>
              <w:instrText xml:space="preserve"> PAGEREF _Toc145951139 \h </w:instrText>
            </w:r>
            <w:r w:rsidR="00B54406">
              <w:rPr>
                <w:noProof/>
                <w:webHidden/>
              </w:rPr>
            </w:r>
            <w:r w:rsidR="00B54406">
              <w:rPr>
                <w:noProof/>
                <w:webHidden/>
              </w:rPr>
              <w:fldChar w:fldCharType="separate"/>
            </w:r>
            <w:r w:rsidR="00B54406">
              <w:rPr>
                <w:noProof/>
                <w:webHidden/>
              </w:rPr>
              <w:t>174</w:t>
            </w:r>
            <w:r w:rsidR="00B54406">
              <w:rPr>
                <w:noProof/>
                <w:webHidden/>
              </w:rPr>
              <w:fldChar w:fldCharType="end"/>
            </w:r>
          </w:hyperlink>
        </w:p>
        <w:p w14:paraId="406C9D61" w14:textId="2D02CDE4"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140" w:history="1">
            <w:r w:rsidR="00B54406" w:rsidRPr="00C5672A">
              <w:rPr>
                <w:rStyle w:val="Hyperlink"/>
                <w:bCs/>
                <w:noProof/>
                <w14:scene3d>
                  <w14:camera w14:prst="orthographicFront"/>
                  <w14:lightRig w14:rig="threePt" w14:dir="t">
                    <w14:rot w14:lat="0" w14:lon="0" w14:rev="0"/>
                  </w14:lightRig>
                </w14:scene3d>
              </w:rPr>
              <w:t>5.1.1</w:t>
            </w:r>
            <w:r w:rsidR="00B54406">
              <w:rPr>
                <w:rFonts w:asciiTheme="minorHAnsi" w:eastAsiaTheme="minorEastAsia" w:hAnsiTheme="minorHAnsi" w:cstheme="minorBidi"/>
                <w:noProof/>
                <w:sz w:val="22"/>
              </w:rPr>
              <w:tab/>
            </w:r>
            <w:r w:rsidR="00B54406" w:rsidRPr="00C5672A">
              <w:rPr>
                <w:rStyle w:val="Hyperlink"/>
                <w:noProof/>
              </w:rPr>
              <w:t>Summary of the Study</w:t>
            </w:r>
            <w:r w:rsidR="00B54406">
              <w:rPr>
                <w:noProof/>
                <w:webHidden/>
              </w:rPr>
              <w:tab/>
            </w:r>
            <w:r w:rsidR="00B54406">
              <w:rPr>
                <w:noProof/>
                <w:webHidden/>
              </w:rPr>
              <w:fldChar w:fldCharType="begin"/>
            </w:r>
            <w:r w:rsidR="00B54406">
              <w:rPr>
                <w:noProof/>
                <w:webHidden/>
              </w:rPr>
              <w:instrText xml:space="preserve"> PAGEREF _Toc145951140 \h </w:instrText>
            </w:r>
            <w:r w:rsidR="00B54406">
              <w:rPr>
                <w:noProof/>
                <w:webHidden/>
              </w:rPr>
            </w:r>
            <w:r w:rsidR="00B54406">
              <w:rPr>
                <w:noProof/>
                <w:webHidden/>
              </w:rPr>
              <w:fldChar w:fldCharType="separate"/>
            </w:r>
            <w:r w:rsidR="00B54406">
              <w:rPr>
                <w:noProof/>
                <w:webHidden/>
              </w:rPr>
              <w:t>174</w:t>
            </w:r>
            <w:r w:rsidR="00B54406">
              <w:rPr>
                <w:noProof/>
                <w:webHidden/>
              </w:rPr>
              <w:fldChar w:fldCharType="end"/>
            </w:r>
          </w:hyperlink>
        </w:p>
        <w:p w14:paraId="21DE7AFD" w14:textId="2589223C" w:rsidR="00B54406" w:rsidRDefault="00271F03">
          <w:pPr>
            <w:pStyle w:val="TOC3"/>
            <w:tabs>
              <w:tab w:val="left" w:pos="1320"/>
              <w:tab w:val="right" w:leader="dot" w:pos="9350"/>
            </w:tabs>
            <w:rPr>
              <w:rFonts w:asciiTheme="minorHAnsi" w:eastAsiaTheme="minorEastAsia" w:hAnsiTheme="minorHAnsi" w:cstheme="minorBidi"/>
              <w:noProof/>
              <w:sz w:val="22"/>
            </w:rPr>
          </w:pPr>
          <w:hyperlink w:anchor="_Toc145951141" w:history="1">
            <w:r w:rsidR="00B54406" w:rsidRPr="00C5672A">
              <w:rPr>
                <w:rStyle w:val="Hyperlink"/>
                <w:bCs/>
                <w:noProof/>
                <w14:scene3d>
                  <w14:camera w14:prst="orthographicFront"/>
                  <w14:lightRig w14:rig="threePt" w14:dir="t">
                    <w14:rot w14:lat="0" w14:lon="0" w14:rev="0"/>
                  </w14:lightRig>
                </w14:scene3d>
              </w:rPr>
              <w:t>5.1.2</w:t>
            </w:r>
            <w:r w:rsidR="00B54406">
              <w:rPr>
                <w:rFonts w:asciiTheme="minorHAnsi" w:eastAsiaTheme="minorEastAsia" w:hAnsiTheme="minorHAnsi" w:cstheme="minorBidi"/>
                <w:noProof/>
                <w:sz w:val="22"/>
              </w:rPr>
              <w:tab/>
            </w:r>
            <w:r w:rsidR="00B54406" w:rsidRPr="00C5672A">
              <w:rPr>
                <w:rStyle w:val="Hyperlink"/>
                <w:noProof/>
              </w:rPr>
              <w:t>Summary of Findings</w:t>
            </w:r>
            <w:r w:rsidR="00B54406">
              <w:rPr>
                <w:noProof/>
                <w:webHidden/>
              </w:rPr>
              <w:tab/>
            </w:r>
            <w:r w:rsidR="00B54406">
              <w:rPr>
                <w:noProof/>
                <w:webHidden/>
              </w:rPr>
              <w:fldChar w:fldCharType="begin"/>
            </w:r>
            <w:r w:rsidR="00B54406">
              <w:rPr>
                <w:noProof/>
                <w:webHidden/>
              </w:rPr>
              <w:instrText xml:space="preserve"> PAGEREF _Toc145951141 \h </w:instrText>
            </w:r>
            <w:r w:rsidR="00B54406">
              <w:rPr>
                <w:noProof/>
                <w:webHidden/>
              </w:rPr>
            </w:r>
            <w:r w:rsidR="00B54406">
              <w:rPr>
                <w:noProof/>
                <w:webHidden/>
              </w:rPr>
              <w:fldChar w:fldCharType="separate"/>
            </w:r>
            <w:r w:rsidR="00B54406">
              <w:rPr>
                <w:noProof/>
                <w:webHidden/>
              </w:rPr>
              <w:t>176</w:t>
            </w:r>
            <w:r w:rsidR="00B54406">
              <w:rPr>
                <w:noProof/>
                <w:webHidden/>
              </w:rPr>
              <w:fldChar w:fldCharType="end"/>
            </w:r>
          </w:hyperlink>
        </w:p>
        <w:p w14:paraId="6F211333" w14:textId="7F6EA11F"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142" w:history="1">
            <w:r w:rsidR="00B54406" w:rsidRPr="00C5672A">
              <w:rPr>
                <w:rStyle w:val="Hyperlink"/>
                <w:noProof/>
                <w14:scene3d>
                  <w14:camera w14:prst="orthographicFront"/>
                  <w14:lightRig w14:rig="threePt" w14:dir="t">
                    <w14:rot w14:lat="0" w14:lon="0" w14:rev="0"/>
                  </w14:lightRig>
                </w14:scene3d>
              </w:rPr>
              <w:t>5.2</w:t>
            </w:r>
            <w:r w:rsidR="00B54406">
              <w:rPr>
                <w:rFonts w:asciiTheme="minorHAnsi" w:eastAsiaTheme="minorEastAsia" w:hAnsiTheme="minorHAnsi" w:cstheme="minorBidi"/>
                <w:noProof/>
                <w:sz w:val="22"/>
              </w:rPr>
              <w:tab/>
            </w:r>
            <w:r w:rsidR="00B54406" w:rsidRPr="00C5672A">
              <w:rPr>
                <w:rStyle w:val="Hyperlink"/>
                <w:noProof/>
              </w:rPr>
              <w:t>Conclusion</w:t>
            </w:r>
            <w:r w:rsidR="00B54406">
              <w:rPr>
                <w:noProof/>
                <w:webHidden/>
              </w:rPr>
              <w:tab/>
            </w:r>
            <w:r w:rsidR="00B54406">
              <w:rPr>
                <w:noProof/>
                <w:webHidden/>
              </w:rPr>
              <w:fldChar w:fldCharType="begin"/>
            </w:r>
            <w:r w:rsidR="00B54406">
              <w:rPr>
                <w:noProof/>
                <w:webHidden/>
              </w:rPr>
              <w:instrText xml:space="preserve"> PAGEREF _Toc145951142 \h </w:instrText>
            </w:r>
            <w:r w:rsidR="00B54406">
              <w:rPr>
                <w:noProof/>
                <w:webHidden/>
              </w:rPr>
            </w:r>
            <w:r w:rsidR="00B54406">
              <w:rPr>
                <w:noProof/>
                <w:webHidden/>
              </w:rPr>
              <w:fldChar w:fldCharType="separate"/>
            </w:r>
            <w:r w:rsidR="00B54406">
              <w:rPr>
                <w:noProof/>
                <w:webHidden/>
              </w:rPr>
              <w:t>180</w:t>
            </w:r>
            <w:r w:rsidR="00B54406">
              <w:rPr>
                <w:noProof/>
                <w:webHidden/>
              </w:rPr>
              <w:fldChar w:fldCharType="end"/>
            </w:r>
          </w:hyperlink>
        </w:p>
        <w:p w14:paraId="62EA7CD1" w14:textId="079EDF64"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143" w:history="1">
            <w:r w:rsidR="00B54406" w:rsidRPr="00C5672A">
              <w:rPr>
                <w:rStyle w:val="Hyperlink"/>
                <w:noProof/>
                <w14:scene3d>
                  <w14:camera w14:prst="orthographicFront"/>
                  <w14:lightRig w14:rig="threePt" w14:dir="t">
                    <w14:rot w14:lat="0" w14:lon="0" w14:rev="0"/>
                  </w14:lightRig>
                </w14:scene3d>
              </w:rPr>
              <w:t>5.3</w:t>
            </w:r>
            <w:r w:rsidR="00B54406">
              <w:rPr>
                <w:rFonts w:asciiTheme="minorHAnsi" w:eastAsiaTheme="minorEastAsia" w:hAnsiTheme="minorHAnsi" w:cstheme="minorBidi"/>
                <w:noProof/>
                <w:sz w:val="22"/>
              </w:rPr>
              <w:tab/>
            </w:r>
            <w:r w:rsidR="00B54406" w:rsidRPr="00C5672A">
              <w:rPr>
                <w:rStyle w:val="Hyperlink"/>
                <w:noProof/>
              </w:rPr>
              <w:t>Recommendations</w:t>
            </w:r>
            <w:r w:rsidR="00B54406">
              <w:rPr>
                <w:noProof/>
                <w:webHidden/>
              </w:rPr>
              <w:tab/>
            </w:r>
            <w:r w:rsidR="00B54406">
              <w:rPr>
                <w:noProof/>
                <w:webHidden/>
              </w:rPr>
              <w:fldChar w:fldCharType="begin"/>
            </w:r>
            <w:r w:rsidR="00B54406">
              <w:rPr>
                <w:noProof/>
                <w:webHidden/>
              </w:rPr>
              <w:instrText xml:space="preserve"> PAGEREF _Toc145951143 \h </w:instrText>
            </w:r>
            <w:r w:rsidR="00B54406">
              <w:rPr>
                <w:noProof/>
                <w:webHidden/>
              </w:rPr>
            </w:r>
            <w:r w:rsidR="00B54406">
              <w:rPr>
                <w:noProof/>
                <w:webHidden/>
              </w:rPr>
              <w:fldChar w:fldCharType="separate"/>
            </w:r>
            <w:r w:rsidR="00B54406">
              <w:rPr>
                <w:noProof/>
                <w:webHidden/>
              </w:rPr>
              <w:t>181</w:t>
            </w:r>
            <w:r w:rsidR="00B54406">
              <w:rPr>
                <w:noProof/>
                <w:webHidden/>
              </w:rPr>
              <w:fldChar w:fldCharType="end"/>
            </w:r>
          </w:hyperlink>
        </w:p>
        <w:p w14:paraId="58C35057" w14:textId="29822A57"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144" w:history="1">
            <w:r w:rsidR="00B54406" w:rsidRPr="00C5672A">
              <w:rPr>
                <w:rStyle w:val="Hyperlink"/>
                <w:noProof/>
                <w14:scene3d>
                  <w14:camera w14:prst="orthographicFront"/>
                  <w14:lightRig w14:rig="threePt" w14:dir="t">
                    <w14:rot w14:lat="0" w14:lon="0" w14:rev="0"/>
                  </w14:lightRig>
                </w14:scene3d>
              </w:rPr>
              <w:t>5.4</w:t>
            </w:r>
            <w:r w:rsidR="00B54406">
              <w:rPr>
                <w:rFonts w:asciiTheme="minorHAnsi" w:eastAsiaTheme="minorEastAsia" w:hAnsiTheme="minorHAnsi" w:cstheme="minorBidi"/>
                <w:noProof/>
                <w:sz w:val="22"/>
              </w:rPr>
              <w:tab/>
            </w:r>
            <w:r w:rsidR="00B54406" w:rsidRPr="00C5672A">
              <w:rPr>
                <w:rStyle w:val="Hyperlink"/>
                <w:noProof/>
              </w:rPr>
              <w:t>Contributions to Knowledge</w:t>
            </w:r>
            <w:r w:rsidR="00B54406">
              <w:rPr>
                <w:noProof/>
                <w:webHidden/>
              </w:rPr>
              <w:tab/>
            </w:r>
            <w:r w:rsidR="00B54406">
              <w:rPr>
                <w:noProof/>
                <w:webHidden/>
              </w:rPr>
              <w:fldChar w:fldCharType="begin"/>
            </w:r>
            <w:r w:rsidR="00B54406">
              <w:rPr>
                <w:noProof/>
                <w:webHidden/>
              </w:rPr>
              <w:instrText xml:space="preserve"> PAGEREF _Toc145951144 \h </w:instrText>
            </w:r>
            <w:r w:rsidR="00B54406">
              <w:rPr>
                <w:noProof/>
                <w:webHidden/>
              </w:rPr>
            </w:r>
            <w:r w:rsidR="00B54406">
              <w:rPr>
                <w:noProof/>
                <w:webHidden/>
              </w:rPr>
              <w:fldChar w:fldCharType="separate"/>
            </w:r>
            <w:r w:rsidR="00B54406">
              <w:rPr>
                <w:noProof/>
                <w:webHidden/>
              </w:rPr>
              <w:t>182</w:t>
            </w:r>
            <w:r w:rsidR="00B54406">
              <w:rPr>
                <w:noProof/>
                <w:webHidden/>
              </w:rPr>
              <w:fldChar w:fldCharType="end"/>
            </w:r>
          </w:hyperlink>
        </w:p>
        <w:p w14:paraId="57EE0174" w14:textId="58A5A80A" w:rsidR="00B54406" w:rsidRDefault="00271F03">
          <w:pPr>
            <w:pStyle w:val="TOC2"/>
            <w:tabs>
              <w:tab w:val="left" w:pos="880"/>
              <w:tab w:val="right" w:leader="dot" w:pos="9350"/>
            </w:tabs>
            <w:rPr>
              <w:rFonts w:asciiTheme="minorHAnsi" w:eastAsiaTheme="minorEastAsia" w:hAnsiTheme="minorHAnsi" w:cstheme="minorBidi"/>
              <w:noProof/>
              <w:sz w:val="22"/>
            </w:rPr>
          </w:pPr>
          <w:hyperlink w:anchor="_Toc145951145" w:history="1">
            <w:r w:rsidR="00B54406" w:rsidRPr="00C5672A">
              <w:rPr>
                <w:rStyle w:val="Hyperlink"/>
                <w:noProof/>
                <w14:scene3d>
                  <w14:camera w14:prst="orthographicFront"/>
                  <w14:lightRig w14:rig="threePt" w14:dir="t">
                    <w14:rot w14:lat="0" w14:lon="0" w14:rev="0"/>
                  </w14:lightRig>
                </w14:scene3d>
              </w:rPr>
              <w:t>5.5</w:t>
            </w:r>
            <w:r w:rsidR="00B54406">
              <w:rPr>
                <w:rFonts w:asciiTheme="minorHAnsi" w:eastAsiaTheme="minorEastAsia" w:hAnsiTheme="minorHAnsi" w:cstheme="minorBidi"/>
                <w:noProof/>
                <w:sz w:val="22"/>
              </w:rPr>
              <w:tab/>
            </w:r>
            <w:r w:rsidR="00B54406" w:rsidRPr="00C5672A">
              <w:rPr>
                <w:rStyle w:val="Hyperlink"/>
                <w:noProof/>
              </w:rPr>
              <w:t>Suggestions for Further Study</w:t>
            </w:r>
            <w:r w:rsidR="00B54406">
              <w:rPr>
                <w:noProof/>
                <w:webHidden/>
              </w:rPr>
              <w:tab/>
            </w:r>
            <w:r w:rsidR="00B54406">
              <w:rPr>
                <w:noProof/>
                <w:webHidden/>
              </w:rPr>
              <w:fldChar w:fldCharType="begin"/>
            </w:r>
            <w:r w:rsidR="00B54406">
              <w:rPr>
                <w:noProof/>
                <w:webHidden/>
              </w:rPr>
              <w:instrText xml:space="preserve"> PAGEREF _Toc145951145 \h </w:instrText>
            </w:r>
            <w:r w:rsidR="00B54406">
              <w:rPr>
                <w:noProof/>
                <w:webHidden/>
              </w:rPr>
            </w:r>
            <w:r w:rsidR="00B54406">
              <w:rPr>
                <w:noProof/>
                <w:webHidden/>
              </w:rPr>
              <w:fldChar w:fldCharType="separate"/>
            </w:r>
            <w:r w:rsidR="00B54406">
              <w:rPr>
                <w:noProof/>
                <w:webHidden/>
              </w:rPr>
              <w:t>183</w:t>
            </w:r>
            <w:r w:rsidR="00B54406">
              <w:rPr>
                <w:noProof/>
                <w:webHidden/>
              </w:rPr>
              <w:fldChar w:fldCharType="end"/>
            </w:r>
          </w:hyperlink>
        </w:p>
        <w:p w14:paraId="60BAB5E6" w14:textId="570FD348" w:rsidR="00B54406" w:rsidRDefault="00271F03">
          <w:pPr>
            <w:pStyle w:val="TOC1"/>
            <w:tabs>
              <w:tab w:val="right" w:leader="dot" w:pos="9350"/>
            </w:tabs>
            <w:rPr>
              <w:rFonts w:asciiTheme="minorHAnsi" w:eastAsiaTheme="minorEastAsia" w:hAnsiTheme="minorHAnsi" w:cstheme="minorBidi"/>
              <w:noProof/>
              <w:sz w:val="22"/>
            </w:rPr>
          </w:pPr>
          <w:hyperlink w:anchor="_Toc145951146" w:history="1">
            <w:r w:rsidR="00B54406" w:rsidRPr="00C5672A">
              <w:rPr>
                <w:rStyle w:val="Hyperlink"/>
                <w:noProof/>
              </w:rPr>
              <w:t>REFERENCES</w:t>
            </w:r>
            <w:r w:rsidR="00B54406">
              <w:rPr>
                <w:noProof/>
                <w:webHidden/>
              </w:rPr>
              <w:tab/>
            </w:r>
            <w:r w:rsidR="00B54406">
              <w:rPr>
                <w:noProof/>
                <w:webHidden/>
              </w:rPr>
              <w:fldChar w:fldCharType="begin"/>
            </w:r>
            <w:r w:rsidR="00B54406">
              <w:rPr>
                <w:noProof/>
                <w:webHidden/>
              </w:rPr>
              <w:instrText xml:space="preserve"> PAGEREF _Toc145951146 \h </w:instrText>
            </w:r>
            <w:r w:rsidR="00B54406">
              <w:rPr>
                <w:noProof/>
                <w:webHidden/>
              </w:rPr>
            </w:r>
            <w:r w:rsidR="00B54406">
              <w:rPr>
                <w:noProof/>
                <w:webHidden/>
              </w:rPr>
              <w:fldChar w:fldCharType="separate"/>
            </w:r>
            <w:r w:rsidR="00B54406">
              <w:rPr>
                <w:noProof/>
                <w:webHidden/>
              </w:rPr>
              <w:t>184</w:t>
            </w:r>
            <w:r w:rsidR="00B54406">
              <w:rPr>
                <w:noProof/>
                <w:webHidden/>
              </w:rPr>
              <w:fldChar w:fldCharType="end"/>
            </w:r>
          </w:hyperlink>
        </w:p>
        <w:p w14:paraId="75E134EF" w14:textId="2B5483D7" w:rsidR="00B54406" w:rsidRDefault="00271F03">
          <w:pPr>
            <w:pStyle w:val="TOC1"/>
            <w:tabs>
              <w:tab w:val="right" w:leader="dot" w:pos="9350"/>
            </w:tabs>
            <w:rPr>
              <w:rFonts w:asciiTheme="minorHAnsi" w:eastAsiaTheme="minorEastAsia" w:hAnsiTheme="minorHAnsi" w:cstheme="minorBidi"/>
              <w:noProof/>
              <w:sz w:val="22"/>
            </w:rPr>
          </w:pPr>
          <w:hyperlink w:anchor="_Toc145951147" w:history="1">
            <w:r w:rsidR="00B54406" w:rsidRPr="00C5672A">
              <w:rPr>
                <w:rStyle w:val="Hyperlink"/>
                <w:noProof/>
              </w:rPr>
              <w:t>APPENDICES</w:t>
            </w:r>
            <w:r w:rsidR="00B54406">
              <w:rPr>
                <w:noProof/>
                <w:webHidden/>
              </w:rPr>
              <w:tab/>
            </w:r>
            <w:r w:rsidR="00B54406">
              <w:rPr>
                <w:noProof/>
                <w:webHidden/>
              </w:rPr>
              <w:fldChar w:fldCharType="begin"/>
            </w:r>
            <w:r w:rsidR="00B54406">
              <w:rPr>
                <w:noProof/>
                <w:webHidden/>
              </w:rPr>
              <w:instrText xml:space="preserve"> PAGEREF _Toc145951147 \h </w:instrText>
            </w:r>
            <w:r w:rsidR="00B54406">
              <w:rPr>
                <w:noProof/>
                <w:webHidden/>
              </w:rPr>
            </w:r>
            <w:r w:rsidR="00B54406">
              <w:rPr>
                <w:noProof/>
                <w:webHidden/>
              </w:rPr>
              <w:fldChar w:fldCharType="separate"/>
            </w:r>
            <w:r w:rsidR="00B54406">
              <w:rPr>
                <w:noProof/>
                <w:webHidden/>
              </w:rPr>
              <w:t>215</w:t>
            </w:r>
            <w:r w:rsidR="00B54406">
              <w:rPr>
                <w:noProof/>
                <w:webHidden/>
              </w:rPr>
              <w:fldChar w:fldCharType="end"/>
            </w:r>
          </w:hyperlink>
        </w:p>
        <w:p w14:paraId="5603FAB6" w14:textId="5BB8A2BE" w:rsidR="001B7341" w:rsidRPr="008B1465" w:rsidRDefault="001B7341">
          <w:r w:rsidRPr="008B1465">
            <w:fldChar w:fldCharType="end"/>
          </w:r>
        </w:p>
      </w:sdtContent>
    </w:sdt>
    <w:p w14:paraId="46224B36" w14:textId="74D5F7C7" w:rsidR="006510A8" w:rsidRPr="008B1465" w:rsidRDefault="00E2625B" w:rsidP="00EC1BC4">
      <w:pPr>
        <w:pStyle w:val="Heading1"/>
        <w:pageBreakBefore/>
        <w:numPr>
          <w:ilvl w:val="0"/>
          <w:numId w:val="0"/>
        </w:numPr>
        <w:spacing w:before="100" w:line="274" w:lineRule="auto"/>
      </w:pPr>
      <w:bookmarkStart w:id="11" w:name="_Toc145951065"/>
      <w:r w:rsidRPr="008B1465">
        <w:t>LIST OF TABLES</w:t>
      </w:r>
      <w:bookmarkEnd w:id="11"/>
    </w:p>
    <w:p w14:paraId="1BE72339" w14:textId="5AB81890" w:rsidR="00996C1B" w:rsidRDefault="0070586D">
      <w:pPr>
        <w:pStyle w:val="TableofFigures"/>
        <w:tabs>
          <w:tab w:val="right" w:leader="dot" w:pos="9350"/>
        </w:tabs>
        <w:rPr>
          <w:rFonts w:asciiTheme="minorHAnsi" w:eastAsiaTheme="minorEastAsia" w:hAnsiTheme="minorHAnsi" w:cstheme="minorBidi"/>
          <w:noProof/>
        </w:rPr>
      </w:pPr>
      <w:r w:rsidRPr="008B1465">
        <w:rPr>
          <w:rFonts w:ascii="Times New Roman" w:eastAsia="Calibri" w:hAnsi="Times New Roman"/>
          <w:b/>
          <w:bCs/>
          <w:sz w:val="24"/>
          <w:szCs w:val="24"/>
        </w:rPr>
        <w:fldChar w:fldCharType="begin"/>
      </w:r>
      <w:r w:rsidRPr="008B1465">
        <w:rPr>
          <w:rFonts w:ascii="Times New Roman" w:eastAsia="Calibri" w:hAnsi="Times New Roman"/>
          <w:b/>
          <w:bCs/>
          <w:sz w:val="24"/>
          <w:szCs w:val="24"/>
        </w:rPr>
        <w:instrText xml:space="preserve"> TOC \h \z \c "Table" </w:instrText>
      </w:r>
      <w:r w:rsidRPr="008B1465">
        <w:rPr>
          <w:rFonts w:ascii="Times New Roman" w:eastAsia="Calibri" w:hAnsi="Times New Roman"/>
          <w:b/>
          <w:bCs/>
          <w:sz w:val="24"/>
          <w:szCs w:val="24"/>
        </w:rPr>
        <w:fldChar w:fldCharType="separate"/>
      </w:r>
      <w:hyperlink w:anchor="_Toc145952330" w:history="1">
        <w:r w:rsidR="00996C1B" w:rsidRPr="008976CE">
          <w:rPr>
            <w:rStyle w:val="Hyperlink"/>
            <w:rFonts w:ascii="Times New Roman" w:eastAsiaTheme="majorEastAsia" w:hAnsi="Times New Roman"/>
            <w:noProof/>
          </w:rPr>
          <w:t xml:space="preserve">Table 2.1: </w:t>
        </w:r>
        <w:r w:rsidR="00996C1B" w:rsidRPr="008976CE">
          <w:rPr>
            <w:rStyle w:val="Hyperlink"/>
            <w:rFonts w:ascii="Times New Roman" w:eastAsia="Calibri" w:hAnsi="Times New Roman"/>
            <w:noProof/>
          </w:rPr>
          <w:t>Summary of Empirical Review</w:t>
        </w:r>
        <w:r w:rsidR="00996C1B">
          <w:rPr>
            <w:noProof/>
            <w:webHidden/>
          </w:rPr>
          <w:tab/>
        </w:r>
        <w:r w:rsidR="00996C1B">
          <w:rPr>
            <w:noProof/>
            <w:webHidden/>
          </w:rPr>
          <w:fldChar w:fldCharType="begin"/>
        </w:r>
        <w:r w:rsidR="00996C1B">
          <w:rPr>
            <w:noProof/>
            <w:webHidden/>
          </w:rPr>
          <w:instrText xml:space="preserve"> PAGEREF _Toc145952330 \h </w:instrText>
        </w:r>
        <w:r w:rsidR="00996C1B">
          <w:rPr>
            <w:noProof/>
            <w:webHidden/>
          </w:rPr>
        </w:r>
        <w:r w:rsidR="00996C1B">
          <w:rPr>
            <w:noProof/>
            <w:webHidden/>
          </w:rPr>
          <w:fldChar w:fldCharType="separate"/>
        </w:r>
        <w:r w:rsidR="00996C1B">
          <w:rPr>
            <w:noProof/>
            <w:webHidden/>
          </w:rPr>
          <w:t>97</w:t>
        </w:r>
        <w:r w:rsidR="00996C1B">
          <w:rPr>
            <w:noProof/>
            <w:webHidden/>
          </w:rPr>
          <w:fldChar w:fldCharType="end"/>
        </w:r>
      </w:hyperlink>
    </w:p>
    <w:p w14:paraId="0D3F0931" w14:textId="6CEC9831" w:rsidR="00996C1B" w:rsidRDefault="00271F03">
      <w:pPr>
        <w:pStyle w:val="TableofFigures"/>
        <w:tabs>
          <w:tab w:val="right" w:leader="dot" w:pos="9350"/>
        </w:tabs>
        <w:rPr>
          <w:rFonts w:asciiTheme="minorHAnsi" w:eastAsiaTheme="minorEastAsia" w:hAnsiTheme="minorHAnsi" w:cstheme="minorBidi"/>
          <w:noProof/>
        </w:rPr>
      </w:pPr>
      <w:hyperlink w:anchor="_Toc145952331" w:history="1">
        <w:r w:rsidR="00996C1B" w:rsidRPr="008976CE">
          <w:rPr>
            <w:rStyle w:val="Hyperlink"/>
            <w:rFonts w:ascii="Times New Roman" w:eastAsiaTheme="majorEastAsia" w:hAnsi="Times New Roman"/>
            <w:noProof/>
          </w:rPr>
          <w:t>Table 3.1: Distribution of Sample Size</w:t>
        </w:r>
        <w:r w:rsidR="00996C1B">
          <w:rPr>
            <w:noProof/>
            <w:webHidden/>
          </w:rPr>
          <w:tab/>
        </w:r>
        <w:r w:rsidR="00996C1B">
          <w:rPr>
            <w:noProof/>
            <w:webHidden/>
          </w:rPr>
          <w:fldChar w:fldCharType="begin"/>
        </w:r>
        <w:r w:rsidR="00996C1B">
          <w:rPr>
            <w:noProof/>
            <w:webHidden/>
          </w:rPr>
          <w:instrText xml:space="preserve"> PAGEREF _Toc145952331 \h </w:instrText>
        </w:r>
        <w:r w:rsidR="00996C1B">
          <w:rPr>
            <w:noProof/>
            <w:webHidden/>
          </w:rPr>
        </w:r>
        <w:r w:rsidR="00996C1B">
          <w:rPr>
            <w:noProof/>
            <w:webHidden/>
          </w:rPr>
          <w:fldChar w:fldCharType="separate"/>
        </w:r>
        <w:r w:rsidR="00996C1B">
          <w:rPr>
            <w:noProof/>
            <w:webHidden/>
          </w:rPr>
          <w:t>114</w:t>
        </w:r>
        <w:r w:rsidR="00996C1B">
          <w:rPr>
            <w:noProof/>
            <w:webHidden/>
          </w:rPr>
          <w:fldChar w:fldCharType="end"/>
        </w:r>
      </w:hyperlink>
    </w:p>
    <w:p w14:paraId="46505B37" w14:textId="0277A8B2" w:rsidR="00996C1B" w:rsidRDefault="00271F03">
      <w:pPr>
        <w:pStyle w:val="TableofFigures"/>
        <w:tabs>
          <w:tab w:val="right" w:leader="dot" w:pos="9350"/>
        </w:tabs>
        <w:rPr>
          <w:rFonts w:asciiTheme="minorHAnsi" w:eastAsiaTheme="minorEastAsia" w:hAnsiTheme="minorHAnsi" w:cstheme="minorBidi"/>
          <w:noProof/>
        </w:rPr>
      </w:pPr>
      <w:hyperlink w:anchor="_Toc145952332" w:history="1">
        <w:r w:rsidR="00996C1B" w:rsidRPr="008976CE">
          <w:rPr>
            <w:rStyle w:val="Hyperlink"/>
            <w:rFonts w:ascii="Times New Roman" w:eastAsiaTheme="majorEastAsia" w:hAnsi="Times New Roman"/>
            <w:noProof/>
          </w:rPr>
          <w:t xml:space="preserve">Table 3.3: </w:t>
        </w:r>
        <w:r w:rsidR="00996C1B" w:rsidRPr="008976CE">
          <w:rPr>
            <w:rStyle w:val="Hyperlink"/>
            <w:rFonts w:ascii="Times New Roman" w:eastAsia="DengXian" w:hAnsi="Times New Roman"/>
            <w:bCs/>
            <w:noProof/>
          </w:rPr>
          <w:t>A-priori expectation</w:t>
        </w:r>
        <w:r w:rsidR="00996C1B">
          <w:rPr>
            <w:noProof/>
            <w:webHidden/>
          </w:rPr>
          <w:tab/>
        </w:r>
        <w:r w:rsidR="00996C1B">
          <w:rPr>
            <w:noProof/>
            <w:webHidden/>
          </w:rPr>
          <w:fldChar w:fldCharType="begin"/>
        </w:r>
        <w:r w:rsidR="00996C1B">
          <w:rPr>
            <w:noProof/>
            <w:webHidden/>
          </w:rPr>
          <w:instrText xml:space="preserve"> PAGEREF _Toc145952332 \h </w:instrText>
        </w:r>
        <w:r w:rsidR="00996C1B">
          <w:rPr>
            <w:noProof/>
            <w:webHidden/>
          </w:rPr>
        </w:r>
        <w:r w:rsidR="00996C1B">
          <w:rPr>
            <w:noProof/>
            <w:webHidden/>
          </w:rPr>
          <w:fldChar w:fldCharType="separate"/>
        </w:r>
        <w:r w:rsidR="00996C1B">
          <w:rPr>
            <w:noProof/>
            <w:webHidden/>
          </w:rPr>
          <w:t>115</w:t>
        </w:r>
        <w:r w:rsidR="00996C1B">
          <w:rPr>
            <w:noProof/>
            <w:webHidden/>
          </w:rPr>
          <w:fldChar w:fldCharType="end"/>
        </w:r>
      </w:hyperlink>
    </w:p>
    <w:p w14:paraId="13C83296" w14:textId="62C897F4" w:rsidR="00996C1B" w:rsidRDefault="00271F03">
      <w:pPr>
        <w:pStyle w:val="TableofFigures"/>
        <w:tabs>
          <w:tab w:val="right" w:leader="dot" w:pos="9350"/>
        </w:tabs>
        <w:rPr>
          <w:rFonts w:asciiTheme="minorHAnsi" w:eastAsiaTheme="minorEastAsia" w:hAnsiTheme="minorHAnsi" w:cstheme="minorBidi"/>
          <w:noProof/>
        </w:rPr>
      </w:pPr>
      <w:hyperlink w:anchor="_Toc145952333" w:history="1">
        <w:r w:rsidR="00996C1B" w:rsidRPr="008976CE">
          <w:rPr>
            <w:rStyle w:val="Hyperlink"/>
            <w:rFonts w:ascii="Times New Roman" w:eastAsiaTheme="majorEastAsia" w:hAnsi="Times New Roman"/>
            <w:noProof/>
          </w:rPr>
          <w:t>Table 3.2: Reliability Statistics</w:t>
        </w:r>
        <w:r w:rsidR="00996C1B">
          <w:rPr>
            <w:noProof/>
            <w:webHidden/>
          </w:rPr>
          <w:tab/>
        </w:r>
        <w:r w:rsidR="00996C1B">
          <w:rPr>
            <w:noProof/>
            <w:webHidden/>
          </w:rPr>
          <w:fldChar w:fldCharType="begin"/>
        </w:r>
        <w:r w:rsidR="00996C1B">
          <w:rPr>
            <w:noProof/>
            <w:webHidden/>
          </w:rPr>
          <w:instrText xml:space="preserve"> PAGEREF _Toc145952333 \h </w:instrText>
        </w:r>
        <w:r w:rsidR="00996C1B">
          <w:rPr>
            <w:noProof/>
            <w:webHidden/>
          </w:rPr>
        </w:r>
        <w:r w:rsidR="00996C1B">
          <w:rPr>
            <w:noProof/>
            <w:webHidden/>
          </w:rPr>
          <w:fldChar w:fldCharType="separate"/>
        </w:r>
        <w:r w:rsidR="00996C1B">
          <w:rPr>
            <w:noProof/>
            <w:webHidden/>
          </w:rPr>
          <w:t>117</w:t>
        </w:r>
        <w:r w:rsidR="00996C1B">
          <w:rPr>
            <w:noProof/>
            <w:webHidden/>
          </w:rPr>
          <w:fldChar w:fldCharType="end"/>
        </w:r>
      </w:hyperlink>
    </w:p>
    <w:p w14:paraId="024963A9" w14:textId="10C8EB11" w:rsidR="00996C1B" w:rsidRDefault="00271F03">
      <w:pPr>
        <w:pStyle w:val="TableofFigures"/>
        <w:tabs>
          <w:tab w:val="right" w:leader="dot" w:pos="9350"/>
        </w:tabs>
        <w:rPr>
          <w:rFonts w:asciiTheme="minorHAnsi" w:eastAsiaTheme="minorEastAsia" w:hAnsiTheme="minorHAnsi" w:cstheme="minorBidi"/>
          <w:noProof/>
        </w:rPr>
      </w:pPr>
      <w:hyperlink w:anchor="_Toc145952334" w:history="1">
        <w:r w:rsidR="00996C1B" w:rsidRPr="008976CE">
          <w:rPr>
            <w:rStyle w:val="Hyperlink"/>
            <w:rFonts w:ascii="Times New Roman" w:eastAsiaTheme="majorEastAsia" w:hAnsi="Times New Roman"/>
            <w:noProof/>
          </w:rPr>
          <w:t>Table 4.1: Socio-Demographic Characteristics</w:t>
        </w:r>
        <w:r w:rsidR="00996C1B">
          <w:rPr>
            <w:noProof/>
            <w:webHidden/>
          </w:rPr>
          <w:tab/>
        </w:r>
        <w:r w:rsidR="00996C1B">
          <w:rPr>
            <w:noProof/>
            <w:webHidden/>
          </w:rPr>
          <w:fldChar w:fldCharType="begin"/>
        </w:r>
        <w:r w:rsidR="00996C1B">
          <w:rPr>
            <w:noProof/>
            <w:webHidden/>
          </w:rPr>
          <w:instrText xml:space="preserve"> PAGEREF _Toc145952334 \h </w:instrText>
        </w:r>
        <w:r w:rsidR="00996C1B">
          <w:rPr>
            <w:noProof/>
            <w:webHidden/>
          </w:rPr>
        </w:r>
        <w:r w:rsidR="00996C1B">
          <w:rPr>
            <w:noProof/>
            <w:webHidden/>
          </w:rPr>
          <w:fldChar w:fldCharType="separate"/>
        </w:r>
        <w:r w:rsidR="00996C1B">
          <w:rPr>
            <w:noProof/>
            <w:webHidden/>
          </w:rPr>
          <w:t>123</w:t>
        </w:r>
        <w:r w:rsidR="00996C1B">
          <w:rPr>
            <w:noProof/>
            <w:webHidden/>
          </w:rPr>
          <w:fldChar w:fldCharType="end"/>
        </w:r>
      </w:hyperlink>
    </w:p>
    <w:p w14:paraId="54810297" w14:textId="1599C57A" w:rsidR="00996C1B" w:rsidRDefault="00271F03">
      <w:pPr>
        <w:pStyle w:val="TableofFigures"/>
        <w:tabs>
          <w:tab w:val="right" w:leader="dot" w:pos="9350"/>
        </w:tabs>
        <w:rPr>
          <w:rFonts w:asciiTheme="minorHAnsi" w:eastAsiaTheme="minorEastAsia" w:hAnsiTheme="minorHAnsi" w:cstheme="minorBidi"/>
          <w:noProof/>
        </w:rPr>
      </w:pPr>
      <w:hyperlink w:anchor="_Toc145952335" w:history="1">
        <w:r w:rsidR="00996C1B" w:rsidRPr="008976CE">
          <w:rPr>
            <w:rStyle w:val="Hyperlink"/>
            <w:rFonts w:ascii="Times New Roman" w:eastAsiaTheme="majorEastAsia" w:hAnsi="Times New Roman"/>
            <w:noProof/>
          </w:rPr>
          <w:t>Table 4.2: Descriptive Analysis of Respondents’ Information on Investigation of Fraud</w:t>
        </w:r>
        <w:r w:rsidR="00996C1B">
          <w:rPr>
            <w:noProof/>
            <w:webHidden/>
          </w:rPr>
          <w:tab/>
        </w:r>
        <w:r w:rsidR="00996C1B">
          <w:rPr>
            <w:noProof/>
            <w:webHidden/>
          </w:rPr>
          <w:fldChar w:fldCharType="begin"/>
        </w:r>
        <w:r w:rsidR="00996C1B">
          <w:rPr>
            <w:noProof/>
            <w:webHidden/>
          </w:rPr>
          <w:instrText xml:space="preserve"> PAGEREF _Toc145952335 \h </w:instrText>
        </w:r>
        <w:r w:rsidR="00996C1B">
          <w:rPr>
            <w:noProof/>
            <w:webHidden/>
          </w:rPr>
        </w:r>
        <w:r w:rsidR="00996C1B">
          <w:rPr>
            <w:noProof/>
            <w:webHidden/>
          </w:rPr>
          <w:fldChar w:fldCharType="separate"/>
        </w:r>
        <w:r w:rsidR="00996C1B">
          <w:rPr>
            <w:noProof/>
            <w:webHidden/>
          </w:rPr>
          <w:t>125</w:t>
        </w:r>
        <w:r w:rsidR="00996C1B">
          <w:rPr>
            <w:noProof/>
            <w:webHidden/>
          </w:rPr>
          <w:fldChar w:fldCharType="end"/>
        </w:r>
      </w:hyperlink>
    </w:p>
    <w:p w14:paraId="744D3D89" w14:textId="65407DA1" w:rsidR="00996C1B" w:rsidRDefault="00271F03">
      <w:pPr>
        <w:pStyle w:val="TableofFigures"/>
        <w:tabs>
          <w:tab w:val="right" w:leader="dot" w:pos="9350"/>
        </w:tabs>
        <w:rPr>
          <w:rFonts w:asciiTheme="minorHAnsi" w:eastAsiaTheme="minorEastAsia" w:hAnsiTheme="minorHAnsi" w:cstheme="minorBidi"/>
          <w:noProof/>
        </w:rPr>
      </w:pPr>
      <w:hyperlink w:anchor="_Toc145952336" w:history="1">
        <w:r w:rsidR="00996C1B" w:rsidRPr="008976CE">
          <w:rPr>
            <w:rStyle w:val="Hyperlink"/>
            <w:rFonts w:ascii="Times New Roman" w:eastAsiaTheme="majorEastAsia" w:hAnsi="Times New Roman"/>
            <w:noProof/>
          </w:rPr>
          <w:t>Table 4.3: Descriptive Analysis of Respondents’ Information on Litigation Services</w:t>
        </w:r>
        <w:r w:rsidR="00996C1B">
          <w:rPr>
            <w:noProof/>
            <w:webHidden/>
          </w:rPr>
          <w:tab/>
        </w:r>
        <w:r w:rsidR="00996C1B">
          <w:rPr>
            <w:noProof/>
            <w:webHidden/>
          </w:rPr>
          <w:fldChar w:fldCharType="begin"/>
        </w:r>
        <w:r w:rsidR="00996C1B">
          <w:rPr>
            <w:noProof/>
            <w:webHidden/>
          </w:rPr>
          <w:instrText xml:space="preserve"> PAGEREF _Toc145952336 \h </w:instrText>
        </w:r>
        <w:r w:rsidR="00996C1B">
          <w:rPr>
            <w:noProof/>
            <w:webHidden/>
          </w:rPr>
        </w:r>
        <w:r w:rsidR="00996C1B">
          <w:rPr>
            <w:noProof/>
            <w:webHidden/>
          </w:rPr>
          <w:fldChar w:fldCharType="separate"/>
        </w:r>
        <w:r w:rsidR="00996C1B">
          <w:rPr>
            <w:noProof/>
            <w:webHidden/>
          </w:rPr>
          <w:t>128</w:t>
        </w:r>
        <w:r w:rsidR="00996C1B">
          <w:rPr>
            <w:noProof/>
            <w:webHidden/>
          </w:rPr>
          <w:fldChar w:fldCharType="end"/>
        </w:r>
      </w:hyperlink>
    </w:p>
    <w:p w14:paraId="523EAA14" w14:textId="1ECFC103" w:rsidR="00996C1B" w:rsidRDefault="00271F03">
      <w:pPr>
        <w:pStyle w:val="TableofFigures"/>
        <w:tabs>
          <w:tab w:val="right" w:leader="dot" w:pos="9350"/>
        </w:tabs>
        <w:rPr>
          <w:rFonts w:asciiTheme="minorHAnsi" w:eastAsiaTheme="minorEastAsia" w:hAnsiTheme="minorHAnsi" w:cstheme="minorBidi"/>
          <w:noProof/>
        </w:rPr>
      </w:pPr>
      <w:hyperlink w:anchor="_Toc145952337" w:history="1">
        <w:r w:rsidR="00996C1B" w:rsidRPr="008976CE">
          <w:rPr>
            <w:rStyle w:val="Hyperlink"/>
            <w:rFonts w:ascii="Times New Roman" w:eastAsiaTheme="majorEastAsia" w:hAnsi="Times New Roman"/>
            <w:noProof/>
          </w:rPr>
          <w:t>Table 4.4: Descriptive Analysis of Respondents’ Information on Surprise Cash Count Practices</w:t>
        </w:r>
        <w:r w:rsidR="00996C1B">
          <w:rPr>
            <w:noProof/>
            <w:webHidden/>
          </w:rPr>
          <w:tab/>
        </w:r>
        <w:r w:rsidR="00996C1B">
          <w:rPr>
            <w:noProof/>
            <w:webHidden/>
          </w:rPr>
          <w:fldChar w:fldCharType="begin"/>
        </w:r>
        <w:r w:rsidR="00996C1B">
          <w:rPr>
            <w:noProof/>
            <w:webHidden/>
          </w:rPr>
          <w:instrText xml:space="preserve"> PAGEREF _Toc145952337 \h </w:instrText>
        </w:r>
        <w:r w:rsidR="00996C1B">
          <w:rPr>
            <w:noProof/>
            <w:webHidden/>
          </w:rPr>
        </w:r>
        <w:r w:rsidR="00996C1B">
          <w:rPr>
            <w:noProof/>
            <w:webHidden/>
          </w:rPr>
          <w:fldChar w:fldCharType="separate"/>
        </w:r>
        <w:r w:rsidR="00996C1B">
          <w:rPr>
            <w:noProof/>
            <w:webHidden/>
          </w:rPr>
          <w:t>130</w:t>
        </w:r>
        <w:r w:rsidR="00996C1B">
          <w:rPr>
            <w:noProof/>
            <w:webHidden/>
          </w:rPr>
          <w:fldChar w:fldCharType="end"/>
        </w:r>
      </w:hyperlink>
    </w:p>
    <w:p w14:paraId="490F9E1A" w14:textId="43883215" w:rsidR="00996C1B" w:rsidRDefault="00271F03">
      <w:pPr>
        <w:pStyle w:val="TableofFigures"/>
        <w:tabs>
          <w:tab w:val="right" w:leader="dot" w:pos="9350"/>
        </w:tabs>
        <w:rPr>
          <w:rFonts w:asciiTheme="minorHAnsi" w:eastAsiaTheme="minorEastAsia" w:hAnsiTheme="minorHAnsi" w:cstheme="minorBidi"/>
          <w:noProof/>
        </w:rPr>
      </w:pPr>
      <w:hyperlink w:anchor="_Toc145952338" w:history="1">
        <w:r w:rsidR="00996C1B" w:rsidRPr="008976CE">
          <w:rPr>
            <w:rStyle w:val="Hyperlink"/>
            <w:rFonts w:ascii="Times New Roman" w:eastAsiaTheme="majorEastAsia" w:hAnsi="Times New Roman"/>
            <w:noProof/>
          </w:rPr>
          <w:t>Table 4.5: Descriptive Analysis of Respondents’ Information on Accounting and Digital Environment</w:t>
        </w:r>
        <w:r w:rsidR="00996C1B">
          <w:rPr>
            <w:noProof/>
            <w:webHidden/>
          </w:rPr>
          <w:tab/>
        </w:r>
        <w:r w:rsidR="00996C1B">
          <w:rPr>
            <w:noProof/>
            <w:webHidden/>
          </w:rPr>
          <w:fldChar w:fldCharType="begin"/>
        </w:r>
        <w:r w:rsidR="00996C1B">
          <w:rPr>
            <w:noProof/>
            <w:webHidden/>
          </w:rPr>
          <w:instrText xml:space="preserve"> PAGEREF _Toc145952338 \h </w:instrText>
        </w:r>
        <w:r w:rsidR="00996C1B">
          <w:rPr>
            <w:noProof/>
            <w:webHidden/>
          </w:rPr>
        </w:r>
        <w:r w:rsidR="00996C1B">
          <w:rPr>
            <w:noProof/>
            <w:webHidden/>
          </w:rPr>
          <w:fldChar w:fldCharType="separate"/>
        </w:r>
        <w:r w:rsidR="00996C1B">
          <w:rPr>
            <w:noProof/>
            <w:webHidden/>
          </w:rPr>
          <w:t>133</w:t>
        </w:r>
        <w:r w:rsidR="00996C1B">
          <w:rPr>
            <w:noProof/>
            <w:webHidden/>
          </w:rPr>
          <w:fldChar w:fldCharType="end"/>
        </w:r>
      </w:hyperlink>
    </w:p>
    <w:p w14:paraId="7731274E" w14:textId="6D165D79" w:rsidR="00996C1B" w:rsidRDefault="00271F03">
      <w:pPr>
        <w:pStyle w:val="TableofFigures"/>
        <w:tabs>
          <w:tab w:val="right" w:leader="dot" w:pos="9350"/>
        </w:tabs>
        <w:rPr>
          <w:rFonts w:asciiTheme="minorHAnsi" w:eastAsiaTheme="minorEastAsia" w:hAnsiTheme="minorHAnsi" w:cstheme="minorBidi"/>
          <w:noProof/>
        </w:rPr>
      </w:pPr>
      <w:hyperlink w:anchor="_Toc145952339" w:history="1">
        <w:r w:rsidR="00996C1B" w:rsidRPr="008976CE">
          <w:rPr>
            <w:rStyle w:val="Hyperlink"/>
            <w:rFonts w:ascii="Times New Roman" w:eastAsiaTheme="majorEastAsia" w:hAnsi="Times New Roman"/>
            <w:noProof/>
          </w:rPr>
          <w:t>Table 4.6: Descriptive Analysis of Respondents’ Information on Value for Money Practices</w:t>
        </w:r>
        <w:r w:rsidR="00996C1B">
          <w:rPr>
            <w:noProof/>
            <w:webHidden/>
          </w:rPr>
          <w:tab/>
        </w:r>
        <w:r w:rsidR="00996C1B">
          <w:rPr>
            <w:noProof/>
            <w:webHidden/>
          </w:rPr>
          <w:fldChar w:fldCharType="begin"/>
        </w:r>
        <w:r w:rsidR="00996C1B">
          <w:rPr>
            <w:noProof/>
            <w:webHidden/>
          </w:rPr>
          <w:instrText xml:space="preserve"> PAGEREF _Toc145952339 \h </w:instrText>
        </w:r>
        <w:r w:rsidR="00996C1B">
          <w:rPr>
            <w:noProof/>
            <w:webHidden/>
          </w:rPr>
        </w:r>
        <w:r w:rsidR="00996C1B">
          <w:rPr>
            <w:noProof/>
            <w:webHidden/>
          </w:rPr>
          <w:fldChar w:fldCharType="separate"/>
        </w:r>
        <w:r w:rsidR="00996C1B">
          <w:rPr>
            <w:noProof/>
            <w:webHidden/>
          </w:rPr>
          <w:t>135</w:t>
        </w:r>
        <w:r w:rsidR="00996C1B">
          <w:rPr>
            <w:noProof/>
            <w:webHidden/>
          </w:rPr>
          <w:fldChar w:fldCharType="end"/>
        </w:r>
      </w:hyperlink>
    </w:p>
    <w:p w14:paraId="33BDCFB3" w14:textId="5D2A03E3" w:rsidR="00996C1B" w:rsidRDefault="00271F03">
      <w:pPr>
        <w:pStyle w:val="TableofFigures"/>
        <w:tabs>
          <w:tab w:val="right" w:leader="dot" w:pos="9350"/>
        </w:tabs>
        <w:rPr>
          <w:rFonts w:asciiTheme="minorHAnsi" w:eastAsiaTheme="minorEastAsia" w:hAnsiTheme="minorHAnsi" w:cstheme="minorBidi"/>
          <w:noProof/>
        </w:rPr>
      </w:pPr>
      <w:hyperlink w:anchor="_Toc145952340" w:history="1">
        <w:r w:rsidR="00996C1B" w:rsidRPr="008976CE">
          <w:rPr>
            <w:rStyle w:val="Hyperlink"/>
            <w:rFonts w:ascii="Times New Roman" w:eastAsiaTheme="majorEastAsia" w:hAnsi="Times New Roman"/>
            <w:noProof/>
          </w:rPr>
          <w:t>Table 4.7: Descriptive Analysis of Respondents’ Information on Creative Accounting Practices</w:t>
        </w:r>
        <w:r w:rsidR="00996C1B">
          <w:rPr>
            <w:noProof/>
            <w:webHidden/>
          </w:rPr>
          <w:tab/>
        </w:r>
        <w:r w:rsidR="00996C1B">
          <w:rPr>
            <w:noProof/>
            <w:webHidden/>
          </w:rPr>
          <w:fldChar w:fldCharType="begin"/>
        </w:r>
        <w:r w:rsidR="00996C1B">
          <w:rPr>
            <w:noProof/>
            <w:webHidden/>
          </w:rPr>
          <w:instrText xml:space="preserve"> PAGEREF _Toc145952340 \h </w:instrText>
        </w:r>
        <w:r w:rsidR="00996C1B">
          <w:rPr>
            <w:noProof/>
            <w:webHidden/>
          </w:rPr>
        </w:r>
        <w:r w:rsidR="00996C1B">
          <w:rPr>
            <w:noProof/>
            <w:webHidden/>
          </w:rPr>
          <w:fldChar w:fldCharType="separate"/>
        </w:r>
        <w:r w:rsidR="00996C1B">
          <w:rPr>
            <w:noProof/>
            <w:webHidden/>
          </w:rPr>
          <w:t>138</w:t>
        </w:r>
        <w:r w:rsidR="00996C1B">
          <w:rPr>
            <w:noProof/>
            <w:webHidden/>
          </w:rPr>
          <w:fldChar w:fldCharType="end"/>
        </w:r>
      </w:hyperlink>
    </w:p>
    <w:p w14:paraId="13D5E351" w14:textId="2506D9B4" w:rsidR="00996C1B" w:rsidRDefault="00271F03">
      <w:pPr>
        <w:pStyle w:val="TableofFigures"/>
        <w:tabs>
          <w:tab w:val="right" w:leader="dot" w:pos="9350"/>
        </w:tabs>
        <w:rPr>
          <w:rFonts w:asciiTheme="minorHAnsi" w:eastAsiaTheme="minorEastAsia" w:hAnsiTheme="minorHAnsi" w:cstheme="minorBidi"/>
          <w:noProof/>
        </w:rPr>
      </w:pPr>
      <w:hyperlink w:anchor="_Toc145952341" w:history="1">
        <w:r w:rsidR="00996C1B" w:rsidRPr="008976CE">
          <w:rPr>
            <w:rStyle w:val="Hyperlink"/>
            <w:rFonts w:ascii="Times New Roman" w:eastAsiaTheme="majorEastAsia" w:hAnsi="Times New Roman"/>
            <w:noProof/>
          </w:rPr>
          <w:t>Table 4.8: Descriptive Analysis of Respondents’ Information on Procurement Practices</w:t>
        </w:r>
        <w:r w:rsidR="00996C1B">
          <w:rPr>
            <w:noProof/>
            <w:webHidden/>
          </w:rPr>
          <w:tab/>
        </w:r>
        <w:r w:rsidR="00996C1B">
          <w:rPr>
            <w:noProof/>
            <w:webHidden/>
          </w:rPr>
          <w:fldChar w:fldCharType="begin"/>
        </w:r>
        <w:r w:rsidR="00996C1B">
          <w:rPr>
            <w:noProof/>
            <w:webHidden/>
          </w:rPr>
          <w:instrText xml:space="preserve"> PAGEREF _Toc145952341 \h </w:instrText>
        </w:r>
        <w:r w:rsidR="00996C1B">
          <w:rPr>
            <w:noProof/>
            <w:webHidden/>
          </w:rPr>
        </w:r>
        <w:r w:rsidR="00996C1B">
          <w:rPr>
            <w:noProof/>
            <w:webHidden/>
          </w:rPr>
          <w:fldChar w:fldCharType="separate"/>
        </w:r>
        <w:r w:rsidR="00996C1B">
          <w:rPr>
            <w:noProof/>
            <w:webHidden/>
          </w:rPr>
          <w:t>140</w:t>
        </w:r>
        <w:r w:rsidR="00996C1B">
          <w:rPr>
            <w:noProof/>
            <w:webHidden/>
          </w:rPr>
          <w:fldChar w:fldCharType="end"/>
        </w:r>
      </w:hyperlink>
    </w:p>
    <w:p w14:paraId="0F7E5360" w14:textId="4135F8F1" w:rsidR="00996C1B" w:rsidRDefault="00271F03">
      <w:pPr>
        <w:pStyle w:val="TableofFigures"/>
        <w:tabs>
          <w:tab w:val="right" w:leader="dot" w:pos="9350"/>
        </w:tabs>
        <w:rPr>
          <w:rFonts w:asciiTheme="minorHAnsi" w:eastAsiaTheme="minorEastAsia" w:hAnsiTheme="minorHAnsi" w:cstheme="minorBidi"/>
          <w:noProof/>
        </w:rPr>
      </w:pPr>
      <w:hyperlink w:anchor="_Toc145952342" w:history="1">
        <w:r w:rsidR="00996C1B" w:rsidRPr="008976CE">
          <w:rPr>
            <w:rStyle w:val="Hyperlink"/>
            <w:rFonts w:ascii="Times New Roman" w:eastAsiaTheme="majorEastAsia" w:hAnsi="Times New Roman"/>
            <w:noProof/>
          </w:rPr>
          <w:t>Table 4.9: Descriptive Analysis of Respondents’ Information on Fund Misappropriation</w:t>
        </w:r>
        <w:r w:rsidR="00996C1B">
          <w:rPr>
            <w:noProof/>
            <w:webHidden/>
          </w:rPr>
          <w:tab/>
        </w:r>
        <w:r w:rsidR="00996C1B">
          <w:rPr>
            <w:noProof/>
            <w:webHidden/>
          </w:rPr>
          <w:fldChar w:fldCharType="begin"/>
        </w:r>
        <w:r w:rsidR="00996C1B">
          <w:rPr>
            <w:noProof/>
            <w:webHidden/>
          </w:rPr>
          <w:instrText xml:space="preserve"> PAGEREF _Toc145952342 \h </w:instrText>
        </w:r>
        <w:r w:rsidR="00996C1B">
          <w:rPr>
            <w:noProof/>
            <w:webHidden/>
          </w:rPr>
        </w:r>
        <w:r w:rsidR="00996C1B">
          <w:rPr>
            <w:noProof/>
            <w:webHidden/>
          </w:rPr>
          <w:fldChar w:fldCharType="separate"/>
        </w:r>
        <w:r w:rsidR="00996C1B">
          <w:rPr>
            <w:noProof/>
            <w:webHidden/>
          </w:rPr>
          <w:t>144</w:t>
        </w:r>
        <w:r w:rsidR="00996C1B">
          <w:rPr>
            <w:noProof/>
            <w:webHidden/>
          </w:rPr>
          <w:fldChar w:fldCharType="end"/>
        </w:r>
      </w:hyperlink>
    </w:p>
    <w:p w14:paraId="7C513F25" w14:textId="3A83EAFA" w:rsidR="00996C1B" w:rsidRDefault="00271F03">
      <w:pPr>
        <w:pStyle w:val="TableofFigures"/>
        <w:tabs>
          <w:tab w:val="right" w:leader="dot" w:pos="9350"/>
        </w:tabs>
        <w:rPr>
          <w:rFonts w:asciiTheme="minorHAnsi" w:eastAsiaTheme="minorEastAsia" w:hAnsiTheme="minorHAnsi" w:cstheme="minorBidi"/>
          <w:noProof/>
        </w:rPr>
      </w:pPr>
      <w:hyperlink w:anchor="_Toc145952343" w:history="1">
        <w:r w:rsidR="00996C1B" w:rsidRPr="008976CE">
          <w:rPr>
            <w:rStyle w:val="Hyperlink"/>
            <w:rFonts w:ascii="Times New Roman" w:eastAsiaTheme="majorEastAsia" w:hAnsi="Times New Roman"/>
            <w:noProof/>
          </w:rPr>
          <w:t>Table 4.10: Correlation Matrix</w:t>
        </w:r>
        <w:r w:rsidR="00996C1B">
          <w:rPr>
            <w:noProof/>
            <w:webHidden/>
          </w:rPr>
          <w:tab/>
        </w:r>
        <w:r w:rsidR="00996C1B">
          <w:rPr>
            <w:noProof/>
            <w:webHidden/>
          </w:rPr>
          <w:fldChar w:fldCharType="begin"/>
        </w:r>
        <w:r w:rsidR="00996C1B">
          <w:rPr>
            <w:noProof/>
            <w:webHidden/>
          </w:rPr>
          <w:instrText xml:space="preserve"> PAGEREF _Toc145952343 \h </w:instrText>
        </w:r>
        <w:r w:rsidR="00996C1B">
          <w:rPr>
            <w:noProof/>
            <w:webHidden/>
          </w:rPr>
        </w:r>
        <w:r w:rsidR="00996C1B">
          <w:rPr>
            <w:noProof/>
            <w:webHidden/>
          </w:rPr>
          <w:fldChar w:fldCharType="separate"/>
        </w:r>
        <w:r w:rsidR="00996C1B">
          <w:rPr>
            <w:noProof/>
            <w:webHidden/>
          </w:rPr>
          <w:t>146</w:t>
        </w:r>
        <w:r w:rsidR="00996C1B">
          <w:rPr>
            <w:noProof/>
            <w:webHidden/>
          </w:rPr>
          <w:fldChar w:fldCharType="end"/>
        </w:r>
      </w:hyperlink>
    </w:p>
    <w:p w14:paraId="53F07443" w14:textId="01F5885F" w:rsidR="00996C1B" w:rsidRDefault="00271F03">
      <w:pPr>
        <w:pStyle w:val="TableofFigures"/>
        <w:tabs>
          <w:tab w:val="right" w:leader="dot" w:pos="9350"/>
        </w:tabs>
        <w:rPr>
          <w:rFonts w:asciiTheme="minorHAnsi" w:eastAsiaTheme="minorEastAsia" w:hAnsiTheme="minorHAnsi" w:cstheme="minorBidi"/>
          <w:noProof/>
        </w:rPr>
      </w:pPr>
      <w:hyperlink w:anchor="_Toc145952344" w:history="1">
        <w:r w:rsidR="00996C1B" w:rsidRPr="008976CE">
          <w:rPr>
            <w:rStyle w:val="Hyperlink"/>
            <w:rFonts w:ascii="Times New Roman" w:eastAsiaTheme="majorEastAsia" w:hAnsi="Times New Roman"/>
            <w:noProof/>
          </w:rPr>
          <w:t>Table 4.11: Test of Normality</w:t>
        </w:r>
        <w:r w:rsidR="00996C1B">
          <w:rPr>
            <w:noProof/>
            <w:webHidden/>
          </w:rPr>
          <w:tab/>
        </w:r>
        <w:r w:rsidR="00996C1B">
          <w:rPr>
            <w:noProof/>
            <w:webHidden/>
          </w:rPr>
          <w:fldChar w:fldCharType="begin"/>
        </w:r>
        <w:r w:rsidR="00996C1B">
          <w:rPr>
            <w:noProof/>
            <w:webHidden/>
          </w:rPr>
          <w:instrText xml:space="preserve"> PAGEREF _Toc145952344 \h </w:instrText>
        </w:r>
        <w:r w:rsidR="00996C1B">
          <w:rPr>
            <w:noProof/>
            <w:webHidden/>
          </w:rPr>
        </w:r>
        <w:r w:rsidR="00996C1B">
          <w:rPr>
            <w:noProof/>
            <w:webHidden/>
          </w:rPr>
          <w:fldChar w:fldCharType="separate"/>
        </w:r>
        <w:r w:rsidR="00996C1B">
          <w:rPr>
            <w:noProof/>
            <w:webHidden/>
          </w:rPr>
          <w:t>147</w:t>
        </w:r>
        <w:r w:rsidR="00996C1B">
          <w:rPr>
            <w:noProof/>
            <w:webHidden/>
          </w:rPr>
          <w:fldChar w:fldCharType="end"/>
        </w:r>
      </w:hyperlink>
    </w:p>
    <w:p w14:paraId="4AA91810" w14:textId="679A30BB" w:rsidR="00996C1B" w:rsidRDefault="00271F03">
      <w:pPr>
        <w:pStyle w:val="TableofFigures"/>
        <w:tabs>
          <w:tab w:val="right" w:leader="dot" w:pos="9350"/>
        </w:tabs>
        <w:rPr>
          <w:rFonts w:asciiTheme="minorHAnsi" w:eastAsiaTheme="minorEastAsia" w:hAnsiTheme="minorHAnsi" w:cstheme="minorBidi"/>
          <w:noProof/>
        </w:rPr>
      </w:pPr>
      <w:hyperlink w:anchor="_Toc145952345" w:history="1">
        <w:r w:rsidR="00996C1B" w:rsidRPr="008976CE">
          <w:rPr>
            <w:rStyle w:val="Hyperlink"/>
            <w:rFonts w:ascii="Times New Roman" w:eastAsiaTheme="majorEastAsia" w:hAnsi="Times New Roman"/>
            <w:noProof/>
          </w:rPr>
          <w:t>Table 4.12: Effect of Forensic Accounting Techniques on Fund Misappropriation</w:t>
        </w:r>
        <w:r w:rsidR="00996C1B">
          <w:rPr>
            <w:noProof/>
            <w:webHidden/>
          </w:rPr>
          <w:tab/>
        </w:r>
        <w:r w:rsidR="00996C1B">
          <w:rPr>
            <w:noProof/>
            <w:webHidden/>
          </w:rPr>
          <w:fldChar w:fldCharType="begin"/>
        </w:r>
        <w:r w:rsidR="00996C1B">
          <w:rPr>
            <w:noProof/>
            <w:webHidden/>
          </w:rPr>
          <w:instrText xml:space="preserve"> PAGEREF _Toc145952345 \h </w:instrText>
        </w:r>
        <w:r w:rsidR="00996C1B">
          <w:rPr>
            <w:noProof/>
            <w:webHidden/>
          </w:rPr>
        </w:r>
        <w:r w:rsidR="00996C1B">
          <w:rPr>
            <w:noProof/>
            <w:webHidden/>
          </w:rPr>
          <w:fldChar w:fldCharType="separate"/>
        </w:r>
        <w:r w:rsidR="00996C1B">
          <w:rPr>
            <w:noProof/>
            <w:webHidden/>
          </w:rPr>
          <w:t>149</w:t>
        </w:r>
        <w:r w:rsidR="00996C1B">
          <w:rPr>
            <w:noProof/>
            <w:webHidden/>
          </w:rPr>
          <w:fldChar w:fldCharType="end"/>
        </w:r>
      </w:hyperlink>
    </w:p>
    <w:p w14:paraId="540D02F7" w14:textId="00FFC516" w:rsidR="00996C1B" w:rsidRDefault="00271F03">
      <w:pPr>
        <w:pStyle w:val="TableofFigures"/>
        <w:tabs>
          <w:tab w:val="right" w:leader="dot" w:pos="9350"/>
        </w:tabs>
        <w:rPr>
          <w:rFonts w:asciiTheme="minorHAnsi" w:eastAsiaTheme="minorEastAsia" w:hAnsiTheme="minorHAnsi" w:cstheme="minorBidi"/>
          <w:noProof/>
        </w:rPr>
      </w:pPr>
      <w:hyperlink w:anchor="_Toc145952346" w:history="1">
        <w:r w:rsidR="00996C1B" w:rsidRPr="008976CE">
          <w:rPr>
            <w:rStyle w:val="Hyperlink"/>
            <w:rFonts w:ascii="Times New Roman" w:eastAsiaTheme="majorEastAsia" w:hAnsi="Times New Roman"/>
            <w:noProof/>
          </w:rPr>
          <w:t>Table 4.13: Effect of Forensic Accounting Techniques and Value for Money Practices</w:t>
        </w:r>
        <w:r w:rsidR="00996C1B">
          <w:rPr>
            <w:noProof/>
            <w:webHidden/>
          </w:rPr>
          <w:tab/>
        </w:r>
        <w:r w:rsidR="00996C1B">
          <w:rPr>
            <w:noProof/>
            <w:webHidden/>
          </w:rPr>
          <w:fldChar w:fldCharType="begin"/>
        </w:r>
        <w:r w:rsidR="00996C1B">
          <w:rPr>
            <w:noProof/>
            <w:webHidden/>
          </w:rPr>
          <w:instrText xml:space="preserve"> PAGEREF _Toc145952346 \h </w:instrText>
        </w:r>
        <w:r w:rsidR="00996C1B">
          <w:rPr>
            <w:noProof/>
            <w:webHidden/>
          </w:rPr>
        </w:r>
        <w:r w:rsidR="00996C1B">
          <w:rPr>
            <w:noProof/>
            <w:webHidden/>
          </w:rPr>
          <w:fldChar w:fldCharType="separate"/>
        </w:r>
        <w:r w:rsidR="00996C1B">
          <w:rPr>
            <w:noProof/>
            <w:webHidden/>
          </w:rPr>
          <w:t>151</w:t>
        </w:r>
        <w:r w:rsidR="00996C1B">
          <w:rPr>
            <w:noProof/>
            <w:webHidden/>
          </w:rPr>
          <w:fldChar w:fldCharType="end"/>
        </w:r>
      </w:hyperlink>
    </w:p>
    <w:p w14:paraId="12379FD1" w14:textId="2B81994E" w:rsidR="00996C1B" w:rsidRDefault="00271F03">
      <w:pPr>
        <w:pStyle w:val="TableofFigures"/>
        <w:tabs>
          <w:tab w:val="right" w:leader="dot" w:pos="9350"/>
        </w:tabs>
        <w:rPr>
          <w:rFonts w:asciiTheme="minorHAnsi" w:eastAsiaTheme="minorEastAsia" w:hAnsiTheme="minorHAnsi" w:cstheme="minorBidi"/>
          <w:noProof/>
        </w:rPr>
      </w:pPr>
      <w:hyperlink w:anchor="_Toc145952347" w:history="1">
        <w:r w:rsidR="00996C1B" w:rsidRPr="008976CE">
          <w:rPr>
            <w:rStyle w:val="Hyperlink"/>
            <w:rFonts w:ascii="Times New Roman" w:eastAsiaTheme="majorEastAsia" w:hAnsi="Times New Roman"/>
            <w:noProof/>
          </w:rPr>
          <w:t>Table 4.14: Effect of Forensic Accounting Techniques on Creative Accounting Practices</w:t>
        </w:r>
        <w:r w:rsidR="00996C1B">
          <w:rPr>
            <w:noProof/>
            <w:webHidden/>
          </w:rPr>
          <w:tab/>
        </w:r>
        <w:r w:rsidR="00996C1B">
          <w:rPr>
            <w:noProof/>
            <w:webHidden/>
          </w:rPr>
          <w:fldChar w:fldCharType="begin"/>
        </w:r>
        <w:r w:rsidR="00996C1B">
          <w:rPr>
            <w:noProof/>
            <w:webHidden/>
          </w:rPr>
          <w:instrText xml:space="preserve"> PAGEREF _Toc145952347 \h </w:instrText>
        </w:r>
        <w:r w:rsidR="00996C1B">
          <w:rPr>
            <w:noProof/>
            <w:webHidden/>
          </w:rPr>
        </w:r>
        <w:r w:rsidR="00996C1B">
          <w:rPr>
            <w:noProof/>
            <w:webHidden/>
          </w:rPr>
          <w:fldChar w:fldCharType="separate"/>
        </w:r>
        <w:r w:rsidR="00996C1B">
          <w:rPr>
            <w:noProof/>
            <w:webHidden/>
          </w:rPr>
          <w:t>152</w:t>
        </w:r>
        <w:r w:rsidR="00996C1B">
          <w:rPr>
            <w:noProof/>
            <w:webHidden/>
          </w:rPr>
          <w:fldChar w:fldCharType="end"/>
        </w:r>
      </w:hyperlink>
    </w:p>
    <w:p w14:paraId="7AFABF7B" w14:textId="172A2EB3" w:rsidR="00996C1B" w:rsidRDefault="00271F03">
      <w:pPr>
        <w:pStyle w:val="TableofFigures"/>
        <w:tabs>
          <w:tab w:val="right" w:leader="dot" w:pos="9350"/>
        </w:tabs>
        <w:rPr>
          <w:rFonts w:asciiTheme="minorHAnsi" w:eastAsiaTheme="minorEastAsia" w:hAnsiTheme="minorHAnsi" w:cstheme="minorBidi"/>
          <w:noProof/>
        </w:rPr>
      </w:pPr>
      <w:hyperlink w:anchor="_Toc145952348" w:history="1">
        <w:r w:rsidR="00996C1B" w:rsidRPr="008976CE">
          <w:rPr>
            <w:rStyle w:val="Hyperlink"/>
            <w:rFonts w:ascii="Times New Roman" w:eastAsiaTheme="majorEastAsia" w:hAnsi="Times New Roman"/>
            <w:noProof/>
          </w:rPr>
          <w:t>Table 4.15: Effect of Forensic Accounting Techniques on Procurement Practices</w:t>
        </w:r>
        <w:r w:rsidR="00996C1B">
          <w:rPr>
            <w:noProof/>
            <w:webHidden/>
          </w:rPr>
          <w:tab/>
        </w:r>
        <w:r w:rsidR="00996C1B">
          <w:rPr>
            <w:noProof/>
            <w:webHidden/>
          </w:rPr>
          <w:fldChar w:fldCharType="begin"/>
        </w:r>
        <w:r w:rsidR="00996C1B">
          <w:rPr>
            <w:noProof/>
            <w:webHidden/>
          </w:rPr>
          <w:instrText xml:space="preserve"> PAGEREF _Toc145952348 \h </w:instrText>
        </w:r>
        <w:r w:rsidR="00996C1B">
          <w:rPr>
            <w:noProof/>
            <w:webHidden/>
          </w:rPr>
        </w:r>
        <w:r w:rsidR="00996C1B">
          <w:rPr>
            <w:noProof/>
            <w:webHidden/>
          </w:rPr>
          <w:fldChar w:fldCharType="separate"/>
        </w:r>
        <w:r w:rsidR="00996C1B">
          <w:rPr>
            <w:noProof/>
            <w:webHidden/>
          </w:rPr>
          <w:t>153</w:t>
        </w:r>
        <w:r w:rsidR="00996C1B">
          <w:rPr>
            <w:noProof/>
            <w:webHidden/>
          </w:rPr>
          <w:fldChar w:fldCharType="end"/>
        </w:r>
      </w:hyperlink>
    </w:p>
    <w:p w14:paraId="63A738C7" w14:textId="0090D87C" w:rsidR="002C5A3F" w:rsidRPr="00920591" w:rsidRDefault="0070586D" w:rsidP="00920591">
      <w:pPr>
        <w:spacing w:after="0" w:line="360" w:lineRule="auto"/>
        <w:jc w:val="center"/>
        <w:rPr>
          <w:rFonts w:ascii="Times New Roman" w:eastAsia="Calibri" w:hAnsi="Times New Roman"/>
          <w:b/>
          <w:bCs/>
          <w:sz w:val="24"/>
          <w:szCs w:val="24"/>
        </w:rPr>
      </w:pPr>
      <w:r w:rsidRPr="008B1465">
        <w:rPr>
          <w:rFonts w:ascii="Times New Roman" w:eastAsia="Calibri" w:hAnsi="Times New Roman"/>
          <w:b/>
          <w:bCs/>
          <w:sz w:val="24"/>
          <w:szCs w:val="24"/>
        </w:rPr>
        <w:fldChar w:fldCharType="end"/>
      </w:r>
    </w:p>
    <w:p w14:paraId="213A1AD6" w14:textId="77777777" w:rsidR="002C5A3F" w:rsidRPr="008B1465" w:rsidRDefault="002C5A3F" w:rsidP="002C5A3F">
      <w:pPr>
        <w:rPr>
          <w:rFonts w:ascii="Times New Roman" w:eastAsia="Calibri" w:hAnsi="Times New Roman"/>
          <w:sz w:val="24"/>
          <w:szCs w:val="24"/>
        </w:rPr>
      </w:pPr>
    </w:p>
    <w:p w14:paraId="4FF2D0E6" w14:textId="20B0BA2F" w:rsidR="008C0D44" w:rsidRPr="008B1465" w:rsidRDefault="00FC0624" w:rsidP="004222C5">
      <w:pPr>
        <w:pStyle w:val="Heading1"/>
        <w:numPr>
          <w:ilvl w:val="0"/>
          <w:numId w:val="0"/>
        </w:numPr>
      </w:pPr>
      <w:bookmarkStart w:id="12" w:name="_Toc145951066"/>
      <w:r w:rsidRPr="008B1465">
        <w:t>LIST OF FIGURES</w:t>
      </w:r>
      <w:bookmarkEnd w:id="12"/>
    </w:p>
    <w:p w14:paraId="08FD3D1C" w14:textId="2B3AB44F" w:rsidR="00B64CE4" w:rsidRDefault="00FC0624">
      <w:pPr>
        <w:pStyle w:val="TableofFigures"/>
        <w:tabs>
          <w:tab w:val="right" w:leader="dot" w:pos="9350"/>
        </w:tabs>
        <w:rPr>
          <w:rFonts w:asciiTheme="minorHAnsi" w:eastAsiaTheme="minorEastAsia" w:hAnsiTheme="minorHAnsi" w:cstheme="minorBidi"/>
          <w:noProof/>
        </w:rPr>
      </w:pPr>
      <w:r w:rsidRPr="008B1465">
        <w:rPr>
          <w:rFonts w:ascii="Times New Roman" w:eastAsia="Calibri" w:hAnsi="Times New Roman"/>
          <w:sz w:val="24"/>
          <w:szCs w:val="24"/>
        </w:rPr>
        <w:fldChar w:fldCharType="begin"/>
      </w:r>
      <w:r w:rsidRPr="008B1465">
        <w:rPr>
          <w:rFonts w:ascii="Times New Roman" w:eastAsia="Calibri" w:hAnsi="Times New Roman"/>
          <w:sz w:val="24"/>
          <w:szCs w:val="24"/>
        </w:rPr>
        <w:instrText xml:space="preserve"> TOC \h \z \c "Figure" </w:instrText>
      </w:r>
      <w:r w:rsidRPr="008B1465">
        <w:rPr>
          <w:rFonts w:ascii="Times New Roman" w:eastAsia="Calibri" w:hAnsi="Times New Roman"/>
          <w:sz w:val="24"/>
          <w:szCs w:val="24"/>
        </w:rPr>
        <w:fldChar w:fldCharType="separate"/>
      </w:r>
      <w:hyperlink r:id="rId9" w:anchor="_Toc145953085" w:history="1">
        <w:r w:rsidR="00B64CE4" w:rsidRPr="00FE0466">
          <w:rPr>
            <w:rStyle w:val="Hyperlink"/>
            <w:rFonts w:ascii="Times New Roman" w:eastAsiaTheme="majorEastAsia" w:hAnsi="Times New Roman"/>
            <w:noProof/>
          </w:rPr>
          <w:t xml:space="preserve">Figure 2.1: </w:t>
        </w:r>
        <w:r w:rsidR="00B64CE4" w:rsidRPr="00FE0466">
          <w:rPr>
            <w:rStyle w:val="Hyperlink"/>
            <w:rFonts w:ascii="Times New Roman" w:eastAsia="Calibri" w:hAnsi="Times New Roman"/>
            <w:bCs/>
            <w:noProof/>
          </w:rPr>
          <w:t>The Fraud Tree.</w:t>
        </w:r>
        <w:r w:rsidR="00B64CE4">
          <w:rPr>
            <w:noProof/>
            <w:webHidden/>
          </w:rPr>
          <w:tab/>
        </w:r>
        <w:r w:rsidR="00B64CE4">
          <w:rPr>
            <w:noProof/>
            <w:webHidden/>
          </w:rPr>
          <w:fldChar w:fldCharType="begin"/>
        </w:r>
        <w:r w:rsidR="00B64CE4">
          <w:rPr>
            <w:noProof/>
            <w:webHidden/>
          </w:rPr>
          <w:instrText xml:space="preserve"> PAGEREF _Toc145953085 \h </w:instrText>
        </w:r>
        <w:r w:rsidR="00B64CE4">
          <w:rPr>
            <w:noProof/>
            <w:webHidden/>
          </w:rPr>
        </w:r>
        <w:r w:rsidR="00B64CE4">
          <w:rPr>
            <w:noProof/>
            <w:webHidden/>
          </w:rPr>
          <w:fldChar w:fldCharType="separate"/>
        </w:r>
        <w:r w:rsidR="00B64CE4">
          <w:rPr>
            <w:noProof/>
            <w:webHidden/>
          </w:rPr>
          <w:t>42</w:t>
        </w:r>
        <w:r w:rsidR="00B64CE4">
          <w:rPr>
            <w:noProof/>
            <w:webHidden/>
          </w:rPr>
          <w:fldChar w:fldCharType="end"/>
        </w:r>
      </w:hyperlink>
    </w:p>
    <w:p w14:paraId="761E1A2F" w14:textId="189274F8" w:rsidR="00B64CE4" w:rsidRDefault="00271F03">
      <w:pPr>
        <w:pStyle w:val="TableofFigures"/>
        <w:tabs>
          <w:tab w:val="right" w:leader="dot" w:pos="9350"/>
        </w:tabs>
        <w:rPr>
          <w:rFonts w:asciiTheme="minorHAnsi" w:eastAsiaTheme="minorEastAsia" w:hAnsiTheme="minorHAnsi" w:cstheme="minorBidi"/>
          <w:noProof/>
        </w:rPr>
      </w:pPr>
      <w:hyperlink w:anchor="_Toc145953086" w:history="1">
        <w:r w:rsidR="00B64CE4" w:rsidRPr="00FE0466">
          <w:rPr>
            <w:rStyle w:val="Hyperlink"/>
            <w:rFonts w:ascii="Times New Roman" w:eastAsiaTheme="majorEastAsia" w:hAnsi="Times New Roman"/>
            <w:noProof/>
          </w:rPr>
          <w:t xml:space="preserve">Figure 2.2: </w:t>
        </w:r>
        <w:r w:rsidR="00B64CE4" w:rsidRPr="00FE0466">
          <w:rPr>
            <w:rStyle w:val="Hyperlink"/>
            <w:rFonts w:ascii="Times New Roman" w:eastAsia="Calibri" w:hAnsi="Times New Roman"/>
            <w:noProof/>
          </w:rPr>
          <w:t xml:space="preserve">Fraud Triangle </w:t>
        </w:r>
        <w:r w:rsidR="00B64CE4" w:rsidRPr="00FE0466">
          <w:rPr>
            <w:rStyle w:val="Hyperlink"/>
            <w:rFonts w:eastAsiaTheme="majorEastAsia"/>
            <w:noProof/>
          </w:rPr>
          <w:t>Model</w:t>
        </w:r>
        <w:r w:rsidR="00B64CE4">
          <w:rPr>
            <w:noProof/>
            <w:webHidden/>
          </w:rPr>
          <w:tab/>
        </w:r>
        <w:r w:rsidR="00B64CE4">
          <w:rPr>
            <w:noProof/>
            <w:webHidden/>
          </w:rPr>
          <w:fldChar w:fldCharType="begin"/>
        </w:r>
        <w:r w:rsidR="00B64CE4">
          <w:rPr>
            <w:noProof/>
            <w:webHidden/>
          </w:rPr>
          <w:instrText xml:space="preserve"> PAGEREF _Toc145953086 \h </w:instrText>
        </w:r>
        <w:r w:rsidR="00B64CE4">
          <w:rPr>
            <w:noProof/>
            <w:webHidden/>
          </w:rPr>
        </w:r>
        <w:r w:rsidR="00B64CE4">
          <w:rPr>
            <w:noProof/>
            <w:webHidden/>
          </w:rPr>
          <w:fldChar w:fldCharType="separate"/>
        </w:r>
        <w:r w:rsidR="00B64CE4">
          <w:rPr>
            <w:noProof/>
            <w:webHidden/>
          </w:rPr>
          <w:t>70</w:t>
        </w:r>
        <w:r w:rsidR="00B64CE4">
          <w:rPr>
            <w:noProof/>
            <w:webHidden/>
          </w:rPr>
          <w:fldChar w:fldCharType="end"/>
        </w:r>
      </w:hyperlink>
    </w:p>
    <w:p w14:paraId="7BDF740F" w14:textId="6AFF3D73" w:rsidR="00B64CE4" w:rsidRDefault="00271F03">
      <w:pPr>
        <w:pStyle w:val="TableofFigures"/>
        <w:tabs>
          <w:tab w:val="right" w:leader="dot" w:pos="9350"/>
        </w:tabs>
        <w:rPr>
          <w:rFonts w:asciiTheme="minorHAnsi" w:eastAsiaTheme="minorEastAsia" w:hAnsiTheme="minorHAnsi" w:cstheme="minorBidi"/>
          <w:noProof/>
        </w:rPr>
      </w:pPr>
      <w:hyperlink r:id="rId10" w:anchor="_Toc145953087" w:history="1">
        <w:r w:rsidR="00B64CE4" w:rsidRPr="00FE0466">
          <w:rPr>
            <w:rStyle w:val="Hyperlink"/>
            <w:rFonts w:ascii="Times New Roman" w:eastAsiaTheme="majorEastAsia" w:hAnsi="Times New Roman"/>
            <w:noProof/>
          </w:rPr>
          <w:t xml:space="preserve">Figure 2.3: </w:t>
        </w:r>
        <w:r w:rsidR="00B64CE4" w:rsidRPr="00FE0466">
          <w:rPr>
            <w:rStyle w:val="Hyperlink"/>
            <w:rFonts w:ascii="Times New Roman" w:eastAsia="Calibri" w:hAnsi="Times New Roman"/>
            <w:noProof/>
          </w:rPr>
          <w:t>The Fraud Diamond</w:t>
        </w:r>
        <w:r w:rsidR="00B64CE4">
          <w:rPr>
            <w:noProof/>
            <w:webHidden/>
          </w:rPr>
          <w:tab/>
        </w:r>
        <w:r w:rsidR="00B64CE4">
          <w:rPr>
            <w:noProof/>
            <w:webHidden/>
          </w:rPr>
          <w:fldChar w:fldCharType="begin"/>
        </w:r>
        <w:r w:rsidR="00B64CE4">
          <w:rPr>
            <w:noProof/>
            <w:webHidden/>
          </w:rPr>
          <w:instrText xml:space="preserve"> PAGEREF _Toc145953087 \h </w:instrText>
        </w:r>
        <w:r w:rsidR="00B64CE4">
          <w:rPr>
            <w:noProof/>
            <w:webHidden/>
          </w:rPr>
        </w:r>
        <w:r w:rsidR="00B64CE4">
          <w:rPr>
            <w:noProof/>
            <w:webHidden/>
          </w:rPr>
          <w:fldChar w:fldCharType="separate"/>
        </w:r>
        <w:r w:rsidR="00B64CE4">
          <w:rPr>
            <w:noProof/>
            <w:webHidden/>
          </w:rPr>
          <w:t>72</w:t>
        </w:r>
        <w:r w:rsidR="00B64CE4">
          <w:rPr>
            <w:noProof/>
            <w:webHidden/>
          </w:rPr>
          <w:fldChar w:fldCharType="end"/>
        </w:r>
      </w:hyperlink>
    </w:p>
    <w:p w14:paraId="46744E5F" w14:textId="62A21B78" w:rsidR="00B64CE4" w:rsidRDefault="00271F03">
      <w:pPr>
        <w:pStyle w:val="TableofFigures"/>
        <w:tabs>
          <w:tab w:val="right" w:leader="dot" w:pos="9350"/>
        </w:tabs>
        <w:rPr>
          <w:rFonts w:asciiTheme="minorHAnsi" w:eastAsiaTheme="minorEastAsia" w:hAnsiTheme="minorHAnsi" w:cstheme="minorBidi"/>
          <w:noProof/>
        </w:rPr>
      </w:pPr>
      <w:hyperlink r:id="rId11" w:anchor="_Toc145953088" w:history="1">
        <w:r w:rsidR="00B64CE4" w:rsidRPr="00FE0466">
          <w:rPr>
            <w:rStyle w:val="Hyperlink"/>
            <w:rFonts w:ascii="Times New Roman" w:eastAsiaTheme="majorEastAsia" w:hAnsi="Times New Roman"/>
            <w:noProof/>
          </w:rPr>
          <w:t>Figure 2.4: The Fraud Pentagon</w:t>
        </w:r>
        <w:r w:rsidR="00B64CE4">
          <w:rPr>
            <w:noProof/>
            <w:webHidden/>
          </w:rPr>
          <w:tab/>
        </w:r>
        <w:r w:rsidR="00B64CE4">
          <w:rPr>
            <w:noProof/>
            <w:webHidden/>
          </w:rPr>
          <w:fldChar w:fldCharType="begin"/>
        </w:r>
        <w:r w:rsidR="00B64CE4">
          <w:rPr>
            <w:noProof/>
            <w:webHidden/>
          </w:rPr>
          <w:instrText xml:space="preserve"> PAGEREF _Toc145953088 \h </w:instrText>
        </w:r>
        <w:r w:rsidR="00B64CE4">
          <w:rPr>
            <w:noProof/>
            <w:webHidden/>
          </w:rPr>
        </w:r>
        <w:r w:rsidR="00B64CE4">
          <w:rPr>
            <w:noProof/>
            <w:webHidden/>
          </w:rPr>
          <w:fldChar w:fldCharType="separate"/>
        </w:r>
        <w:r w:rsidR="00B64CE4">
          <w:rPr>
            <w:noProof/>
            <w:webHidden/>
          </w:rPr>
          <w:t>80</w:t>
        </w:r>
        <w:r w:rsidR="00B64CE4">
          <w:rPr>
            <w:noProof/>
            <w:webHidden/>
          </w:rPr>
          <w:fldChar w:fldCharType="end"/>
        </w:r>
      </w:hyperlink>
    </w:p>
    <w:p w14:paraId="76EF7424" w14:textId="364BD1C6" w:rsidR="00B64CE4" w:rsidRDefault="00271F03">
      <w:pPr>
        <w:pStyle w:val="TableofFigures"/>
        <w:tabs>
          <w:tab w:val="right" w:leader="dot" w:pos="9350"/>
        </w:tabs>
        <w:rPr>
          <w:rFonts w:asciiTheme="minorHAnsi" w:eastAsiaTheme="minorEastAsia" w:hAnsiTheme="minorHAnsi" w:cstheme="minorBidi"/>
          <w:noProof/>
        </w:rPr>
      </w:pPr>
      <w:hyperlink r:id="rId12" w:anchor="_Toc145953089" w:history="1">
        <w:r w:rsidR="00B64CE4" w:rsidRPr="00FE0466">
          <w:rPr>
            <w:rStyle w:val="Hyperlink"/>
            <w:rFonts w:ascii="Times New Roman" w:eastAsiaTheme="majorEastAsia" w:hAnsi="Times New Roman"/>
            <w:noProof/>
          </w:rPr>
          <w:t>Figure 2.5: The Fraud Hexagon</w:t>
        </w:r>
        <w:r w:rsidR="00B64CE4">
          <w:rPr>
            <w:noProof/>
            <w:webHidden/>
          </w:rPr>
          <w:tab/>
        </w:r>
        <w:r w:rsidR="00B64CE4">
          <w:rPr>
            <w:noProof/>
            <w:webHidden/>
          </w:rPr>
          <w:fldChar w:fldCharType="begin"/>
        </w:r>
        <w:r w:rsidR="00B64CE4">
          <w:rPr>
            <w:noProof/>
            <w:webHidden/>
          </w:rPr>
          <w:instrText xml:space="preserve"> PAGEREF _Toc145953089 \h </w:instrText>
        </w:r>
        <w:r w:rsidR="00B64CE4">
          <w:rPr>
            <w:noProof/>
            <w:webHidden/>
          </w:rPr>
        </w:r>
        <w:r w:rsidR="00B64CE4">
          <w:rPr>
            <w:noProof/>
            <w:webHidden/>
          </w:rPr>
          <w:fldChar w:fldCharType="separate"/>
        </w:r>
        <w:r w:rsidR="00B64CE4">
          <w:rPr>
            <w:noProof/>
            <w:webHidden/>
          </w:rPr>
          <w:t>82</w:t>
        </w:r>
        <w:r w:rsidR="00B64CE4">
          <w:rPr>
            <w:noProof/>
            <w:webHidden/>
          </w:rPr>
          <w:fldChar w:fldCharType="end"/>
        </w:r>
      </w:hyperlink>
    </w:p>
    <w:p w14:paraId="5B477CEA" w14:textId="4C345CF5" w:rsidR="00B64CE4" w:rsidRDefault="00271F03">
      <w:pPr>
        <w:pStyle w:val="TableofFigures"/>
        <w:tabs>
          <w:tab w:val="right" w:leader="dot" w:pos="9350"/>
        </w:tabs>
        <w:rPr>
          <w:rFonts w:asciiTheme="minorHAnsi" w:eastAsiaTheme="minorEastAsia" w:hAnsiTheme="minorHAnsi" w:cstheme="minorBidi"/>
          <w:noProof/>
        </w:rPr>
      </w:pPr>
      <w:hyperlink r:id="rId13" w:anchor="_Toc145953090" w:history="1">
        <w:r w:rsidR="00B64CE4" w:rsidRPr="00FE0466">
          <w:rPr>
            <w:rStyle w:val="Hyperlink"/>
            <w:rFonts w:ascii="Times New Roman" w:eastAsiaTheme="majorEastAsia" w:hAnsi="Times New Roman"/>
            <w:noProof/>
          </w:rPr>
          <w:t xml:space="preserve">Figure 2.6: </w:t>
        </w:r>
        <w:r w:rsidR="00B64CE4" w:rsidRPr="00FE0466">
          <w:rPr>
            <w:rStyle w:val="Hyperlink"/>
            <w:rFonts w:ascii="Times New Roman" w:eastAsia="Calibri" w:hAnsi="Times New Roman"/>
            <w:noProof/>
          </w:rPr>
          <w:t>The Fraud Scale</w:t>
        </w:r>
        <w:r w:rsidR="00B64CE4">
          <w:rPr>
            <w:noProof/>
            <w:webHidden/>
          </w:rPr>
          <w:tab/>
        </w:r>
        <w:r w:rsidR="00B64CE4">
          <w:rPr>
            <w:noProof/>
            <w:webHidden/>
          </w:rPr>
          <w:fldChar w:fldCharType="begin"/>
        </w:r>
        <w:r w:rsidR="00B64CE4">
          <w:rPr>
            <w:noProof/>
            <w:webHidden/>
          </w:rPr>
          <w:instrText xml:space="preserve"> PAGEREF _Toc145953090 \h </w:instrText>
        </w:r>
        <w:r w:rsidR="00B64CE4">
          <w:rPr>
            <w:noProof/>
            <w:webHidden/>
          </w:rPr>
        </w:r>
        <w:r w:rsidR="00B64CE4">
          <w:rPr>
            <w:noProof/>
            <w:webHidden/>
          </w:rPr>
          <w:fldChar w:fldCharType="separate"/>
        </w:r>
        <w:r w:rsidR="00B64CE4">
          <w:rPr>
            <w:noProof/>
            <w:webHidden/>
          </w:rPr>
          <w:t>86</w:t>
        </w:r>
        <w:r w:rsidR="00B64CE4">
          <w:rPr>
            <w:noProof/>
            <w:webHidden/>
          </w:rPr>
          <w:fldChar w:fldCharType="end"/>
        </w:r>
      </w:hyperlink>
    </w:p>
    <w:p w14:paraId="60901651" w14:textId="244EECA6" w:rsidR="00B64CE4" w:rsidRDefault="00271F03">
      <w:pPr>
        <w:pStyle w:val="TableofFigures"/>
        <w:tabs>
          <w:tab w:val="right" w:leader="dot" w:pos="9350"/>
        </w:tabs>
        <w:rPr>
          <w:rFonts w:asciiTheme="minorHAnsi" w:eastAsiaTheme="minorEastAsia" w:hAnsiTheme="minorHAnsi" w:cstheme="minorBidi"/>
          <w:noProof/>
        </w:rPr>
      </w:pPr>
      <w:hyperlink w:anchor="_Toc145953091" w:history="1">
        <w:r w:rsidR="00B64CE4" w:rsidRPr="00FE0466">
          <w:rPr>
            <w:rStyle w:val="Hyperlink"/>
            <w:rFonts w:ascii="Times New Roman" w:eastAsiaTheme="majorEastAsia" w:hAnsi="Times New Roman"/>
            <w:noProof/>
          </w:rPr>
          <w:t>Figure 2.7: Conceptual Model</w:t>
        </w:r>
        <w:r w:rsidR="00B64CE4">
          <w:rPr>
            <w:noProof/>
            <w:webHidden/>
          </w:rPr>
          <w:tab/>
        </w:r>
        <w:r w:rsidR="00B64CE4">
          <w:rPr>
            <w:noProof/>
            <w:webHidden/>
          </w:rPr>
          <w:fldChar w:fldCharType="begin"/>
        </w:r>
        <w:r w:rsidR="00B64CE4">
          <w:rPr>
            <w:noProof/>
            <w:webHidden/>
          </w:rPr>
          <w:instrText xml:space="preserve"> PAGEREF _Toc145953091 \h </w:instrText>
        </w:r>
        <w:r w:rsidR="00B64CE4">
          <w:rPr>
            <w:noProof/>
            <w:webHidden/>
          </w:rPr>
        </w:r>
        <w:r w:rsidR="00B64CE4">
          <w:rPr>
            <w:noProof/>
            <w:webHidden/>
          </w:rPr>
          <w:fldChar w:fldCharType="separate"/>
        </w:r>
        <w:r w:rsidR="00B64CE4">
          <w:rPr>
            <w:noProof/>
            <w:webHidden/>
          </w:rPr>
          <w:t>112</w:t>
        </w:r>
        <w:r w:rsidR="00B64CE4">
          <w:rPr>
            <w:noProof/>
            <w:webHidden/>
          </w:rPr>
          <w:fldChar w:fldCharType="end"/>
        </w:r>
      </w:hyperlink>
    </w:p>
    <w:p w14:paraId="25980589" w14:textId="12B4FE31" w:rsidR="002C5A3F" w:rsidRDefault="00FC0624" w:rsidP="002C5A3F">
      <w:pPr>
        <w:rPr>
          <w:rFonts w:ascii="Times New Roman" w:eastAsia="Calibri" w:hAnsi="Times New Roman"/>
          <w:sz w:val="24"/>
          <w:szCs w:val="24"/>
        </w:rPr>
      </w:pPr>
      <w:r w:rsidRPr="008B1465">
        <w:rPr>
          <w:rFonts w:ascii="Times New Roman" w:eastAsia="Calibri" w:hAnsi="Times New Roman"/>
          <w:sz w:val="24"/>
          <w:szCs w:val="24"/>
        </w:rPr>
        <w:fldChar w:fldCharType="end"/>
      </w:r>
    </w:p>
    <w:p w14:paraId="775BA0E0" w14:textId="11379A21" w:rsidR="00F9150A" w:rsidRDefault="00F9150A" w:rsidP="002C5A3F">
      <w:pPr>
        <w:rPr>
          <w:rFonts w:ascii="Times New Roman" w:eastAsia="Calibri" w:hAnsi="Times New Roman"/>
          <w:sz w:val="24"/>
          <w:szCs w:val="24"/>
        </w:rPr>
      </w:pPr>
    </w:p>
    <w:p w14:paraId="1D20A075" w14:textId="07B87263" w:rsidR="00F9150A" w:rsidRDefault="00F9150A" w:rsidP="002C5A3F">
      <w:pPr>
        <w:rPr>
          <w:rFonts w:ascii="Times New Roman" w:eastAsia="Calibri" w:hAnsi="Times New Roman"/>
          <w:sz w:val="24"/>
          <w:szCs w:val="24"/>
        </w:rPr>
      </w:pPr>
    </w:p>
    <w:p w14:paraId="4A08F730" w14:textId="54FFC141" w:rsidR="00F9150A" w:rsidRDefault="00F9150A" w:rsidP="002C5A3F">
      <w:pPr>
        <w:rPr>
          <w:rFonts w:ascii="Times New Roman" w:eastAsia="Calibri" w:hAnsi="Times New Roman"/>
          <w:sz w:val="24"/>
          <w:szCs w:val="24"/>
        </w:rPr>
      </w:pPr>
    </w:p>
    <w:p w14:paraId="72A5CC20" w14:textId="5D94EEF2" w:rsidR="00F9150A" w:rsidRDefault="00F9150A" w:rsidP="002C5A3F">
      <w:pPr>
        <w:rPr>
          <w:rFonts w:ascii="Times New Roman" w:eastAsia="Calibri" w:hAnsi="Times New Roman"/>
          <w:sz w:val="24"/>
          <w:szCs w:val="24"/>
        </w:rPr>
      </w:pPr>
    </w:p>
    <w:p w14:paraId="359F958D" w14:textId="463921AE" w:rsidR="00F9150A" w:rsidRDefault="00F9150A" w:rsidP="002C5A3F">
      <w:pPr>
        <w:rPr>
          <w:rFonts w:ascii="Times New Roman" w:eastAsia="Calibri" w:hAnsi="Times New Roman"/>
          <w:sz w:val="24"/>
          <w:szCs w:val="24"/>
        </w:rPr>
      </w:pPr>
    </w:p>
    <w:p w14:paraId="18CDF9CA" w14:textId="30F46B3D" w:rsidR="00F9150A" w:rsidRDefault="00F9150A" w:rsidP="002C5A3F">
      <w:pPr>
        <w:rPr>
          <w:rFonts w:ascii="Times New Roman" w:eastAsia="Calibri" w:hAnsi="Times New Roman"/>
          <w:sz w:val="24"/>
          <w:szCs w:val="24"/>
        </w:rPr>
      </w:pPr>
    </w:p>
    <w:p w14:paraId="2BC2C71F" w14:textId="6A5DC06F" w:rsidR="00F9150A" w:rsidRDefault="00F9150A" w:rsidP="002C5A3F">
      <w:pPr>
        <w:rPr>
          <w:rFonts w:ascii="Times New Roman" w:eastAsia="Calibri" w:hAnsi="Times New Roman"/>
          <w:sz w:val="24"/>
          <w:szCs w:val="24"/>
        </w:rPr>
      </w:pPr>
    </w:p>
    <w:p w14:paraId="29AC49CD" w14:textId="51981164" w:rsidR="00F9150A" w:rsidRDefault="00F9150A" w:rsidP="002C5A3F">
      <w:pPr>
        <w:rPr>
          <w:rFonts w:ascii="Times New Roman" w:eastAsia="Calibri" w:hAnsi="Times New Roman"/>
          <w:sz w:val="24"/>
          <w:szCs w:val="24"/>
        </w:rPr>
      </w:pPr>
    </w:p>
    <w:p w14:paraId="51E013F3" w14:textId="1C6A3D54" w:rsidR="00F9150A" w:rsidRDefault="00F9150A" w:rsidP="002C5A3F">
      <w:pPr>
        <w:rPr>
          <w:rFonts w:ascii="Times New Roman" w:eastAsia="Calibri" w:hAnsi="Times New Roman"/>
          <w:sz w:val="24"/>
          <w:szCs w:val="24"/>
        </w:rPr>
      </w:pPr>
    </w:p>
    <w:p w14:paraId="32BF7025" w14:textId="77777777" w:rsidR="00F9150A" w:rsidRPr="008B1465" w:rsidRDefault="00F9150A" w:rsidP="002C5A3F">
      <w:pPr>
        <w:rPr>
          <w:rFonts w:ascii="Times New Roman" w:eastAsia="Calibri" w:hAnsi="Times New Roman"/>
          <w:sz w:val="24"/>
          <w:szCs w:val="24"/>
        </w:rPr>
      </w:pPr>
    </w:p>
    <w:p w14:paraId="54192199" w14:textId="77777777" w:rsidR="002C5A3F" w:rsidRPr="008B1465" w:rsidRDefault="002C5A3F" w:rsidP="002C5A3F">
      <w:pPr>
        <w:rPr>
          <w:rFonts w:ascii="Times New Roman" w:eastAsia="Calibri" w:hAnsi="Times New Roman"/>
          <w:sz w:val="24"/>
          <w:szCs w:val="24"/>
        </w:rPr>
      </w:pPr>
    </w:p>
    <w:p w14:paraId="3ED403C3" w14:textId="0C555B32" w:rsidR="00453E38" w:rsidRPr="008B1465" w:rsidRDefault="00453E38" w:rsidP="00453E38">
      <w:pPr>
        <w:pStyle w:val="Heading1"/>
        <w:numPr>
          <w:ilvl w:val="0"/>
          <w:numId w:val="0"/>
        </w:numPr>
      </w:pPr>
      <w:bookmarkStart w:id="13" w:name="_Toc145951067"/>
      <w:r w:rsidRPr="008B1465">
        <w:t>ABSTRACT</w:t>
      </w:r>
      <w:bookmarkEnd w:id="13"/>
    </w:p>
    <w:p w14:paraId="66A1379D" w14:textId="77777777" w:rsidR="00453E38" w:rsidRPr="008B1465" w:rsidRDefault="00453E38" w:rsidP="00453E38">
      <w:pPr>
        <w:jc w:val="both"/>
        <w:rPr>
          <w:rFonts w:ascii="Times New Roman" w:eastAsia="Calibri" w:hAnsi="Times New Roman"/>
          <w:sz w:val="24"/>
          <w:szCs w:val="24"/>
        </w:rPr>
      </w:pPr>
      <w:r w:rsidRPr="008B1465">
        <w:rPr>
          <w:rFonts w:ascii="Times New Roman" w:eastAsia="Calibri" w:hAnsi="Times New Roman"/>
          <w:sz w:val="24"/>
          <w:szCs w:val="24"/>
        </w:rPr>
        <w:t xml:space="preserve">In Nigeria, fraud is a widespread phenomenon in different sectors of the economy, including the federal universities. Although forensic accounting techniques have proven to be an effective means of combating financial misconduct in developed economies around the world, their effectiveness in handling financial misconduct in Nigerian tertiary institutions remains unknown. Hence, this study assessed the influence of forensic accounting techniques on fund misappropriation, investigated the relationship that exists between forensic accounting techniques and value for money practices, and determined the effect of forensic accounting techniques on creative accounting practices. It also evaluated the relationship that exists between forensic accounting techniques and procurement practices with a view to mitigating financial misconduct among Federal Universities in Southwest Nigeria. </w:t>
      </w:r>
    </w:p>
    <w:p w14:paraId="53B4FBEC" w14:textId="77777777" w:rsidR="00EA4646" w:rsidRDefault="00453E38" w:rsidP="00453E38">
      <w:pPr>
        <w:jc w:val="both"/>
        <w:rPr>
          <w:rFonts w:ascii="Times New Roman" w:eastAsia="Calibri" w:hAnsi="Times New Roman"/>
          <w:sz w:val="24"/>
          <w:szCs w:val="24"/>
        </w:rPr>
      </w:pPr>
      <w:r w:rsidRPr="008B1465">
        <w:rPr>
          <w:rFonts w:ascii="Times New Roman" w:eastAsia="Calibri" w:hAnsi="Times New Roman"/>
          <w:sz w:val="24"/>
          <w:szCs w:val="24"/>
        </w:rPr>
        <w:t>The study employed survey</w:t>
      </w:r>
      <w:r w:rsidR="00B90F63">
        <w:rPr>
          <w:rFonts w:ascii="Times New Roman" w:eastAsia="Calibri" w:hAnsi="Times New Roman"/>
          <w:sz w:val="24"/>
          <w:szCs w:val="24"/>
        </w:rPr>
        <w:t xml:space="preserve"> research</w:t>
      </w:r>
      <w:r w:rsidRPr="008B1465">
        <w:rPr>
          <w:rFonts w:ascii="Times New Roman" w:eastAsia="Calibri" w:hAnsi="Times New Roman"/>
          <w:sz w:val="24"/>
          <w:szCs w:val="24"/>
        </w:rPr>
        <w:t xml:space="preserve"> design. Three hundred and sixty-four (364) respondents participated in the survey and data collected were analyzed using percentages, simple and multiple regression analysis. </w:t>
      </w:r>
    </w:p>
    <w:p w14:paraId="041EAC29" w14:textId="2E2B71AE" w:rsidR="00453E38" w:rsidRPr="008B1465" w:rsidRDefault="00453E38" w:rsidP="00453E38">
      <w:pPr>
        <w:jc w:val="both"/>
        <w:rPr>
          <w:rFonts w:ascii="Times New Roman" w:eastAsia="Calibri" w:hAnsi="Times New Roman"/>
          <w:sz w:val="24"/>
          <w:szCs w:val="24"/>
        </w:rPr>
      </w:pPr>
      <w:r w:rsidRPr="008B1465">
        <w:rPr>
          <w:rFonts w:ascii="Times New Roman" w:eastAsia="Calibri" w:hAnsi="Times New Roman"/>
          <w:sz w:val="24"/>
          <w:szCs w:val="24"/>
        </w:rPr>
        <w:t xml:space="preserve">The results showed that three techniques of forensic accounting namely, SCCP (β = -0.075, t = -3.097; IF (β = -0.575, t = -18.427; LS (β = -0.072, t = -3.011) were statistically significant and inversely affected fund misappropriation, whereas ADE (β = 1.141, t = 36.776) showed a positive significant effect on  fund misappropriation. This implies that forensic accounting techniques have largely influenced fund misappropriation among federal universities in the Southwest. The result also showed that forensic accounting techniques exhibited a positive significant linear relationship with value for money practices F (4,359) = 135.998, p &lt; 0.05). Furthermore, the study revealed that forensic accounting techniques significantly impacted on creative accounting practices, SCCP (t=-3.007, p&lt; 0.05), IF (t=-72.93, p &lt; 0.05). LS (t=-3.011, p &lt; 0.05), ADE (t=147.38, p &lt; 0.05). It was also found that forensic accounting techniques showed a positive linear relationship with procurement practices F (4,359) = 49.145, p &lt; 0.05). The implication is that when forensic accounting techniques are strengthened, they will prevent over billing and other sharp practices in procurement processes. </w:t>
      </w:r>
    </w:p>
    <w:p w14:paraId="6F48D262" w14:textId="14FF92FC" w:rsidR="00453E38" w:rsidRPr="000706E1" w:rsidRDefault="00453E38" w:rsidP="000706E1">
      <w:pPr>
        <w:jc w:val="both"/>
        <w:rPr>
          <w:rFonts w:ascii="Times New Roman" w:eastAsia="Calibri" w:hAnsi="Times New Roman"/>
          <w:sz w:val="24"/>
          <w:szCs w:val="24"/>
        </w:rPr>
      </w:pPr>
      <w:r w:rsidRPr="008B1465">
        <w:rPr>
          <w:rFonts w:ascii="Times New Roman" w:eastAsia="Calibri" w:hAnsi="Times New Roman"/>
          <w:sz w:val="24"/>
          <w:szCs w:val="24"/>
        </w:rPr>
        <w:t xml:space="preserve">The study concluded that forensic accounting techniques are veritable tools to combat financial misconduct. It is therefore recommended that forensic accounting techniques should be adopted to </w:t>
      </w:r>
      <w:r w:rsidRPr="008B1465">
        <w:rPr>
          <w:rFonts w:ascii="Times New Roman" w:eastAsia="Calibri" w:hAnsi="Times New Roman"/>
          <w:color w:val="000000" w:themeColor="text1"/>
          <w:sz w:val="24"/>
          <w:szCs w:val="24"/>
        </w:rPr>
        <w:t>enhance</w:t>
      </w:r>
      <w:r w:rsidRPr="008B1465">
        <w:rPr>
          <w:rFonts w:ascii="Times New Roman" w:eastAsia="Calibri" w:hAnsi="Times New Roman"/>
          <w:sz w:val="24"/>
          <w:szCs w:val="24"/>
        </w:rPr>
        <w:t xml:space="preserve"> their financial transparency and accountability among federal universities in Southwest Nigeria.</w:t>
      </w:r>
    </w:p>
    <w:p w14:paraId="632AD9B3" w14:textId="23F15B83" w:rsidR="002C5A3F" w:rsidRPr="00A82358" w:rsidRDefault="00A875DB" w:rsidP="002C5A3F">
      <w:pPr>
        <w:rPr>
          <w:rFonts w:ascii="Times New Roman" w:eastAsia="Calibri" w:hAnsi="Times New Roman"/>
          <w:b/>
          <w:bCs/>
          <w:sz w:val="24"/>
          <w:szCs w:val="24"/>
        </w:rPr>
        <w:sectPr w:rsidR="002C5A3F" w:rsidRPr="00A82358">
          <w:footerReference w:type="default" r:id="rId14"/>
          <w:pgSz w:w="12240" w:h="15840"/>
          <w:pgMar w:top="1440" w:right="1440" w:bottom="1440" w:left="1440" w:header="720" w:footer="720" w:gutter="0"/>
          <w:pgNumType w:fmt="lowerRoman" w:start="1"/>
          <w:cols w:space="720"/>
          <w:titlePg/>
          <w:docGrid w:linePitch="360"/>
        </w:sectPr>
      </w:pPr>
      <w:r>
        <w:rPr>
          <w:rFonts w:ascii="Times New Roman" w:eastAsia="Calibri" w:hAnsi="Times New Roman"/>
          <w:b/>
          <w:bCs/>
          <w:sz w:val="24"/>
          <w:szCs w:val="24"/>
        </w:rPr>
        <w:t>Keywords</w:t>
      </w:r>
      <w:r w:rsidR="00A82358">
        <w:rPr>
          <w:rFonts w:ascii="Times New Roman" w:eastAsia="Calibri" w:hAnsi="Times New Roman"/>
          <w:b/>
          <w:bCs/>
          <w:sz w:val="24"/>
          <w:szCs w:val="24"/>
        </w:rPr>
        <w:t>:</w:t>
      </w:r>
      <w:r w:rsidR="004C15C3">
        <w:rPr>
          <w:rFonts w:ascii="Times New Roman" w:eastAsia="Calibri" w:hAnsi="Times New Roman"/>
          <w:sz w:val="24"/>
          <w:szCs w:val="24"/>
        </w:rPr>
        <w:t xml:space="preserve"> </w:t>
      </w:r>
      <w:r w:rsidR="00F465C0" w:rsidRPr="00A875DB">
        <w:rPr>
          <w:rFonts w:ascii="Times New Roman" w:eastAsia="Calibri" w:hAnsi="Times New Roman"/>
          <w:sz w:val="24"/>
          <w:szCs w:val="24"/>
        </w:rPr>
        <w:t xml:space="preserve">Forensic accounting techniques, Financial misconduct, </w:t>
      </w:r>
      <w:r w:rsidR="004C15C3" w:rsidRPr="00A875DB">
        <w:rPr>
          <w:rFonts w:ascii="Times New Roman" w:eastAsia="Calibri" w:hAnsi="Times New Roman"/>
          <w:sz w:val="24"/>
          <w:szCs w:val="24"/>
        </w:rPr>
        <w:t>Fraud</w:t>
      </w:r>
      <w:r w:rsidR="004C15C3">
        <w:rPr>
          <w:rFonts w:ascii="Times New Roman" w:eastAsia="Calibri" w:hAnsi="Times New Roman"/>
          <w:sz w:val="24"/>
          <w:szCs w:val="24"/>
        </w:rPr>
        <w:t>,</w:t>
      </w:r>
      <w:r w:rsidR="00F465C0" w:rsidRPr="00A875DB">
        <w:rPr>
          <w:rFonts w:ascii="Times New Roman" w:eastAsia="Calibri" w:hAnsi="Times New Roman"/>
          <w:sz w:val="24"/>
          <w:szCs w:val="24"/>
        </w:rPr>
        <w:t xml:space="preserve"> Federal </w:t>
      </w:r>
      <w:r w:rsidR="00EA4646">
        <w:rPr>
          <w:rFonts w:ascii="Times New Roman" w:eastAsia="Calibri" w:hAnsi="Times New Roman"/>
          <w:sz w:val="24"/>
          <w:szCs w:val="24"/>
        </w:rPr>
        <w:t>U</w:t>
      </w:r>
      <w:r w:rsidR="00354612">
        <w:rPr>
          <w:rFonts w:ascii="Times New Roman" w:eastAsia="Calibri" w:hAnsi="Times New Roman"/>
          <w:sz w:val="24"/>
          <w:szCs w:val="24"/>
        </w:rPr>
        <w:t>n</w:t>
      </w:r>
      <w:r w:rsidR="00F465C0" w:rsidRPr="00A875DB">
        <w:rPr>
          <w:rFonts w:ascii="Times New Roman" w:eastAsia="Calibri" w:hAnsi="Times New Roman"/>
          <w:sz w:val="24"/>
          <w:szCs w:val="24"/>
        </w:rPr>
        <w:t>iversities</w:t>
      </w:r>
      <w:r w:rsidR="004C15C3">
        <w:rPr>
          <w:rFonts w:ascii="Times New Roman" w:eastAsia="Calibri" w:hAnsi="Times New Roman"/>
          <w:b/>
          <w:bCs/>
          <w:sz w:val="24"/>
          <w:szCs w:val="24"/>
        </w:rPr>
        <w:t xml:space="preserve">, </w:t>
      </w:r>
      <w:r w:rsidR="00DE0478">
        <w:rPr>
          <w:rFonts w:ascii="Times New Roman" w:eastAsia="Calibri" w:hAnsi="Times New Roman"/>
          <w:sz w:val="24"/>
          <w:szCs w:val="24"/>
        </w:rPr>
        <w:t>Financial transparency, Accountability.</w:t>
      </w:r>
      <w:r w:rsidR="00C06D5E">
        <w:rPr>
          <w:rFonts w:ascii="Times New Roman" w:eastAsia="Calibri" w:hAnsi="Times New Roman"/>
          <w:sz w:val="24"/>
          <w:szCs w:val="24"/>
        </w:rPr>
        <w:t xml:space="preserve">  </w:t>
      </w:r>
    </w:p>
    <w:p w14:paraId="7DEE902D" w14:textId="793F009D" w:rsidR="001616E5" w:rsidRPr="008B1465" w:rsidRDefault="003F05E3" w:rsidP="00D90EFD">
      <w:pPr>
        <w:pStyle w:val="Heading1"/>
        <w:numPr>
          <w:ilvl w:val="0"/>
          <w:numId w:val="0"/>
        </w:numPr>
        <w:tabs>
          <w:tab w:val="center" w:pos="4680"/>
        </w:tabs>
        <w:spacing w:before="0" w:beforeAutospacing="0" w:line="276" w:lineRule="auto"/>
        <w:ind w:left="2520"/>
        <w:rPr>
          <w:rFonts w:cs="Times New Roman"/>
          <w:b w:val="0"/>
          <w:szCs w:val="24"/>
        </w:rPr>
      </w:pPr>
      <w:bookmarkStart w:id="14" w:name="_Toc145951068"/>
      <w:r w:rsidRPr="008B1465">
        <w:rPr>
          <w:rFonts w:cs="Times New Roman"/>
          <w:szCs w:val="24"/>
        </w:rPr>
        <w:t>CHAPTER ONE</w:t>
      </w:r>
      <w:r w:rsidR="001341A7" w:rsidRPr="008B1465">
        <w:rPr>
          <w:rFonts w:cs="Times New Roman"/>
          <w:color w:val="FFFFFF" w:themeColor="background1"/>
          <w:szCs w:val="24"/>
        </w:rPr>
        <w:t>: INTRODUCTION</w:t>
      </w:r>
      <w:bookmarkEnd w:id="14"/>
    </w:p>
    <w:p w14:paraId="441DFA9E" w14:textId="77777777" w:rsidR="001616E5" w:rsidRPr="008B1465" w:rsidRDefault="003F05E3" w:rsidP="00432807">
      <w:pPr>
        <w:pStyle w:val="Heading1"/>
        <w:spacing w:before="0" w:beforeAutospacing="0" w:line="276" w:lineRule="auto"/>
        <w:rPr>
          <w:rFonts w:cs="Times New Roman"/>
          <w:b w:val="0"/>
          <w:szCs w:val="24"/>
        </w:rPr>
      </w:pPr>
      <w:bookmarkStart w:id="15" w:name="_Toc135917578"/>
      <w:bookmarkStart w:id="16" w:name="_Toc135917725"/>
      <w:bookmarkStart w:id="17" w:name="_Toc136014387"/>
      <w:bookmarkStart w:id="18" w:name="_Toc136014744"/>
      <w:bookmarkStart w:id="19" w:name="_Toc136015477"/>
      <w:bookmarkStart w:id="20" w:name="_Toc145951069"/>
      <w:r w:rsidRPr="008B1465">
        <w:rPr>
          <w:rFonts w:cs="Times New Roman"/>
          <w:szCs w:val="24"/>
        </w:rPr>
        <w:t>INTRODUCTION</w:t>
      </w:r>
      <w:bookmarkEnd w:id="15"/>
      <w:bookmarkEnd w:id="16"/>
      <w:bookmarkEnd w:id="17"/>
      <w:bookmarkEnd w:id="18"/>
      <w:bookmarkEnd w:id="19"/>
      <w:bookmarkEnd w:id="20"/>
    </w:p>
    <w:p w14:paraId="4D246B5F" w14:textId="3B110192" w:rsidR="001616E5" w:rsidRPr="008B1465" w:rsidRDefault="003F05E3" w:rsidP="007541CB">
      <w:pPr>
        <w:pStyle w:val="Heading2"/>
        <w:spacing w:line="360" w:lineRule="auto"/>
        <w:rPr>
          <w:rFonts w:cs="Times New Roman"/>
          <w:b w:val="0"/>
          <w:sz w:val="24"/>
          <w:szCs w:val="24"/>
        </w:rPr>
      </w:pPr>
      <w:bookmarkStart w:id="21" w:name="_Toc145951070"/>
      <w:r w:rsidRPr="008B1465">
        <w:rPr>
          <w:rFonts w:cs="Times New Roman"/>
          <w:sz w:val="24"/>
          <w:szCs w:val="24"/>
        </w:rPr>
        <w:t>Background to the Study</w:t>
      </w:r>
      <w:bookmarkEnd w:id="21"/>
    </w:p>
    <w:p w14:paraId="0937EB8A" w14:textId="28D2CBF4" w:rsidR="001616E5" w:rsidRPr="008B1465" w:rsidRDefault="0092039D" w:rsidP="007541CB">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Forensic accounting has been around for a long time, albeit it may not have been known as such during those times</w:t>
      </w:r>
      <w:r w:rsidR="00432807" w:rsidRPr="008B1465">
        <w:rPr>
          <w:rFonts w:ascii="Times New Roman" w:eastAsia="Calibri" w:hAnsi="Times New Roman"/>
          <w:sz w:val="24"/>
          <w:szCs w:val="24"/>
        </w:rPr>
        <w:t xml:space="preserve"> </w:t>
      </w:r>
      <w:r w:rsidR="00D67E09" w:rsidRPr="008B1465">
        <w:rPr>
          <w:rFonts w:ascii="Times New Roman" w:hAnsi="Times New Roman"/>
          <w:sz w:val="24"/>
          <w:szCs w:val="24"/>
        </w:rPr>
        <w:t>(Gorodilov &amp; Belyaev, 2019)</w:t>
      </w:r>
      <w:r w:rsidR="003F05E3" w:rsidRPr="008B1465">
        <w:rPr>
          <w:rFonts w:ascii="Times New Roman" w:eastAsia="Calibri" w:hAnsi="Times New Roman"/>
          <w:sz w:val="24"/>
          <w:szCs w:val="24"/>
        </w:rPr>
        <w:t xml:space="preserve">. </w:t>
      </w:r>
      <w:r w:rsidR="00A503FF" w:rsidRPr="008B1465">
        <w:rPr>
          <w:rFonts w:ascii="Times New Roman" w:eastAsia="Calibri" w:hAnsi="Times New Roman"/>
          <w:sz w:val="24"/>
          <w:szCs w:val="24"/>
        </w:rPr>
        <w:t>In ancient Egypt, the officers in charge of King Pharaoh’s grains, gold, and other valuable assets were called the "eyes and ears" of the Pharaoh. The duties of those officers in Pharaoh’s kingdom were the same as those of forensic accountant</w:t>
      </w:r>
      <w:r w:rsidR="00EF52CD" w:rsidRPr="008B1465">
        <w:rPr>
          <w:rFonts w:ascii="Times New Roman" w:eastAsia="Calibri" w:hAnsi="Times New Roman"/>
          <w:sz w:val="24"/>
          <w:szCs w:val="24"/>
        </w:rPr>
        <w:t>s</w:t>
      </w:r>
      <w:r w:rsidR="00A503FF" w:rsidRPr="008B1465">
        <w:rPr>
          <w:rFonts w:ascii="Times New Roman" w:eastAsia="Calibri" w:hAnsi="Times New Roman"/>
          <w:sz w:val="24"/>
          <w:szCs w:val="24"/>
        </w:rPr>
        <w:t xml:space="preserve"> in today’s business world </w:t>
      </w:r>
      <w:r w:rsidR="00D67E09" w:rsidRPr="008B1465">
        <w:rPr>
          <w:rFonts w:ascii="Times New Roman" w:eastAsia="Calibri" w:hAnsi="Times New Roman"/>
          <w:sz w:val="24"/>
          <w:szCs w:val="24"/>
        </w:rPr>
        <w:t>(Okoye, 2009).</w:t>
      </w:r>
      <w:r w:rsidR="003F05E3" w:rsidRPr="008B1465">
        <w:rPr>
          <w:rFonts w:ascii="Times New Roman" w:eastAsia="Calibri" w:hAnsi="Times New Roman"/>
          <w:sz w:val="24"/>
          <w:szCs w:val="24"/>
        </w:rPr>
        <w:t xml:space="preserve"> </w:t>
      </w:r>
      <w:r w:rsidR="007F5ABB">
        <w:rPr>
          <w:rFonts w:ascii="Times New Roman" w:eastAsia="Calibri" w:hAnsi="Times New Roman"/>
          <w:sz w:val="24"/>
          <w:szCs w:val="24"/>
        </w:rPr>
        <w:t>Several</w:t>
      </w:r>
      <w:r w:rsidR="004F559D" w:rsidRPr="008B1465">
        <w:rPr>
          <w:rFonts w:ascii="Times New Roman" w:eastAsia="Calibri" w:hAnsi="Times New Roman"/>
          <w:sz w:val="24"/>
          <w:szCs w:val="24"/>
        </w:rPr>
        <w:t xml:space="preserve"> financial scandals</w:t>
      </w:r>
      <w:r w:rsidR="007F5ABB">
        <w:rPr>
          <w:rFonts w:ascii="Times New Roman" w:eastAsia="Calibri" w:hAnsi="Times New Roman"/>
          <w:sz w:val="24"/>
          <w:szCs w:val="24"/>
        </w:rPr>
        <w:t xml:space="preserve"> have been</w:t>
      </w:r>
      <w:r w:rsidR="00F94C1F">
        <w:rPr>
          <w:rFonts w:ascii="Times New Roman" w:eastAsia="Calibri" w:hAnsi="Times New Roman"/>
          <w:sz w:val="24"/>
          <w:szCs w:val="24"/>
        </w:rPr>
        <w:t xml:space="preserve"> recorded</w:t>
      </w:r>
      <w:r w:rsidR="007F5ABB">
        <w:rPr>
          <w:rFonts w:ascii="Times New Roman" w:eastAsia="Calibri" w:hAnsi="Times New Roman"/>
          <w:sz w:val="24"/>
          <w:szCs w:val="24"/>
        </w:rPr>
        <w:t xml:space="preserve"> in the past including</w:t>
      </w:r>
      <w:r w:rsidR="00404E6C">
        <w:rPr>
          <w:rFonts w:ascii="Times New Roman" w:eastAsia="Calibri" w:hAnsi="Times New Roman"/>
          <w:sz w:val="24"/>
          <w:szCs w:val="24"/>
        </w:rPr>
        <w:t>:</w:t>
      </w:r>
      <w:r w:rsidR="004F559D" w:rsidRPr="008B1465">
        <w:rPr>
          <w:rFonts w:ascii="Times New Roman" w:eastAsia="Calibri" w:hAnsi="Times New Roman"/>
          <w:sz w:val="24"/>
          <w:szCs w:val="24"/>
        </w:rPr>
        <w:t xml:space="preserve"> Al Capone</w:t>
      </w:r>
      <w:r w:rsidR="000A654C" w:rsidRPr="008B1465">
        <w:rPr>
          <w:rFonts w:ascii="Times New Roman" w:eastAsia="Calibri" w:hAnsi="Times New Roman"/>
          <w:sz w:val="24"/>
          <w:szCs w:val="24"/>
        </w:rPr>
        <w:t xml:space="preserve"> in</w:t>
      </w:r>
      <w:r w:rsidR="004F559D" w:rsidRPr="008B1465">
        <w:rPr>
          <w:rFonts w:ascii="Times New Roman" w:eastAsia="Calibri" w:hAnsi="Times New Roman"/>
          <w:sz w:val="24"/>
          <w:szCs w:val="24"/>
        </w:rPr>
        <w:t>1930</w:t>
      </w:r>
      <w:r w:rsidR="00D2430F" w:rsidRPr="008B1465">
        <w:rPr>
          <w:rFonts w:ascii="Times New Roman" w:eastAsia="Calibri" w:hAnsi="Times New Roman"/>
          <w:sz w:val="24"/>
          <w:szCs w:val="24"/>
        </w:rPr>
        <w:t>;</w:t>
      </w:r>
      <w:r w:rsidR="00EF52CD" w:rsidRPr="008B1465">
        <w:rPr>
          <w:rFonts w:ascii="Times New Roman" w:eastAsia="Calibri" w:hAnsi="Times New Roman"/>
          <w:sz w:val="24"/>
          <w:szCs w:val="24"/>
        </w:rPr>
        <w:t xml:space="preserve"> </w:t>
      </w:r>
      <w:r w:rsidR="004F559D" w:rsidRPr="008B1465">
        <w:rPr>
          <w:rFonts w:ascii="Times New Roman" w:eastAsia="Calibri" w:hAnsi="Times New Roman"/>
          <w:sz w:val="24"/>
          <w:szCs w:val="24"/>
        </w:rPr>
        <w:t>Royal Mail Steam Packet Company</w:t>
      </w:r>
      <w:r w:rsidR="000A654C" w:rsidRPr="008B1465">
        <w:rPr>
          <w:rFonts w:ascii="Times New Roman" w:eastAsia="Calibri" w:hAnsi="Times New Roman"/>
          <w:sz w:val="24"/>
          <w:szCs w:val="24"/>
        </w:rPr>
        <w:t xml:space="preserve"> in</w:t>
      </w:r>
      <w:r w:rsidR="004F559D" w:rsidRPr="008B1465">
        <w:rPr>
          <w:rFonts w:ascii="Times New Roman" w:eastAsia="Calibri" w:hAnsi="Times New Roman"/>
          <w:sz w:val="24"/>
          <w:szCs w:val="24"/>
        </w:rPr>
        <w:t xml:space="preserve"> 1931</w:t>
      </w:r>
      <w:r w:rsidR="00D2430F" w:rsidRPr="008B1465">
        <w:rPr>
          <w:rFonts w:ascii="Times New Roman" w:eastAsia="Calibri" w:hAnsi="Times New Roman"/>
          <w:sz w:val="24"/>
          <w:szCs w:val="24"/>
        </w:rPr>
        <w:t>;</w:t>
      </w:r>
      <w:r w:rsidR="004F559D" w:rsidRPr="008B1465">
        <w:rPr>
          <w:rFonts w:ascii="Times New Roman" w:eastAsia="Calibri" w:hAnsi="Times New Roman"/>
          <w:sz w:val="24"/>
          <w:szCs w:val="24"/>
        </w:rPr>
        <w:t xml:space="preserve"> Equity Funding </w:t>
      </w:r>
      <w:r w:rsidR="00D2430F" w:rsidRPr="008B1465">
        <w:rPr>
          <w:rFonts w:ascii="Times New Roman" w:eastAsia="Calibri" w:hAnsi="Times New Roman"/>
          <w:sz w:val="24"/>
          <w:szCs w:val="24"/>
        </w:rPr>
        <w:t xml:space="preserve">in </w:t>
      </w:r>
      <w:r w:rsidR="004F559D" w:rsidRPr="008B1465">
        <w:rPr>
          <w:rFonts w:ascii="Times New Roman" w:eastAsia="Calibri" w:hAnsi="Times New Roman"/>
          <w:sz w:val="24"/>
          <w:szCs w:val="24"/>
        </w:rPr>
        <w:t>1973</w:t>
      </w:r>
      <w:r w:rsidR="00D2430F" w:rsidRPr="008B1465">
        <w:rPr>
          <w:rFonts w:ascii="Times New Roman" w:eastAsia="Calibri" w:hAnsi="Times New Roman"/>
          <w:sz w:val="24"/>
          <w:szCs w:val="24"/>
        </w:rPr>
        <w:t>;</w:t>
      </w:r>
      <w:r w:rsidR="004F559D" w:rsidRPr="008B1465">
        <w:rPr>
          <w:rFonts w:ascii="Times New Roman" w:eastAsia="Calibri" w:hAnsi="Times New Roman"/>
          <w:sz w:val="24"/>
          <w:szCs w:val="24"/>
        </w:rPr>
        <w:t xml:space="preserve"> Down Polly Peck </w:t>
      </w:r>
      <w:r w:rsidR="00D2430F" w:rsidRPr="008B1465">
        <w:rPr>
          <w:rFonts w:ascii="Times New Roman" w:eastAsia="Calibri" w:hAnsi="Times New Roman"/>
          <w:sz w:val="24"/>
          <w:szCs w:val="24"/>
        </w:rPr>
        <w:t xml:space="preserve">in </w:t>
      </w:r>
      <w:r w:rsidR="004F559D" w:rsidRPr="008B1465">
        <w:rPr>
          <w:rFonts w:ascii="Times New Roman" w:eastAsia="Calibri" w:hAnsi="Times New Roman"/>
          <w:sz w:val="24"/>
          <w:szCs w:val="24"/>
        </w:rPr>
        <w:t>1990</w:t>
      </w:r>
      <w:r w:rsidR="00C943CF" w:rsidRPr="008B1465">
        <w:rPr>
          <w:rFonts w:ascii="Times New Roman" w:eastAsia="Calibri" w:hAnsi="Times New Roman"/>
          <w:sz w:val="24"/>
          <w:szCs w:val="24"/>
        </w:rPr>
        <w:t>;</w:t>
      </w:r>
      <w:r w:rsidR="004F559D" w:rsidRPr="008B1465">
        <w:rPr>
          <w:rFonts w:ascii="Times New Roman" w:eastAsia="Calibri" w:hAnsi="Times New Roman"/>
          <w:sz w:val="24"/>
          <w:szCs w:val="24"/>
        </w:rPr>
        <w:t xml:space="preserve"> Enron </w:t>
      </w:r>
      <w:r w:rsidR="00C943CF" w:rsidRPr="008B1465">
        <w:rPr>
          <w:rFonts w:ascii="Times New Roman" w:eastAsia="Calibri" w:hAnsi="Times New Roman"/>
          <w:sz w:val="24"/>
          <w:szCs w:val="24"/>
        </w:rPr>
        <w:t>corporation</w:t>
      </w:r>
      <w:r w:rsidR="004F559D" w:rsidRPr="008B1465">
        <w:rPr>
          <w:rFonts w:ascii="Times New Roman" w:eastAsia="Calibri" w:hAnsi="Times New Roman"/>
          <w:sz w:val="24"/>
          <w:szCs w:val="24"/>
        </w:rPr>
        <w:t xml:space="preserve"> in 2001</w:t>
      </w:r>
      <w:r w:rsidR="00C943CF" w:rsidRPr="008B1465">
        <w:rPr>
          <w:rFonts w:ascii="Times New Roman" w:eastAsia="Calibri" w:hAnsi="Times New Roman"/>
          <w:sz w:val="24"/>
          <w:szCs w:val="24"/>
        </w:rPr>
        <w:t>;</w:t>
      </w:r>
      <w:r w:rsidR="004F559D" w:rsidRPr="008B1465">
        <w:rPr>
          <w:rFonts w:ascii="Times New Roman" w:eastAsia="Calibri" w:hAnsi="Times New Roman"/>
          <w:sz w:val="24"/>
          <w:szCs w:val="24"/>
        </w:rPr>
        <w:t xml:space="preserve"> Global Crossing </w:t>
      </w:r>
      <w:r w:rsidR="00BA326C" w:rsidRPr="008B1465">
        <w:rPr>
          <w:rFonts w:ascii="Times New Roman" w:eastAsia="Calibri" w:hAnsi="Times New Roman"/>
          <w:sz w:val="24"/>
          <w:szCs w:val="24"/>
        </w:rPr>
        <w:t xml:space="preserve">in </w:t>
      </w:r>
      <w:r w:rsidR="004F559D" w:rsidRPr="008B1465">
        <w:rPr>
          <w:rFonts w:ascii="Times New Roman" w:eastAsia="Calibri" w:hAnsi="Times New Roman"/>
          <w:sz w:val="24"/>
          <w:szCs w:val="24"/>
        </w:rPr>
        <w:t>2002, Duke Energy (USA) and WorldCom (USA) in 2002</w:t>
      </w:r>
      <w:r w:rsidR="00D211E0" w:rsidRPr="008B1465">
        <w:rPr>
          <w:rFonts w:ascii="Times New Roman" w:eastAsia="Calibri" w:hAnsi="Times New Roman"/>
          <w:sz w:val="24"/>
          <w:szCs w:val="24"/>
        </w:rPr>
        <w:t>;</w:t>
      </w:r>
      <w:r w:rsidR="004F559D" w:rsidRPr="008B1465">
        <w:rPr>
          <w:rFonts w:ascii="Times New Roman" w:eastAsia="Calibri" w:hAnsi="Times New Roman"/>
          <w:sz w:val="24"/>
          <w:szCs w:val="24"/>
        </w:rPr>
        <w:t xml:space="preserve"> Xerox 2002, Nortel Networks (Canada) in 2003</w:t>
      </w:r>
      <w:r w:rsidR="00D211E0" w:rsidRPr="008B1465">
        <w:rPr>
          <w:rFonts w:ascii="Times New Roman" w:eastAsia="Calibri" w:hAnsi="Times New Roman"/>
          <w:sz w:val="24"/>
          <w:szCs w:val="24"/>
        </w:rPr>
        <w:t>;</w:t>
      </w:r>
      <w:r w:rsidR="004F559D" w:rsidRPr="008B1465">
        <w:rPr>
          <w:rFonts w:ascii="Times New Roman" w:eastAsia="Calibri" w:hAnsi="Times New Roman"/>
          <w:sz w:val="24"/>
          <w:szCs w:val="24"/>
        </w:rPr>
        <w:t xml:space="preserve"> Parmalat in 2003</w:t>
      </w:r>
      <w:r w:rsidR="00D211E0" w:rsidRPr="008B1465">
        <w:rPr>
          <w:rFonts w:ascii="Times New Roman" w:eastAsia="Calibri" w:hAnsi="Times New Roman"/>
          <w:sz w:val="24"/>
          <w:szCs w:val="24"/>
        </w:rPr>
        <w:t>;</w:t>
      </w:r>
      <w:r w:rsidR="004F559D" w:rsidRPr="008B1465">
        <w:rPr>
          <w:rFonts w:ascii="Times New Roman" w:eastAsia="Calibri" w:hAnsi="Times New Roman"/>
          <w:sz w:val="24"/>
          <w:szCs w:val="24"/>
        </w:rPr>
        <w:t xml:space="preserve"> Livedoor (Japan) in 2006</w:t>
      </w:r>
      <w:r w:rsidR="00BA326C" w:rsidRPr="008B1465">
        <w:rPr>
          <w:rFonts w:ascii="Times New Roman" w:eastAsia="Calibri" w:hAnsi="Times New Roman"/>
          <w:sz w:val="24"/>
          <w:szCs w:val="24"/>
        </w:rPr>
        <w:t>;</w:t>
      </w:r>
      <w:r w:rsidR="004F559D" w:rsidRPr="008B1465">
        <w:rPr>
          <w:rFonts w:ascii="Times New Roman" w:eastAsia="Calibri" w:hAnsi="Times New Roman"/>
          <w:sz w:val="24"/>
          <w:szCs w:val="24"/>
        </w:rPr>
        <w:t xml:space="preserve"> General Motors (USA) and Madoff in 2008</w:t>
      </w:r>
      <w:r w:rsidR="00933151" w:rsidRPr="008B1465">
        <w:rPr>
          <w:rFonts w:ascii="Times New Roman" w:eastAsia="Calibri" w:hAnsi="Times New Roman"/>
          <w:sz w:val="24"/>
          <w:szCs w:val="24"/>
        </w:rPr>
        <w:t xml:space="preserve">. </w:t>
      </w:r>
      <w:r w:rsidR="00CF3408">
        <w:rPr>
          <w:rFonts w:ascii="Times New Roman" w:eastAsia="Calibri" w:hAnsi="Times New Roman"/>
          <w:sz w:val="24"/>
          <w:szCs w:val="24"/>
        </w:rPr>
        <w:t>However, t</w:t>
      </w:r>
      <w:r w:rsidR="00933151" w:rsidRPr="008B1465">
        <w:rPr>
          <w:rFonts w:ascii="Times New Roman" w:eastAsia="Calibri" w:hAnsi="Times New Roman"/>
          <w:sz w:val="24"/>
          <w:szCs w:val="24"/>
        </w:rPr>
        <w:t>he accounting profession seem</w:t>
      </w:r>
      <w:r w:rsidR="00A9235E" w:rsidRPr="008B1465">
        <w:rPr>
          <w:rFonts w:ascii="Times New Roman" w:eastAsia="Calibri" w:hAnsi="Times New Roman"/>
          <w:sz w:val="24"/>
          <w:szCs w:val="24"/>
        </w:rPr>
        <w:t>s not</w:t>
      </w:r>
      <w:r w:rsidR="00933151" w:rsidRPr="008B1465">
        <w:rPr>
          <w:rFonts w:ascii="Times New Roman" w:eastAsia="Calibri" w:hAnsi="Times New Roman"/>
          <w:sz w:val="24"/>
          <w:szCs w:val="24"/>
        </w:rPr>
        <w:t xml:space="preserve"> to have learned anything from all of th</w:t>
      </w:r>
      <w:r w:rsidR="0095305E" w:rsidRPr="008B1465">
        <w:rPr>
          <w:rFonts w:ascii="Times New Roman" w:eastAsia="Calibri" w:hAnsi="Times New Roman"/>
          <w:sz w:val="24"/>
          <w:szCs w:val="24"/>
        </w:rPr>
        <w:t>ese</w:t>
      </w:r>
      <w:r w:rsidR="00E2133D" w:rsidRPr="008B1465">
        <w:rPr>
          <w:rFonts w:ascii="Times New Roman" w:eastAsia="Calibri" w:hAnsi="Times New Roman"/>
          <w:sz w:val="24"/>
          <w:szCs w:val="24"/>
        </w:rPr>
        <w:t xml:space="preserve"> </w:t>
      </w:r>
      <w:r w:rsidR="00DC4032" w:rsidRPr="008B1465">
        <w:rPr>
          <w:rFonts w:ascii="Times New Roman" w:eastAsia="Calibri" w:hAnsi="Times New Roman"/>
          <w:sz w:val="24"/>
          <w:szCs w:val="24"/>
        </w:rPr>
        <w:t>incidence</w:t>
      </w:r>
      <w:r w:rsidR="0095305E" w:rsidRPr="008B1465">
        <w:rPr>
          <w:rFonts w:ascii="Times New Roman" w:eastAsia="Calibri" w:hAnsi="Times New Roman"/>
          <w:sz w:val="24"/>
          <w:szCs w:val="24"/>
        </w:rPr>
        <w:t>s</w:t>
      </w:r>
      <w:r w:rsidR="00DC4032" w:rsidRPr="008B1465">
        <w:rPr>
          <w:rFonts w:ascii="Times New Roman" w:eastAsia="Calibri" w:hAnsi="Times New Roman"/>
          <w:sz w:val="24"/>
          <w:szCs w:val="24"/>
        </w:rPr>
        <w:t xml:space="preserve"> </w:t>
      </w:r>
      <w:r w:rsidR="00933151" w:rsidRPr="008B1465">
        <w:rPr>
          <w:rFonts w:ascii="Times New Roman" w:eastAsia="Calibri" w:hAnsi="Times New Roman"/>
          <w:sz w:val="24"/>
          <w:szCs w:val="24"/>
        </w:rPr>
        <w:t>of companies</w:t>
      </w:r>
      <w:r w:rsidR="00DC4032" w:rsidRPr="008B1465">
        <w:rPr>
          <w:rFonts w:ascii="Times New Roman" w:eastAsia="Calibri" w:hAnsi="Times New Roman"/>
          <w:sz w:val="24"/>
          <w:szCs w:val="24"/>
        </w:rPr>
        <w:t>’</w:t>
      </w:r>
      <w:r w:rsidR="00933151" w:rsidRPr="008B1465">
        <w:rPr>
          <w:rFonts w:ascii="Times New Roman" w:eastAsia="Calibri" w:hAnsi="Times New Roman"/>
          <w:sz w:val="24"/>
          <w:szCs w:val="24"/>
        </w:rPr>
        <w:t xml:space="preserve"> </w:t>
      </w:r>
      <w:r w:rsidR="00DC4032" w:rsidRPr="008B1465">
        <w:rPr>
          <w:rFonts w:ascii="Times New Roman" w:eastAsia="Calibri" w:hAnsi="Times New Roman"/>
          <w:sz w:val="24"/>
          <w:szCs w:val="24"/>
        </w:rPr>
        <w:t>failure due to</w:t>
      </w:r>
      <w:r w:rsidR="00933151" w:rsidRPr="008B1465">
        <w:rPr>
          <w:rFonts w:ascii="Times New Roman" w:eastAsia="Calibri" w:hAnsi="Times New Roman"/>
          <w:sz w:val="24"/>
          <w:szCs w:val="24"/>
        </w:rPr>
        <w:t xml:space="preserve"> financial scandals (Awolowo, 2019). </w:t>
      </w:r>
    </w:p>
    <w:p w14:paraId="4153C04F" w14:textId="3C2EDC83" w:rsidR="001616E5" w:rsidRPr="008B1465" w:rsidRDefault="00AE1462" w:rsidP="007541CB">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The underlying reason for all these financial scandals is the fact that fraudulent activities are undertaken by managers who do not give enough room to professional accountants to perform their duties with probity and integrity </w:t>
      </w:r>
      <w:sdt>
        <w:sdtPr>
          <w:rPr>
            <w:rFonts w:ascii="Times New Roman" w:eastAsia="Calibri" w:hAnsi="Times New Roman"/>
            <w:sz w:val="24"/>
            <w:szCs w:val="24"/>
          </w:rPr>
          <w:tag w:val="MENDELEY_CITATION_v3_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"/>
          <w:id w:val="-1770541009"/>
        </w:sdtPr>
        <w:sdtEndPr>
          <w:rPr>
            <w:rFonts w:eastAsia="Times New Roman"/>
          </w:rPr>
        </w:sdtEndPr>
        <w:sdtContent>
          <w:r w:rsidR="00BB15B3" w:rsidRPr="008B1465">
            <w:rPr>
              <w:rFonts w:ascii="Times New Roman" w:hAnsi="Times New Roman"/>
              <w:sz w:val="24"/>
              <w:szCs w:val="24"/>
            </w:rPr>
            <w:t>(Atabay &amp; Dinç, 2020)</w:t>
          </w:r>
        </w:sdtContent>
      </w:sdt>
      <w:r w:rsidR="003F05E3" w:rsidRPr="008B1465">
        <w:rPr>
          <w:rFonts w:ascii="Times New Roman" w:eastAsia="Calibri" w:hAnsi="Times New Roman"/>
          <w:sz w:val="24"/>
          <w:szCs w:val="24"/>
        </w:rPr>
        <w:t xml:space="preserve">.  </w:t>
      </w:r>
      <w:r w:rsidR="00D41D4A" w:rsidRPr="008B1465">
        <w:rPr>
          <w:rFonts w:ascii="Times New Roman" w:eastAsia="Calibri" w:hAnsi="Times New Roman"/>
          <w:sz w:val="24"/>
          <w:szCs w:val="24"/>
        </w:rPr>
        <w:t xml:space="preserve">The collapse of Arthur Andersen, coupled with the investigation of the securities and investment banking industry, was a signal to the accounting profession concerning the development of a paradigm shift that goes beyond statutory audit and corporate governance </w:t>
      </w:r>
      <w:sdt>
        <w:sdtPr>
          <w:rPr>
            <w:rFonts w:ascii="Times New Roman" w:hAnsi="Times New Roman"/>
            <w:sz w:val="24"/>
            <w:szCs w:val="24"/>
          </w:rPr>
          <w:tag w:val="MENDELEY_CITATION_v3_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"/>
          <w:id w:val="1125278784"/>
        </w:sdtPr>
        <w:sdtEndPr/>
        <w:sdtContent>
          <w:r w:rsidR="00BB15B3" w:rsidRPr="008B1465">
            <w:rPr>
              <w:rFonts w:ascii="Times New Roman" w:hAnsi="Times New Roman"/>
              <w:sz w:val="24"/>
              <w:szCs w:val="24"/>
            </w:rPr>
            <w:t>(</w:t>
          </w:r>
          <w:r w:rsidR="00674298" w:rsidRPr="003204B9">
            <w:rPr>
              <w:rFonts w:ascii="Times New Roman" w:hAnsi="Times New Roman"/>
              <w:color w:val="222222"/>
              <w:sz w:val="24"/>
              <w:szCs w:val="24"/>
              <w:shd w:val="clear" w:color="auto" w:fill="FFFFFF"/>
            </w:rPr>
            <w:t>Obeng-Nyarko</w:t>
          </w:r>
          <w:r w:rsidR="00674298">
            <w:rPr>
              <w:rFonts w:ascii="Times New Roman" w:hAnsi="Times New Roman"/>
              <w:color w:val="222222"/>
              <w:sz w:val="24"/>
              <w:szCs w:val="24"/>
              <w:shd w:val="clear" w:color="auto" w:fill="FFFFFF"/>
            </w:rPr>
            <w:t>, 2023;</w:t>
          </w:r>
          <w:r w:rsidR="00674298" w:rsidRPr="008B1465">
            <w:rPr>
              <w:rFonts w:ascii="Times New Roman" w:hAnsi="Times New Roman"/>
              <w:sz w:val="24"/>
              <w:szCs w:val="24"/>
            </w:rPr>
            <w:t xml:space="preserve"> </w:t>
          </w:r>
          <w:r w:rsidR="00BB15B3" w:rsidRPr="008B1465">
            <w:rPr>
              <w:rFonts w:ascii="Times New Roman" w:hAnsi="Times New Roman"/>
              <w:sz w:val="24"/>
              <w:szCs w:val="24"/>
            </w:rPr>
            <w:t>Owojori &amp; Asaolu, 2009)</w:t>
          </w:r>
        </w:sdtContent>
      </w:sdt>
      <w:r w:rsidR="003F05E3" w:rsidRPr="008B1465">
        <w:rPr>
          <w:rFonts w:ascii="Times New Roman" w:eastAsia="Calibri" w:hAnsi="Times New Roman"/>
          <w:sz w:val="24"/>
          <w:szCs w:val="24"/>
        </w:rPr>
        <w:t xml:space="preserve">. To this end, forensic accounting has come forth as a leading crusade against financial </w:t>
      </w:r>
      <w:r w:rsidR="004378A5" w:rsidRPr="008B1465">
        <w:rPr>
          <w:rFonts w:ascii="Times New Roman" w:eastAsia="Calibri" w:hAnsi="Times New Roman"/>
          <w:sz w:val="24"/>
          <w:szCs w:val="24"/>
        </w:rPr>
        <w:t xml:space="preserve">misconduct </w:t>
      </w:r>
      <w:sdt>
        <w:sdtPr>
          <w:rPr>
            <w:rFonts w:ascii="Times New Roman" w:eastAsia="Calibri" w:hAnsi="Times New Roman"/>
            <w:sz w:val="24"/>
            <w:szCs w:val="24"/>
            <w:shd w:val="clear" w:color="auto" w:fill="FFFF00"/>
          </w:rPr>
          <w:tag w:val="MENDELEY_CITATION_v3_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"/>
          <w:id w:val="1487969340"/>
        </w:sdtPr>
        <w:sdtEndPr>
          <w:rPr>
            <w:rFonts w:eastAsia="Times New Roman"/>
            <w:shd w:val="clear" w:color="auto" w:fill="auto"/>
          </w:rPr>
        </w:sdtEndPr>
        <w:sdtContent>
          <w:r w:rsidR="00BB15B3" w:rsidRPr="008B1465">
            <w:rPr>
              <w:rFonts w:ascii="Times New Roman" w:hAnsi="Times New Roman"/>
              <w:sz w:val="24"/>
              <w:szCs w:val="24"/>
            </w:rPr>
            <w:t>(</w:t>
          </w:r>
          <w:r w:rsidR="00A31EE3" w:rsidRPr="003204B9">
            <w:rPr>
              <w:rFonts w:ascii="Times New Roman" w:hAnsi="Times New Roman"/>
              <w:color w:val="222222"/>
              <w:sz w:val="24"/>
              <w:szCs w:val="24"/>
              <w:shd w:val="clear" w:color="auto" w:fill="FFFFFF"/>
            </w:rPr>
            <w:t xml:space="preserve">Lawal., Kurawa., Hamid., &amp; Umar, </w:t>
          </w:r>
          <w:r w:rsidR="00A31EE3">
            <w:rPr>
              <w:rFonts w:ascii="Times New Roman" w:hAnsi="Times New Roman"/>
              <w:color w:val="222222"/>
              <w:sz w:val="24"/>
              <w:szCs w:val="24"/>
              <w:shd w:val="clear" w:color="auto" w:fill="FFFFFF"/>
            </w:rPr>
            <w:t xml:space="preserve">2021; </w:t>
          </w:r>
          <w:r w:rsidR="00BB15B3" w:rsidRPr="008B1465">
            <w:rPr>
              <w:rFonts w:ascii="Times New Roman" w:hAnsi="Times New Roman"/>
              <w:sz w:val="24"/>
              <w:szCs w:val="24"/>
            </w:rPr>
            <w:t>DiGabriele &amp; Huber, 2018)</w:t>
          </w:r>
        </w:sdtContent>
      </w:sdt>
      <w:r w:rsidR="003F05E3" w:rsidRPr="008B1465">
        <w:rPr>
          <w:rFonts w:ascii="Times New Roman" w:eastAsia="Calibri" w:hAnsi="Times New Roman"/>
          <w:sz w:val="24"/>
          <w:szCs w:val="24"/>
        </w:rPr>
        <w:t xml:space="preserve">. </w:t>
      </w:r>
      <w:r w:rsidR="006248A2" w:rsidRPr="008B1465">
        <w:rPr>
          <w:rFonts w:ascii="Times New Roman" w:eastAsia="Calibri" w:hAnsi="Times New Roman"/>
          <w:sz w:val="24"/>
          <w:szCs w:val="24"/>
        </w:rPr>
        <w:t xml:space="preserve">Forensic accounting deals with solving complex financial riddles and not just about number crunching; it also deals with fraud investigations, evaluating damages, business valuation, and </w:t>
      </w:r>
      <w:r w:rsidR="00F73884" w:rsidRPr="008B1465">
        <w:rPr>
          <w:rFonts w:ascii="Times New Roman" w:eastAsia="Calibri" w:hAnsi="Times New Roman"/>
          <w:sz w:val="24"/>
          <w:szCs w:val="24"/>
        </w:rPr>
        <w:t>re</w:t>
      </w:r>
      <w:r w:rsidR="006248A2" w:rsidRPr="008B1465">
        <w:rPr>
          <w:rFonts w:ascii="Times New Roman" w:eastAsia="Calibri" w:hAnsi="Times New Roman"/>
          <w:sz w:val="24"/>
          <w:szCs w:val="24"/>
        </w:rPr>
        <w:t xml:space="preserve">solving </w:t>
      </w:r>
      <w:r w:rsidR="00F73884" w:rsidRPr="008B1465">
        <w:rPr>
          <w:rFonts w:ascii="Times New Roman" w:eastAsia="Calibri" w:hAnsi="Times New Roman"/>
          <w:sz w:val="24"/>
          <w:szCs w:val="24"/>
        </w:rPr>
        <w:t>related</w:t>
      </w:r>
      <w:r w:rsidR="006248A2" w:rsidRPr="008B1465">
        <w:rPr>
          <w:rFonts w:ascii="Times New Roman" w:eastAsia="Calibri" w:hAnsi="Times New Roman"/>
          <w:sz w:val="24"/>
          <w:szCs w:val="24"/>
        </w:rPr>
        <w:t xml:space="preserve"> financial crisis.</w:t>
      </w:r>
    </w:p>
    <w:p w14:paraId="56055EEC" w14:textId="176F2F3C" w:rsidR="0003393E" w:rsidRPr="0003393E" w:rsidRDefault="00271F03" w:rsidP="0003393E">
      <w:pPr>
        <w:spacing w:after="0" w:line="360" w:lineRule="auto"/>
        <w:jc w:val="both"/>
        <w:rPr>
          <w:rFonts w:ascii="Times New Roman" w:eastAsia="Calibri" w:hAnsi="Times New Roman"/>
          <w:sz w:val="24"/>
          <w:szCs w:val="24"/>
        </w:rPr>
      </w:pPr>
      <w:sdt>
        <w:sdtPr>
          <w:rPr>
            <w:rFonts w:ascii="Times New Roman" w:hAnsi="Times New Roman"/>
            <w:sz w:val="24"/>
            <w:szCs w:val="24"/>
          </w:rPr>
          <w:tag w:val="MENDELEY_CITATION_v3_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"/>
          <w:id w:val="1323154099"/>
        </w:sdtPr>
        <w:sdtEndPr/>
        <w:sdtContent>
          <w:r w:rsidR="00FF46AB" w:rsidRPr="003204B9">
            <w:rPr>
              <w:rFonts w:ascii="Times New Roman" w:hAnsi="Times New Roman"/>
              <w:color w:val="222222"/>
              <w:sz w:val="24"/>
              <w:szCs w:val="24"/>
              <w:shd w:val="clear" w:color="auto" w:fill="FFFFFF"/>
            </w:rPr>
            <w:t xml:space="preserve">Azar., </w:t>
          </w:r>
          <w:r w:rsidR="00FF46AB">
            <w:rPr>
              <w:rFonts w:ascii="Times New Roman" w:hAnsi="Times New Roman"/>
              <w:color w:val="222222"/>
              <w:sz w:val="24"/>
              <w:szCs w:val="24"/>
              <w:shd w:val="clear" w:color="auto" w:fill="FFFFFF"/>
            </w:rPr>
            <w:t>and</w:t>
          </w:r>
          <w:r w:rsidR="00FF46AB" w:rsidRPr="003204B9">
            <w:rPr>
              <w:rFonts w:ascii="Times New Roman" w:hAnsi="Times New Roman"/>
              <w:color w:val="222222"/>
              <w:sz w:val="24"/>
              <w:szCs w:val="24"/>
              <w:shd w:val="clear" w:color="auto" w:fill="FFFFFF"/>
            </w:rPr>
            <w:t xml:space="preserve"> Sahar (2022</w:t>
          </w:r>
          <w:r w:rsidR="00FF46AB">
            <w:rPr>
              <w:rFonts w:ascii="Times New Roman" w:hAnsi="Times New Roman"/>
              <w:color w:val="222222"/>
              <w:sz w:val="24"/>
              <w:szCs w:val="24"/>
              <w:shd w:val="clear" w:color="auto" w:fill="FFFFFF"/>
            </w:rPr>
            <w:t xml:space="preserve">): </w:t>
          </w:r>
          <w:r w:rsidR="00BB15B3" w:rsidRPr="008B1465">
            <w:rPr>
              <w:rFonts w:ascii="Times New Roman" w:hAnsi="Times New Roman"/>
              <w:sz w:val="24"/>
              <w:szCs w:val="24"/>
            </w:rPr>
            <w:t xml:space="preserve">Smith </w:t>
          </w:r>
          <w:r w:rsidR="000320ED" w:rsidRPr="008B1465">
            <w:rPr>
              <w:rFonts w:ascii="Times New Roman" w:hAnsi="Times New Roman"/>
              <w:sz w:val="24"/>
              <w:szCs w:val="24"/>
            </w:rPr>
            <w:t>and</w:t>
          </w:r>
          <w:r w:rsidR="00BB15B3" w:rsidRPr="008B1465">
            <w:rPr>
              <w:rFonts w:ascii="Times New Roman" w:hAnsi="Times New Roman"/>
              <w:sz w:val="24"/>
              <w:szCs w:val="24"/>
            </w:rPr>
            <w:t xml:space="preserve"> Crumbley </w:t>
          </w:r>
          <w:r w:rsidR="000320ED" w:rsidRPr="008B1465">
            <w:rPr>
              <w:rFonts w:ascii="Times New Roman" w:hAnsi="Times New Roman"/>
              <w:sz w:val="24"/>
              <w:szCs w:val="24"/>
            </w:rPr>
            <w:t>(</w:t>
          </w:r>
          <w:r w:rsidR="00BB15B3" w:rsidRPr="008B1465">
            <w:rPr>
              <w:rFonts w:ascii="Times New Roman" w:hAnsi="Times New Roman"/>
              <w:sz w:val="24"/>
              <w:szCs w:val="24"/>
            </w:rPr>
            <w:t>2009)</w:t>
          </w:r>
        </w:sdtContent>
      </w:sdt>
      <w:r w:rsidR="003F05E3" w:rsidRPr="008B1465">
        <w:rPr>
          <w:rFonts w:ascii="Times New Roman" w:eastAsia="Calibri" w:hAnsi="Times New Roman"/>
          <w:sz w:val="24"/>
          <w:szCs w:val="24"/>
        </w:rPr>
        <w:t xml:space="preserve"> </w:t>
      </w:r>
      <w:r w:rsidR="00EE140A" w:rsidRPr="008B1465">
        <w:rPr>
          <w:rFonts w:ascii="Times New Roman" w:eastAsia="Calibri" w:hAnsi="Times New Roman"/>
          <w:sz w:val="24"/>
          <w:szCs w:val="24"/>
        </w:rPr>
        <w:t>asserted that the current accounting reporting system and conventional auditing cannot mitigate financial misconduct in financial reports.</w:t>
      </w:r>
      <w:r w:rsidR="0003393E">
        <w:rPr>
          <w:rFonts w:ascii="Times New Roman" w:eastAsia="Calibri" w:hAnsi="Times New Roman"/>
          <w:sz w:val="24"/>
          <w:szCs w:val="24"/>
        </w:rPr>
        <w:t xml:space="preserve"> </w:t>
      </w:r>
      <w:r w:rsidR="0003393E" w:rsidRPr="0003393E">
        <w:rPr>
          <w:rFonts w:ascii="Times New Roman" w:eastAsia="Calibri" w:hAnsi="Times New Roman"/>
          <w:sz w:val="24"/>
          <w:szCs w:val="24"/>
        </w:rPr>
        <w:t>Professional bodies and regulatory agencies should devise plans to reform the accounting profession from conventional accounting to forensic accounting among federal universities in the country.</w:t>
      </w:r>
    </w:p>
    <w:p w14:paraId="30F72358" w14:textId="232DC212" w:rsidR="004824D7" w:rsidRDefault="004824D7" w:rsidP="004824D7">
      <w:pPr>
        <w:spacing w:line="360" w:lineRule="auto"/>
        <w:jc w:val="both"/>
        <w:rPr>
          <w:rFonts w:ascii="Times New Roman" w:hAnsi="Times New Roman"/>
          <w:sz w:val="24"/>
          <w:szCs w:val="24"/>
        </w:rPr>
      </w:pPr>
      <w:r w:rsidRPr="00C61ECE">
        <w:rPr>
          <w:rFonts w:ascii="Times New Roman" w:hAnsi="Times New Roman"/>
          <w:sz w:val="24"/>
          <w:szCs w:val="24"/>
        </w:rPr>
        <w:t>The Public Procurement Act of 2007 in Nigeria is a comprehensive legislation that regulates and controls procurement processes and monetary transactions in government institutions</w:t>
      </w:r>
      <w:r w:rsidR="003541F2">
        <w:rPr>
          <w:rFonts w:ascii="Times New Roman" w:hAnsi="Times New Roman"/>
          <w:sz w:val="24"/>
          <w:szCs w:val="24"/>
        </w:rPr>
        <w:t xml:space="preserve"> </w:t>
      </w:r>
      <w:r w:rsidR="007828C4">
        <w:rPr>
          <w:rFonts w:ascii="Times New Roman" w:hAnsi="Times New Roman"/>
          <w:sz w:val="24"/>
          <w:szCs w:val="24"/>
        </w:rPr>
        <w:t>(</w:t>
      </w:r>
      <w:r w:rsidR="007828C4" w:rsidRPr="007828C4">
        <w:rPr>
          <w:rFonts w:ascii="Times New Roman" w:hAnsi="Times New Roman"/>
          <w:sz w:val="24"/>
          <w:szCs w:val="24"/>
        </w:rPr>
        <w:t>Fagbadebo</w:t>
      </w:r>
      <w:r w:rsidR="007828C4">
        <w:rPr>
          <w:rFonts w:ascii="Times New Roman" w:hAnsi="Times New Roman"/>
          <w:sz w:val="24"/>
          <w:szCs w:val="24"/>
        </w:rPr>
        <w:t xml:space="preserve"> </w:t>
      </w:r>
      <w:r w:rsidR="007828C4" w:rsidRPr="007828C4">
        <w:rPr>
          <w:rFonts w:ascii="Times New Roman" w:hAnsi="Times New Roman"/>
          <w:sz w:val="24"/>
          <w:szCs w:val="24"/>
        </w:rPr>
        <w:t>&amp; Mbada, 2021).</w:t>
      </w:r>
      <w:r w:rsidRPr="00C61ECE">
        <w:rPr>
          <w:rFonts w:ascii="Times New Roman" w:hAnsi="Times New Roman"/>
          <w:sz w:val="24"/>
          <w:szCs w:val="24"/>
        </w:rPr>
        <w:t xml:space="preserve"> The Act emphasizes transparency, competition, and fairness in procurement processes, ensuring that government contracts are awarded openly and fairly.</w:t>
      </w:r>
      <w:r>
        <w:rPr>
          <w:rFonts w:ascii="Times New Roman" w:hAnsi="Times New Roman"/>
          <w:sz w:val="24"/>
          <w:szCs w:val="24"/>
        </w:rPr>
        <w:t xml:space="preserve"> </w:t>
      </w:r>
      <w:r w:rsidRPr="00C61ECE">
        <w:rPr>
          <w:rFonts w:ascii="Times New Roman" w:hAnsi="Times New Roman"/>
          <w:sz w:val="24"/>
          <w:szCs w:val="24"/>
        </w:rPr>
        <w:t>It requires that government procurement achieves value for money, considering both cost-effectiveness and quality in decision-making.</w:t>
      </w:r>
      <w:r w:rsidRPr="00EF31E4">
        <w:rPr>
          <w:rFonts w:ascii="Times New Roman" w:hAnsi="Times New Roman"/>
          <w:sz w:val="24"/>
          <w:szCs w:val="24"/>
        </w:rPr>
        <w:t xml:space="preserve"> </w:t>
      </w:r>
      <w:r w:rsidRPr="00C61ECE">
        <w:rPr>
          <w:rFonts w:ascii="Times New Roman" w:hAnsi="Times New Roman"/>
          <w:sz w:val="24"/>
          <w:szCs w:val="24"/>
        </w:rPr>
        <w:t xml:space="preserve">The Act establishes the </w:t>
      </w:r>
      <w:r w:rsidRPr="00C61ECE">
        <w:rPr>
          <w:rFonts w:ascii="Times New Roman" w:eastAsiaTheme="majorEastAsia" w:hAnsi="Times New Roman"/>
          <w:sz w:val="24"/>
          <w:szCs w:val="24"/>
        </w:rPr>
        <w:t>Bureau of Public Procurement</w:t>
      </w:r>
      <w:r w:rsidRPr="00C61ECE">
        <w:rPr>
          <w:rFonts w:ascii="Times New Roman" w:hAnsi="Times New Roman"/>
          <w:sz w:val="24"/>
          <w:szCs w:val="24"/>
        </w:rPr>
        <w:t xml:space="preserve"> as the regulatory body responsible for overseeing and implementing procurement policies and procedures</w:t>
      </w:r>
      <w:r w:rsidR="008A61BA" w:rsidRPr="008A61BA">
        <w:rPr>
          <w:rFonts w:ascii="Arial" w:eastAsiaTheme="minorHAnsi" w:hAnsi="Arial" w:cs="Arial"/>
          <w:color w:val="222222"/>
          <w:sz w:val="20"/>
          <w:szCs w:val="20"/>
          <w:shd w:val="clear" w:color="auto" w:fill="FFFFFF"/>
        </w:rPr>
        <w:t xml:space="preserve"> </w:t>
      </w:r>
      <w:r w:rsidR="00EB6AA2">
        <w:rPr>
          <w:rFonts w:ascii="Arial" w:eastAsiaTheme="minorHAnsi" w:hAnsi="Arial" w:cs="Arial"/>
          <w:color w:val="222222"/>
          <w:sz w:val="20"/>
          <w:szCs w:val="20"/>
          <w:shd w:val="clear" w:color="auto" w:fill="FFFFFF"/>
        </w:rPr>
        <w:t>(</w:t>
      </w:r>
      <w:r w:rsidR="008A61BA" w:rsidRPr="008A61BA">
        <w:rPr>
          <w:rFonts w:ascii="Times New Roman" w:hAnsi="Times New Roman"/>
          <w:sz w:val="24"/>
          <w:szCs w:val="24"/>
        </w:rPr>
        <w:t>Rustiarini</w:t>
      </w:r>
      <w:r w:rsidR="00EB6AA2">
        <w:rPr>
          <w:rFonts w:ascii="Times New Roman" w:hAnsi="Times New Roman"/>
          <w:sz w:val="24"/>
          <w:szCs w:val="24"/>
        </w:rPr>
        <w:t>,</w:t>
      </w:r>
      <w:r w:rsidR="008A61BA" w:rsidRPr="008A61BA">
        <w:rPr>
          <w:rFonts w:ascii="Times New Roman" w:hAnsi="Times New Roman"/>
          <w:sz w:val="24"/>
          <w:szCs w:val="24"/>
        </w:rPr>
        <w:t xml:space="preserve"> Nurkholis</w:t>
      </w:r>
      <w:r w:rsidR="00EB6AA2">
        <w:rPr>
          <w:rFonts w:ascii="Times New Roman" w:hAnsi="Times New Roman"/>
          <w:sz w:val="24"/>
          <w:szCs w:val="24"/>
        </w:rPr>
        <w:t xml:space="preserve"> </w:t>
      </w:r>
      <w:r w:rsidR="008A61BA" w:rsidRPr="008A61BA">
        <w:rPr>
          <w:rFonts w:ascii="Times New Roman" w:hAnsi="Times New Roman"/>
          <w:sz w:val="24"/>
          <w:szCs w:val="24"/>
        </w:rPr>
        <w:t>&amp; Andayani, 2019</w:t>
      </w:r>
      <w:r w:rsidR="008A61BA">
        <w:rPr>
          <w:rFonts w:ascii="Times New Roman" w:hAnsi="Times New Roman"/>
          <w:sz w:val="24"/>
          <w:szCs w:val="24"/>
        </w:rPr>
        <w:t>)</w:t>
      </w:r>
      <w:r w:rsidRPr="00C61ECE">
        <w:rPr>
          <w:rFonts w:ascii="Times New Roman" w:hAnsi="Times New Roman"/>
          <w:sz w:val="24"/>
          <w:szCs w:val="24"/>
        </w:rPr>
        <w:t>. It outlines various procurement methods, including open competitive bidding, selective bidding, and direct procurement, each with specific criteria and requirements. The Act includes provisions for effective contract administration, monitoring, and evaluation of contractors' performance.</w:t>
      </w:r>
      <w:r w:rsidRPr="00EF31E4">
        <w:rPr>
          <w:rFonts w:ascii="Times New Roman" w:hAnsi="Times New Roman"/>
          <w:sz w:val="24"/>
          <w:szCs w:val="24"/>
        </w:rPr>
        <w:t xml:space="preserve"> </w:t>
      </w:r>
      <w:r w:rsidRPr="00C61ECE">
        <w:rPr>
          <w:rFonts w:ascii="Times New Roman" w:eastAsiaTheme="majorEastAsia" w:hAnsi="Times New Roman"/>
          <w:sz w:val="24"/>
          <w:szCs w:val="24"/>
        </w:rPr>
        <w:t>Dispute Resolution</w:t>
      </w:r>
      <w:r w:rsidR="00394C15">
        <w:rPr>
          <w:rFonts w:ascii="Times New Roman" w:eastAsiaTheme="majorEastAsia" w:hAnsi="Times New Roman"/>
          <w:sz w:val="24"/>
          <w:szCs w:val="24"/>
        </w:rPr>
        <w:t xml:space="preserve"> is another</w:t>
      </w:r>
      <w:r w:rsidRPr="00C61ECE">
        <w:rPr>
          <w:rFonts w:ascii="Times New Roman" w:hAnsi="Times New Roman"/>
          <w:sz w:val="24"/>
          <w:szCs w:val="24"/>
        </w:rPr>
        <w:t xml:space="preserve"> </w:t>
      </w:r>
      <w:r w:rsidR="003541F2">
        <w:rPr>
          <w:rFonts w:ascii="Times New Roman" w:hAnsi="Times New Roman"/>
          <w:sz w:val="24"/>
          <w:szCs w:val="24"/>
        </w:rPr>
        <w:t>m</w:t>
      </w:r>
      <w:r w:rsidR="003541F2" w:rsidRPr="00C61ECE">
        <w:rPr>
          <w:rFonts w:ascii="Times New Roman" w:hAnsi="Times New Roman"/>
          <w:sz w:val="24"/>
          <w:szCs w:val="24"/>
        </w:rPr>
        <w:t>echanism</w:t>
      </w:r>
      <w:r w:rsidRPr="00C61ECE">
        <w:rPr>
          <w:rFonts w:ascii="Times New Roman" w:hAnsi="Times New Roman"/>
          <w:sz w:val="24"/>
          <w:szCs w:val="24"/>
        </w:rPr>
        <w:t xml:space="preserve"> for resolving procurement-related disputes are provided to reduce delays and legal issues.</w:t>
      </w:r>
      <w:r>
        <w:rPr>
          <w:rFonts w:ascii="Times New Roman" w:hAnsi="Times New Roman"/>
          <w:sz w:val="24"/>
          <w:szCs w:val="24"/>
        </w:rPr>
        <w:t xml:space="preserve"> </w:t>
      </w:r>
      <w:r w:rsidRPr="00C61ECE">
        <w:rPr>
          <w:rFonts w:ascii="Times New Roman" w:hAnsi="Times New Roman"/>
          <w:sz w:val="24"/>
          <w:szCs w:val="24"/>
        </w:rPr>
        <w:t>The Act emphasizes the importance of training and capacity building for procurement officers to ensure compliance with the law and best practices. It prescribes penalties for violations, including fines, imprisonment, or debarment of contractors or suppliers found guilty of misconduct or non-compliance with procurement rules.</w:t>
      </w:r>
      <w:r>
        <w:rPr>
          <w:rFonts w:ascii="Times New Roman" w:hAnsi="Times New Roman"/>
          <w:sz w:val="24"/>
          <w:szCs w:val="24"/>
        </w:rPr>
        <w:t xml:space="preserve"> </w:t>
      </w:r>
      <w:r w:rsidRPr="00C61ECE">
        <w:rPr>
          <w:rFonts w:ascii="Times New Roman" w:hAnsi="Times New Roman"/>
          <w:sz w:val="24"/>
          <w:szCs w:val="24"/>
        </w:rPr>
        <w:t>Overall, the Public Procurement Act of 2007 aims to promote accountability, efficiency, and responsible use of public funds in government procurement activities</w:t>
      </w:r>
      <w:r w:rsidR="00970085">
        <w:rPr>
          <w:rFonts w:ascii="Times New Roman" w:hAnsi="Times New Roman"/>
          <w:sz w:val="24"/>
          <w:szCs w:val="24"/>
        </w:rPr>
        <w:t xml:space="preserve"> </w:t>
      </w:r>
      <w:r w:rsidR="00EF4AC2">
        <w:rPr>
          <w:rFonts w:ascii="Times New Roman" w:hAnsi="Times New Roman"/>
          <w:sz w:val="24"/>
          <w:szCs w:val="24"/>
        </w:rPr>
        <w:t>(</w:t>
      </w:r>
      <w:r w:rsidR="003541F2" w:rsidRPr="003541F2">
        <w:rPr>
          <w:rFonts w:ascii="Times New Roman" w:hAnsi="Times New Roman"/>
          <w:sz w:val="24"/>
          <w:szCs w:val="24"/>
        </w:rPr>
        <w:t>Mendoza, Hernandez, &amp; Franco</w:t>
      </w:r>
      <w:r w:rsidR="0051487C">
        <w:rPr>
          <w:rFonts w:ascii="Times New Roman" w:hAnsi="Times New Roman"/>
          <w:sz w:val="24"/>
          <w:szCs w:val="24"/>
        </w:rPr>
        <w:t xml:space="preserve">, </w:t>
      </w:r>
      <w:r w:rsidR="003541F2" w:rsidRPr="003541F2">
        <w:rPr>
          <w:rFonts w:ascii="Times New Roman" w:hAnsi="Times New Roman"/>
          <w:sz w:val="24"/>
          <w:szCs w:val="24"/>
        </w:rPr>
        <w:t>2019</w:t>
      </w:r>
      <w:r w:rsidR="009F318B">
        <w:rPr>
          <w:rFonts w:ascii="Times New Roman" w:hAnsi="Times New Roman"/>
          <w:sz w:val="24"/>
          <w:szCs w:val="24"/>
        </w:rPr>
        <w:t xml:space="preserve">; </w:t>
      </w:r>
      <w:r w:rsidR="009F318B" w:rsidRPr="009F318B">
        <w:rPr>
          <w:rFonts w:ascii="Times New Roman" w:hAnsi="Times New Roman"/>
          <w:sz w:val="24"/>
          <w:szCs w:val="24"/>
        </w:rPr>
        <w:t>Fazekas &amp; Blum, 2021</w:t>
      </w:r>
      <w:r w:rsidR="005F4A94">
        <w:rPr>
          <w:rFonts w:ascii="Times New Roman" w:hAnsi="Times New Roman"/>
          <w:sz w:val="24"/>
          <w:szCs w:val="24"/>
        </w:rPr>
        <w:t xml:space="preserve">; </w:t>
      </w:r>
      <w:r w:rsidR="005F4A94" w:rsidRPr="005F4A94">
        <w:rPr>
          <w:rFonts w:ascii="Times New Roman" w:hAnsi="Times New Roman"/>
          <w:sz w:val="24"/>
          <w:szCs w:val="24"/>
        </w:rPr>
        <w:t>Hassan &amp; Omwenga, 2023).</w:t>
      </w:r>
    </w:p>
    <w:p w14:paraId="1413A8AF" w14:textId="18B30678" w:rsidR="004824D7" w:rsidRPr="006E3C58" w:rsidRDefault="004824D7" w:rsidP="004824D7">
      <w:pPr>
        <w:spacing w:after="160" w:line="360" w:lineRule="auto"/>
        <w:jc w:val="both"/>
        <w:rPr>
          <w:rFonts w:ascii="Times New Roman" w:hAnsi="Times New Roman"/>
          <w:sz w:val="24"/>
          <w:szCs w:val="24"/>
        </w:rPr>
      </w:pPr>
      <w:r w:rsidRPr="006E3C58">
        <w:rPr>
          <w:rFonts w:ascii="Times New Roman" w:hAnsi="Times New Roman"/>
          <w:sz w:val="24"/>
          <w:szCs w:val="24"/>
        </w:rPr>
        <w:t>When universities are not getting value for money in their procurement pr</w:t>
      </w:r>
      <w:r>
        <w:rPr>
          <w:rFonts w:ascii="Times New Roman" w:hAnsi="Times New Roman"/>
          <w:sz w:val="24"/>
          <w:szCs w:val="24"/>
        </w:rPr>
        <w:t>actices</w:t>
      </w:r>
      <w:r w:rsidRPr="006E3C58">
        <w:rPr>
          <w:rFonts w:ascii="Times New Roman" w:hAnsi="Times New Roman"/>
          <w:sz w:val="24"/>
          <w:szCs w:val="24"/>
        </w:rPr>
        <w:t>, it means that they are not effectively utilizing their financial resources to obtain the best possible goods, services, or infrastructure for the funds they are spending</w:t>
      </w:r>
      <w:r w:rsidR="00440A21" w:rsidRPr="00440A21">
        <w:rPr>
          <w:rFonts w:ascii="Arial" w:hAnsi="Arial" w:cs="Arial"/>
          <w:color w:val="222222"/>
          <w:sz w:val="20"/>
          <w:szCs w:val="20"/>
          <w:shd w:val="clear" w:color="auto" w:fill="FFFFFF"/>
        </w:rPr>
        <w:t xml:space="preserve"> </w:t>
      </w:r>
      <w:r w:rsidR="00E14CC3">
        <w:rPr>
          <w:rFonts w:ascii="Arial" w:hAnsi="Arial" w:cs="Arial"/>
          <w:color w:val="222222"/>
          <w:sz w:val="20"/>
          <w:szCs w:val="20"/>
          <w:shd w:val="clear" w:color="auto" w:fill="FFFFFF"/>
        </w:rPr>
        <w:t>(</w:t>
      </w:r>
      <w:r w:rsidR="00E14CC3" w:rsidRPr="00E55383">
        <w:rPr>
          <w:rFonts w:ascii="Times New Roman" w:hAnsi="Times New Roman"/>
          <w:color w:val="222222"/>
          <w:sz w:val="24"/>
          <w:szCs w:val="24"/>
          <w:shd w:val="clear" w:color="auto" w:fill="FFFFFF"/>
        </w:rPr>
        <w:t>Porter &amp; Kramer, 2018</w:t>
      </w:r>
      <w:r w:rsidR="004647A1">
        <w:rPr>
          <w:rFonts w:ascii="Times New Roman" w:hAnsi="Times New Roman"/>
          <w:color w:val="222222"/>
          <w:sz w:val="24"/>
          <w:szCs w:val="24"/>
          <w:shd w:val="clear" w:color="auto" w:fill="FFFFFF"/>
        </w:rPr>
        <w:t xml:space="preserve">; </w:t>
      </w:r>
      <w:r w:rsidR="004647A1" w:rsidRPr="00726A60">
        <w:rPr>
          <w:rFonts w:ascii="Times New Roman" w:hAnsi="Times New Roman"/>
          <w:color w:val="222222"/>
          <w:sz w:val="24"/>
          <w:szCs w:val="24"/>
          <w:shd w:val="clear" w:color="auto" w:fill="FFFFFF"/>
        </w:rPr>
        <w:t>Grimsey</w:t>
      </w:r>
      <w:r w:rsidR="004647A1">
        <w:rPr>
          <w:rFonts w:ascii="Times New Roman" w:hAnsi="Times New Roman"/>
          <w:color w:val="222222"/>
          <w:sz w:val="24"/>
          <w:szCs w:val="24"/>
          <w:shd w:val="clear" w:color="auto" w:fill="FFFFFF"/>
        </w:rPr>
        <w:t xml:space="preserve"> </w:t>
      </w:r>
      <w:r w:rsidR="004647A1" w:rsidRPr="00726A60">
        <w:rPr>
          <w:rFonts w:ascii="Times New Roman" w:hAnsi="Times New Roman"/>
          <w:color w:val="222222"/>
          <w:sz w:val="24"/>
          <w:szCs w:val="24"/>
          <w:shd w:val="clear" w:color="auto" w:fill="FFFFFF"/>
        </w:rPr>
        <w:t>&amp; Lewis, 2002</w:t>
      </w:r>
      <w:r w:rsidR="00E14CC3" w:rsidRPr="00E55383">
        <w:rPr>
          <w:rFonts w:ascii="Times New Roman" w:hAnsi="Times New Roman"/>
          <w:color w:val="222222"/>
          <w:sz w:val="24"/>
          <w:szCs w:val="24"/>
          <w:shd w:val="clear" w:color="auto" w:fill="FFFFFF"/>
        </w:rPr>
        <w:t>).</w:t>
      </w:r>
      <w:r w:rsidR="00E14CC3" w:rsidRPr="00E14CC3">
        <w:rPr>
          <w:rFonts w:ascii="Arial" w:hAnsi="Arial" w:cs="Arial"/>
          <w:color w:val="222222"/>
          <w:sz w:val="20"/>
          <w:szCs w:val="20"/>
          <w:shd w:val="clear" w:color="auto" w:fill="FFFFFF"/>
        </w:rPr>
        <w:t xml:space="preserve"> </w:t>
      </w:r>
      <w:r w:rsidRPr="006E3C58">
        <w:rPr>
          <w:rFonts w:ascii="Times New Roman" w:hAnsi="Times New Roman"/>
          <w:sz w:val="24"/>
          <w:szCs w:val="24"/>
        </w:rPr>
        <w:t>This situation can arise for several reasons</w:t>
      </w:r>
      <w:r>
        <w:rPr>
          <w:rFonts w:ascii="Times New Roman" w:hAnsi="Times New Roman"/>
          <w:sz w:val="24"/>
          <w:szCs w:val="24"/>
        </w:rPr>
        <w:t xml:space="preserve">. </w:t>
      </w:r>
      <w:r w:rsidRPr="006E3C58">
        <w:rPr>
          <w:rFonts w:ascii="Times New Roman" w:hAnsi="Times New Roman"/>
          <w:sz w:val="24"/>
          <w:szCs w:val="24"/>
        </w:rPr>
        <w:t>Universities may have inefficient procurement procedures in place, leading to unnecessary delays, high transaction costs, or the selection of suppliers or contractors who do not offer the best value.</w:t>
      </w:r>
      <w:r>
        <w:rPr>
          <w:rFonts w:ascii="Times New Roman" w:hAnsi="Times New Roman"/>
          <w:sz w:val="24"/>
          <w:szCs w:val="24"/>
        </w:rPr>
        <w:t xml:space="preserve"> </w:t>
      </w:r>
      <w:r w:rsidRPr="006E3C58">
        <w:rPr>
          <w:rFonts w:ascii="Times New Roman" w:hAnsi="Times New Roman"/>
          <w:sz w:val="24"/>
          <w:szCs w:val="24"/>
        </w:rPr>
        <w:t>If there is a lack of competition among suppliers or contractors, universities may not receive competitive bids, and this can result in higher prices and lower quality. Poor planning or inadequate needs assessment can lead to purchasing items or services that do not align with the universit</w:t>
      </w:r>
      <w:r>
        <w:rPr>
          <w:rFonts w:ascii="Times New Roman" w:hAnsi="Times New Roman"/>
          <w:sz w:val="24"/>
          <w:szCs w:val="24"/>
        </w:rPr>
        <w:t>ies</w:t>
      </w:r>
      <w:r w:rsidRPr="006E3C58">
        <w:rPr>
          <w:rFonts w:ascii="Times New Roman" w:hAnsi="Times New Roman"/>
          <w:sz w:val="24"/>
          <w:szCs w:val="24"/>
        </w:rPr>
        <w:t xml:space="preserve"> actual requirements, resulting in wastage of resources</w:t>
      </w:r>
      <w:r w:rsidR="00274F8E">
        <w:rPr>
          <w:rFonts w:ascii="Times New Roman" w:hAnsi="Times New Roman"/>
          <w:sz w:val="24"/>
          <w:szCs w:val="24"/>
        </w:rPr>
        <w:t xml:space="preserve"> (</w:t>
      </w:r>
      <w:r w:rsidR="00274F8E" w:rsidRPr="00EC6465">
        <w:rPr>
          <w:rFonts w:ascii="Times New Roman" w:hAnsi="Times New Roman"/>
          <w:sz w:val="24"/>
          <w:szCs w:val="24"/>
        </w:rPr>
        <w:t>Fourie &amp; Malan, 2020)</w:t>
      </w:r>
      <w:r w:rsidRPr="006E3C58">
        <w:rPr>
          <w:rFonts w:ascii="Times New Roman" w:hAnsi="Times New Roman"/>
          <w:sz w:val="24"/>
          <w:szCs w:val="24"/>
        </w:rPr>
        <w:t>.</w:t>
      </w:r>
      <w:r>
        <w:rPr>
          <w:rFonts w:ascii="Times New Roman" w:hAnsi="Times New Roman"/>
          <w:sz w:val="24"/>
          <w:szCs w:val="24"/>
        </w:rPr>
        <w:t xml:space="preserve"> Also, i</w:t>
      </w:r>
      <w:r w:rsidRPr="006E3C58">
        <w:rPr>
          <w:rFonts w:ascii="Times New Roman" w:hAnsi="Times New Roman"/>
          <w:sz w:val="24"/>
          <w:szCs w:val="24"/>
        </w:rPr>
        <w:t>f the procurement pr</w:t>
      </w:r>
      <w:r>
        <w:rPr>
          <w:rFonts w:ascii="Times New Roman" w:hAnsi="Times New Roman"/>
          <w:sz w:val="24"/>
          <w:szCs w:val="24"/>
        </w:rPr>
        <w:t>actices</w:t>
      </w:r>
      <w:r w:rsidRPr="006E3C58">
        <w:rPr>
          <w:rFonts w:ascii="Times New Roman" w:hAnsi="Times New Roman"/>
          <w:sz w:val="24"/>
          <w:szCs w:val="24"/>
        </w:rPr>
        <w:t xml:space="preserve"> lack transparency and accountability, it becomes easier for corruption or favoritism to influence vendor selection, leading to suboptimal outcomes.</w:t>
      </w:r>
      <w:r>
        <w:rPr>
          <w:rFonts w:ascii="Times New Roman" w:hAnsi="Times New Roman"/>
          <w:sz w:val="24"/>
          <w:szCs w:val="24"/>
        </w:rPr>
        <w:t xml:space="preserve"> </w:t>
      </w:r>
      <w:r w:rsidRPr="006E3C58">
        <w:rPr>
          <w:rFonts w:ascii="Times New Roman" w:hAnsi="Times New Roman"/>
          <w:sz w:val="24"/>
          <w:szCs w:val="24"/>
        </w:rPr>
        <w:t>Once contracts are awarded, inadequate monitoring and oversight can result in contractors or suppliers not delivering as agreed, leading to a loss of value.</w:t>
      </w:r>
      <w:r>
        <w:rPr>
          <w:rFonts w:ascii="Times New Roman" w:hAnsi="Times New Roman"/>
          <w:sz w:val="24"/>
          <w:szCs w:val="24"/>
        </w:rPr>
        <w:t xml:space="preserve"> Federal </w:t>
      </w:r>
      <w:r w:rsidRPr="006E3C58">
        <w:rPr>
          <w:rFonts w:ascii="Times New Roman" w:hAnsi="Times New Roman"/>
          <w:sz w:val="24"/>
          <w:szCs w:val="24"/>
        </w:rPr>
        <w:t>Universities may not be comparing their procurement outcomes to industry benchmarks or best practices, missing opportunities for improvement.</w:t>
      </w:r>
      <w:r>
        <w:rPr>
          <w:rFonts w:ascii="Times New Roman" w:hAnsi="Times New Roman"/>
          <w:sz w:val="24"/>
          <w:szCs w:val="24"/>
        </w:rPr>
        <w:t xml:space="preserve"> </w:t>
      </w:r>
      <w:r w:rsidRPr="006E3C58">
        <w:rPr>
          <w:rFonts w:ascii="Times New Roman" w:hAnsi="Times New Roman"/>
          <w:sz w:val="24"/>
          <w:szCs w:val="24"/>
        </w:rPr>
        <w:t>If universities do not systematically evaluate the performance of suppliers or contractors, they may continue to work with underperforming entities.</w:t>
      </w:r>
      <w:r>
        <w:rPr>
          <w:rFonts w:ascii="Times New Roman" w:hAnsi="Times New Roman"/>
          <w:sz w:val="24"/>
          <w:szCs w:val="24"/>
        </w:rPr>
        <w:t xml:space="preserve"> </w:t>
      </w:r>
      <w:r w:rsidRPr="006E3C58">
        <w:rPr>
          <w:rFonts w:ascii="Times New Roman" w:hAnsi="Times New Roman"/>
          <w:sz w:val="24"/>
          <w:szCs w:val="24"/>
        </w:rPr>
        <w:t>Weak negotiation skills can lead to universities accepting unfavorable terms and pricing</w:t>
      </w:r>
      <w:r w:rsidR="00890B10">
        <w:rPr>
          <w:rFonts w:ascii="Times New Roman" w:hAnsi="Times New Roman"/>
          <w:sz w:val="24"/>
          <w:szCs w:val="24"/>
        </w:rPr>
        <w:t xml:space="preserve"> (</w:t>
      </w:r>
      <w:r w:rsidR="00890B10" w:rsidRPr="00660B9D">
        <w:rPr>
          <w:rFonts w:ascii="Times New Roman" w:hAnsi="Times New Roman"/>
          <w:sz w:val="24"/>
          <w:szCs w:val="24"/>
        </w:rPr>
        <w:t>Cox</w:t>
      </w:r>
      <w:r w:rsidR="00890B10">
        <w:rPr>
          <w:rFonts w:ascii="Times New Roman" w:hAnsi="Times New Roman"/>
          <w:sz w:val="24"/>
          <w:szCs w:val="24"/>
        </w:rPr>
        <w:t xml:space="preserve"> </w:t>
      </w:r>
      <w:r w:rsidR="00890B10" w:rsidRPr="00660B9D">
        <w:rPr>
          <w:rFonts w:ascii="Times New Roman" w:hAnsi="Times New Roman"/>
          <w:sz w:val="24"/>
          <w:szCs w:val="24"/>
        </w:rPr>
        <w:t>&amp; Edwards, 2019).</w:t>
      </w:r>
    </w:p>
    <w:p w14:paraId="469C855B" w14:textId="513B0083" w:rsidR="004824D7" w:rsidRDefault="004824D7" w:rsidP="004824D7">
      <w:pPr>
        <w:spacing w:after="0" w:line="360" w:lineRule="auto"/>
        <w:jc w:val="both"/>
        <w:rPr>
          <w:rFonts w:ascii="Times New Roman" w:eastAsia="Calibri" w:hAnsi="Times New Roman"/>
          <w:sz w:val="24"/>
          <w:szCs w:val="24"/>
        </w:rPr>
      </w:pPr>
      <w:r w:rsidRPr="006E3C58">
        <w:rPr>
          <w:rFonts w:ascii="Times New Roman" w:hAnsi="Times New Roman"/>
          <w:sz w:val="24"/>
          <w:szCs w:val="24"/>
        </w:rPr>
        <w:t>To address these issues and ensure they receive value for money in procurement pr</w:t>
      </w:r>
      <w:r>
        <w:rPr>
          <w:rFonts w:ascii="Times New Roman" w:hAnsi="Times New Roman"/>
          <w:sz w:val="24"/>
          <w:szCs w:val="24"/>
        </w:rPr>
        <w:t>actices</w:t>
      </w:r>
      <w:r w:rsidRPr="006E3C58">
        <w:rPr>
          <w:rFonts w:ascii="Times New Roman" w:hAnsi="Times New Roman"/>
          <w:sz w:val="24"/>
          <w:szCs w:val="24"/>
        </w:rPr>
        <w:t>, universities</w:t>
      </w:r>
      <w:r>
        <w:rPr>
          <w:rFonts w:ascii="Times New Roman" w:hAnsi="Times New Roman"/>
          <w:sz w:val="24"/>
          <w:szCs w:val="24"/>
        </w:rPr>
        <w:t xml:space="preserve"> under study</w:t>
      </w:r>
      <w:r w:rsidRPr="006E3C58">
        <w:rPr>
          <w:rFonts w:ascii="Times New Roman" w:hAnsi="Times New Roman"/>
          <w:sz w:val="24"/>
          <w:szCs w:val="24"/>
        </w:rPr>
        <w:t xml:space="preserve"> should consider implementing transparent, competitive, and efficient procurement procedures. This may involve regular supplier evaluations, benchmarking against industry standards, staff training, and improved planning and monitoring processes. By optimizing their procurement practices,</w:t>
      </w:r>
      <w:r>
        <w:rPr>
          <w:rFonts w:ascii="Times New Roman" w:hAnsi="Times New Roman"/>
          <w:sz w:val="24"/>
          <w:szCs w:val="24"/>
        </w:rPr>
        <w:t xml:space="preserve"> federal</w:t>
      </w:r>
      <w:r w:rsidRPr="006E3C58">
        <w:rPr>
          <w:rFonts w:ascii="Times New Roman" w:hAnsi="Times New Roman"/>
          <w:sz w:val="24"/>
          <w:szCs w:val="24"/>
        </w:rPr>
        <w:t xml:space="preserve"> universities can make the most of their financial resources and provide better services and infrastructure for their students and stakeholders.</w:t>
      </w:r>
      <w:r w:rsidR="00EE140A" w:rsidRPr="008B1465">
        <w:rPr>
          <w:rFonts w:ascii="Times New Roman" w:eastAsia="Calibri" w:hAnsi="Times New Roman"/>
          <w:sz w:val="24"/>
          <w:szCs w:val="24"/>
        </w:rPr>
        <w:t xml:space="preserve"> </w:t>
      </w:r>
    </w:p>
    <w:p w14:paraId="450572DC" w14:textId="182E6319" w:rsidR="004B1F0D" w:rsidRPr="008B1465" w:rsidRDefault="00EE140A" w:rsidP="007541CB">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Forensic accounting uses intuition, critical thinking, and a keen understanding of how people act to get a true and fair picture of important events, transactions, and business dealings </w:t>
      </w:r>
      <w:r w:rsidR="003F05E3" w:rsidRPr="008B1465">
        <w:rPr>
          <w:rFonts w:ascii="Times New Roman" w:eastAsia="Calibri" w:hAnsi="Times New Roman"/>
          <w:sz w:val="24"/>
          <w:szCs w:val="24"/>
        </w:rPr>
        <w:t xml:space="preserve">(Bologna &amp; Lindquist, 1995). </w:t>
      </w:r>
      <w:r w:rsidR="004B1F0D" w:rsidRPr="008B1465">
        <w:rPr>
          <w:rFonts w:ascii="Times New Roman" w:eastAsia="Calibri" w:hAnsi="Times New Roman"/>
          <w:sz w:val="24"/>
          <w:szCs w:val="24"/>
        </w:rPr>
        <w:t xml:space="preserve">To meet the demands of their client companies, many auditing firms have established forensic accounting departments to help those companies mitigate accounting fraud. It is important to remember that in developed economies, financial wrongdoing must be </w:t>
      </w:r>
      <w:r w:rsidR="00291228" w:rsidRPr="008B1465">
        <w:rPr>
          <w:rFonts w:ascii="Times New Roman" w:eastAsia="Calibri" w:hAnsi="Times New Roman"/>
          <w:sz w:val="24"/>
          <w:szCs w:val="24"/>
        </w:rPr>
        <w:t>discovered</w:t>
      </w:r>
      <w:r w:rsidR="007C4CF6" w:rsidRPr="008B1465">
        <w:rPr>
          <w:rFonts w:ascii="Times New Roman" w:eastAsia="Calibri" w:hAnsi="Times New Roman"/>
          <w:sz w:val="24"/>
          <w:szCs w:val="24"/>
        </w:rPr>
        <w:t>, investigated</w:t>
      </w:r>
      <w:r w:rsidR="004B1F0D" w:rsidRPr="008B1465">
        <w:rPr>
          <w:rFonts w:ascii="Times New Roman" w:eastAsia="Calibri" w:hAnsi="Times New Roman"/>
          <w:sz w:val="24"/>
          <w:szCs w:val="24"/>
        </w:rPr>
        <w:t>, controlled</w:t>
      </w:r>
      <w:r w:rsidR="007C4CF6" w:rsidRPr="008B1465">
        <w:rPr>
          <w:rFonts w:ascii="Times New Roman" w:eastAsia="Calibri" w:hAnsi="Times New Roman"/>
          <w:sz w:val="24"/>
          <w:szCs w:val="24"/>
        </w:rPr>
        <w:t xml:space="preserve"> and prevented</w:t>
      </w:r>
      <w:r w:rsidR="004B1F0D" w:rsidRPr="008B1465">
        <w:rPr>
          <w:rFonts w:ascii="Times New Roman" w:eastAsia="Calibri" w:hAnsi="Times New Roman"/>
          <w:sz w:val="24"/>
          <w:szCs w:val="24"/>
        </w:rPr>
        <w:t xml:space="preserve"> with the help of forensic accounting. </w:t>
      </w:r>
    </w:p>
    <w:p w14:paraId="7D144BCB" w14:textId="1103B87B" w:rsidR="0074587C" w:rsidRPr="008B1465" w:rsidRDefault="0074587C" w:rsidP="007541CB">
      <w:pPr>
        <w:spacing w:after="0" w:line="360" w:lineRule="auto"/>
        <w:jc w:val="both"/>
        <w:rPr>
          <w:rFonts w:ascii="Times New Roman" w:eastAsia="Calibri" w:hAnsi="Times New Roman"/>
          <w:sz w:val="24"/>
          <w:szCs w:val="24"/>
        </w:rPr>
      </w:pPr>
      <w:r w:rsidRPr="009F1435">
        <w:rPr>
          <w:rFonts w:ascii="Times New Roman" w:eastAsia="Calibri" w:hAnsi="Times New Roman"/>
          <w:sz w:val="24"/>
          <w:szCs w:val="24"/>
        </w:rPr>
        <w:t>The Institute of Chartered Accountants of Ghana (2017)</w:t>
      </w:r>
      <w:r w:rsidR="00CD6BF3" w:rsidRPr="009F1435">
        <w:rPr>
          <w:rFonts w:ascii="Times New Roman" w:eastAsia="Calibri" w:hAnsi="Times New Roman"/>
          <w:sz w:val="24"/>
          <w:szCs w:val="24"/>
        </w:rPr>
        <w:t>;</w:t>
      </w:r>
      <w:r w:rsidR="00CD6BF3" w:rsidRPr="00CD6BF3">
        <w:rPr>
          <w:rFonts w:ascii="Times New Roman" w:hAnsi="Times New Roman"/>
          <w:color w:val="222222"/>
          <w:sz w:val="24"/>
          <w:szCs w:val="24"/>
          <w:shd w:val="clear" w:color="auto" w:fill="FFFFFF"/>
        </w:rPr>
        <w:t xml:space="preserve"> </w:t>
      </w:r>
      <w:r w:rsidR="00CD6BF3" w:rsidRPr="003204B9">
        <w:rPr>
          <w:rFonts w:ascii="Times New Roman" w:hAnsi="Times New Roman"/>
          <w:color w:val="222222"/>
          <w:sz w:val="24"/>
          <w:szCs w:val="24"/>
          <w:shd w:val="clear" w:color="auto" w:fill="FFFFFF"/>
        </w:rPr>
        <w:t xml:space="preserve">Hossain, Alam, </w:t>
      </w:r>
      <w:r w:rsidR="00CD6BF3">
        <w:rPr>
          <w:rFonts w:ascii="Times New Roman" w:hAnsi="Times New Roman"/>
          <w:color w:val="222222"/>
          <w:sz w:val="24"/>
          <w:szCs w:val="24"/>
          <w:shd w:val="clear" w:color="auto" w:fill="FFFFFF"/>
        </w:rPr>
        <w:t xml:space="preserve">and </w:t>
      </w:r>
      <w:r w:rsidR="00CD6BF3" w:rsidRPr="003204B9">
        <w:rPr>
          <w:rFonts w:ascii="Times New Roman" w:hAnsi="Times New Roman"/>
          <w:color w:val="222222"/>
          <w:sz w:val="24"/>
          <w:szCs w:val="24"/>
          <w:shd w:val="clear" w:color="auto" w:fill="FFFFFF"/>
        </w:rPr>
        <w:t>Mazumder</w:t>
      </w:r>
      <w:r w:rsidR="00CD6BF3">
        <w:rPr>
          <w:rFonts w:ascii="Times New Roman" w:hAnsi="Times New Roman"/>
          <w:color w:val="222222"/>
          <w:sz w:val="24"/>
          <w:szCs w:val="24"/>
          <w:shd w:val="clear" w:color="auto" w:fill="FFFFFF"/>
        </w:rPr>
        <w:t xml:space="preserve"> </w:t>
      </w:r>
      <w:r w:rsidR="00CD6BF3" w:rsidRPr="003204B9">
        <w:rPr>
          <w:rFonts w:ascii="Times New Roman" w:hAnsi="Times New Roman"/>
          <w:color w:val="222222"/>
          <w:sz w:val="24"/>
          <w:szCs w:val="24"/>
          <w:shd w:val="clear" w:color="auto" w:fill="FFFFFF"/>
        </w:rPr>
        <w:t>(2020)</w:t>
      </w:r>
      <w:r w:rsidRPr="008B1465">
        <w:rPr>
          <w:rFonts w:ascii="Times New Roman" w:eastAsia="Calibri" w:hAnsi="Times New Roman"/>
          <w:sz w:val="24"/>
          <w:szCs w:val="24"/>
        </w:rPr>
        <w:t xml:space="preserve"> identifie</w:t>
      </w:r>
      <w:r w:rsidR="004C517F">
        <w:rPr>
          <w:rFonts w:ascii="Times New Roman" w:eastAsia="Calibri" w:hAnsi="Times New Roman"/>
          <w:sz w:val="24"/>
          <w:szCs w:val="24"/>
        </w:rPr>
        <w:t>d</w:t>
      </w:r>
      <w:r w:rsidRPr="008B1465">
        <w:rPr>
          <w:rFonts w:ascii="Times New Roman" w:eastAsia="Calibri" w:hAnsi="Times New Roman"/>
          <w:sz w:val="24"/>
          <w:szCs w:val="24"/>
        </w:rPr>
        <w:t xml:space="preserve"> the need to work on the skills of auditors to offer a diploma in the forensic audit program. Though auditing may uncover some economic and financial crimes, detailed disclosure of these crimes and their prosecution demands special techniques, and forensic accounting has the role of bridging the audit expectation gap relating to fraud prevention, detection, and prosecution of economic and financial misconduct.</w:t>
      </w:r>
    </w:p>
    <w:p w14:paraId="0EAC9DD7" w14:textId="7D7C39C8" w:rsidR="0074587C" w:rsidRPr="008B1465" w:rsidRDefault="003F05E3" w:rsidP="00C17076">
      <w:pPr>
        <w:spacing w:after="0" w:line="360" w:lineRule="auto"/>
        <w:jc w:val="both"/>
        <w:rPr>
          <w:rFonts w:ascii="Times New Roman" w:eastAsia="Calibri" w:hAnsi="Times New Roman"/>
          <w:sz w:val="24"/>
          <w:szCs w:val="24"/>
          <w:shd w:val="clear" w:color="auto" w:fill="FFFFFF"/>
        </w:rPr>
      </w:pPr>
      <w:r w:rsidRPr="008B1465">
        <w:rPr>
          <w:rFonts w:ascii="Times New Roman" w:eastAsia="Calibri" w:hAnsi="Times New Roman"/>
          <w:sz w:val="24"/>
          <w:szCs w:val="24"/>
        </w:rPr>
        <w:t>The Chancellor of the Exch</w:t>
      </w:r>
      <w:r w:rsidR="00ED3479" w:rsidRPr="008B1465">
        <w:rPr>
          <w:rFonts w:ascii="Times New Roman" w:eastAsia="Calibri" w:hAnsi="Times New Roman"/>
          <w:sz w:val="24"/>
          <w:szCs w:val="24"/>
        </w:rPr>
        <w:t>equer Gordon Brown, the former M</w:t>
      </w:r>
      <w:r w:rsidRPr="008B1465">
        <w:rPr>
          <w:rFonts w:ascii="Times New Roman" w:eastAsia="Calibri" w:hAnsi="Times New Roman"/>
          <w:sz w:val="24"/>
          <w:szCs w:val="24"/>
        </w:rPr>
        <w:t>inister of United Kingdom asserted that “t</w:t>
      </w:r>
      <w:r w:rsidRPr="008B1465">
        <w:rPr>
          <w:rFonts w:ascii="Times New Roman" w:eastAsia="Calibri" w:hAnsi="Times New Roman"/>
          <w:i/>
          <w:iCs/>
          <w:sz w:val="24"/>
          <w:szCs w:val="24"/>
        </w:rPr>
        <w:t xml:space="preserve">he use of fingerprints was to the 19th century, and DNA analysis was to the 20th century. Hence, financial information and forensic accounting have today become the most powerful investigative and intelligence </w:t>
      </w:r>
      <w:r w:rsidRPr="008B1465">
        <w:rPr>
          <w:rFonts w:ascii="Times New Roman" w:eastAsia="Calibri" w:hAnsi="Times New Roman"/>
          <w:sz w:val="24"/>
          <w:szCs w:val="24"/>
        </w:rPr>
        <w:t>tools</w:t>
      </w:r>
      <w:r w:rsidRPr="008B1465">
        <w:rPr>
          <w:rFonts w:ascii="Times New Roman" w:eastAsia="Calibri" w:hAnsi="Times New Roman"/>
          <w:i/>
          <w:iCs/>
          <w:sz w:val="24"/>
          <w:szCs w:val="24"/>
        </w:rPr>
        <w:t xml:space="preserve"> available for fraud control” </w:t>
      </w:r>
      <w:r w:rsidRPr="008B1465">
        <w:rPr>
          <w:rFonts w:ascii="Times New Roman" w:eastAsia="Calibri" w:hAnsi="Times New Roman"/>
          <w:sz w:val="24"/>
          <w:szCs w:val="24"/>
        </w:rPr>
        <w:t>(The Telegraph, October 11, 2006).</w:t>
      </w:r>
      <w:r w:rsidR="008C40FA" w:rsidRPr="008B1465">
        <w:rPr>
          <w:rFonts w:ascii="Times New Roman" w:eastAsia="Calibri" w:hAnsi="Times New Roman"/>
          <w:sz w:val="24"/>
          <w:szCs w:val="24"/>
        </w:rPr>
        <w:t xml:space="preserve"> </w:t>
      </w:r>
      <w:r w:rsidR="00806E7C" w:rsidRPr="008B1465">
        <w:rPr>
          <w:rFonts w:ascii="Times New Roman" w:eastAsia="Calibri" w:hAnsi="Times New Roman"/>
          <w:sz w:val="24"/>
          <w:szCs w:val="24"/>
        </w:rPr>
        <w:t>The global collapse of businesses due to financial misconduct has led to the growth and development of forensic accounting techniques needed to tackle the menace. In addition, the increasing demand for forensic accounting is now a common attribute of most countries in the world. The growing demand for forensic accounting is a result of the impact of fraud and technical errors made by professionals on business survival.</w:t>
      </w:r>
    </w:p>
    <w:p w14:paraId="0E3896DE" w14:textId="1BC6AC63" w:rsidR="001616E5" w:rsidRPr="00C17076" w:rsidRDefault="003F05E3" w:rsidP="00C17076">
      <w:pPr>
        <w:spacing w:before="0" w:beforeAutospacing="0" w:after="160" w:line="360" w:lineRule="auto"/>
        <w:jc w:val="both"/>
        <w:rPr>
          <w:rFonts w:ascii="Times New Roman" w:hAnsi="Times New Roman"/>
          <w:sz w:val="24"/>
          <w:szCs w:val="24"/>
        </w:rPr>
      </w:pPr>
      <w:r w:rsidRPr="00C17076">
        <w:rPr>
          <w:rFonts w:ascii="Times New Roman" w:eastAsia="Calibri" w:hAnsi="Times New Roman"/>
          <w:sz w:val="24"/>
          <w:szCs w:val="24"/>
          <w:shd w:val="clear" w:color="auto" w:fill="FFFFFF"/>
        </w:rPr>
        <w:t xml:space="preserve">The combination of accounting, auditing, and investigative skills of accountants result into a specialty termed forensic accounting </w:t>
      </w:r>
      <w:sdt>
        <w:sdtPr>
          <w:tag w:val="MENDELEY_CITATION_v3_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"/>
          <w:id w:val="-679044269"/>
        </w:sdtPr>
        <w:sdtEndPr/>
        <w:sdtContent>
          <w:r w:rsidR="00BB15B3" w:rsidRPr="00C17076">
            <w:rPr>
              <w:rFonts w:ascii="Times New Roman" w:eastAsia="Calibri" w:hAnsi="Times New Roman"/>
              <w:sz w:val="24"/>
              <w:szCs w:val="24"/>
            </w:rPr>
            <w:t>(Bhasin, 2007</w:t>
          </w:r>
          <w:r w:rsidR="00C07F7B" w:rsidRPr="00C17076">
            <w:rPr>
              <w:rFonts w:ascii="Times New Roman" w:eastAsia="Calibri" w:hAnsi="Times New Roman"/>
              <w:sz w:val="24"/>
              <w:szCs w:val="24"/>
            </w:rPr>
            <w:t xml:space="preserve">; </w:t>
          </w:r>
          <w:r w:rsidR="00527008" w:rsidRPr="00C17076">
            <w:rPr>
              <w:rFonts w:ascii="Times New Roman" w:hAnsi="Times New Roman"/>
              <w:color w:val="222222"/>
              <w:sz w:val="24"/>
              <w:szCs w:val="24"/>
              <w:shd w:val="clear" w:color="auto" w:fill="FFFFFF"/>
            </w:rPr>
            <w:t>Amasiatu, &amp; Okoye, (2023).</w:t>
          </w:r>
        </w:sdtContent>
      </w:sdt>
      <w:r w:rsidRPr="00C17076">
        <w:rPr>
          <w:rFonts w:ascii="Times New Roman" w:eastAsia="Calibri" w:hAnsi="Times New Roman"/>
          <w:sz w:val="24"/>
          <w:szCs w:val="24"/>
          <w:shd w:val="clear" w:color="auto" w:fill="FFFFFF"/>
        </w:rPr>
        <w:t xml:space="preserve"> </w:t>
      </w:r>
      <w:bookmarkStart w:id="22" w:name="_Hlk109788074"/>
      <w:r w:rsidR="00E03EFC" w:rsidRPr="00C17076">
        <w:rPr>
          <w:rFonts w:ascii="Times New Roman" w:eastAsia="Calibri" w:hAnsi="Times New Roman"/>
          <w:sz w:val="24"/>
          <w:szCs w:val="24"/>
          <w:shd w:val="clear" w:color="auto" w:fill="FFFFFF"/>
        </w:rPr>
        <w:t>However, in Nigeria, the occurrence is pretty new, but it has been discovered that the engagement of a forensic accountant is required as fraud activities continue</w:t>
      </w:r>
      <w:r w:rsidR="00981BCF" w:rsidRPr="00C17076">
        <w:rPr>
          <w:rFonts w:ascii="Times New Roman" w:eastAsia="Calibri" w:hAnsi="Times New Roman"/>
          <w:sz w:val="24"/>
          <w:szCs w:val="24"/>
          <w:shd w:val="clear" w:color="auto" w:fill="FFFFFF"/>
        </w:rPr>
        <w:t xml:space="preserve">d </w:t>
      </w:r>
      <w:r w:rsidR="005F0C5E" w:rsidRPr="00C17076">
        <w:rPr>
          <w:rFonts w:ascii="Times New Roman" w:eastAsia="Calibri" w:hAnsi="Times New Roman"/>
          <w:sz w:val="24"/>
          <w:szCs w:val="24"/>
          <w:shd w:val="clear" w:color="auto" w:fill="FFFFFF"/>
        </w:rPr>
        <w:t>with</w:t>
      </w:r>
      <w:r w:rsidR="00F50D7E" w:rsidRPr="00C17076">
        <w:rPr>
          <w:rFonts w:ascii="Times New Roman" w:eastAsia="Calibri" w:hAnsi="Times New Roman"/>
          <w:sz w:val="24"/>
          <w:szCs w:val="24"/>
          <w:shd w:val="clear" w:color="auto" w:fill="FFFFFF"/>
        </w:rPr>
        <w:t>in the</w:t>
      </w:r>
      <w:r w:rsidR="00981BCF" w:rsidRPr="00C17076">
        <w:rPr>
          <w:rFonts w:ascii="Times New Roman" w:eastAsia="Calibri" w:hAnsi="Times New Roman"/>
          <w:sz w:val="24"/>
          <w:szCs w:val="24"/>
          <w:shd w:val="clear" w:color="auto" w:fill="FFFFFF"/>
        </w:rPr>
        <w:t xml:space="preserve"> economy</w:t>
      </w:r>
      <w:r w:rsidR="00AB3DB7" w:rsidRPr="00C17076">
        <w:rPr>
          <w:rFonts w:ascii="Times New Roman" w:eastAsia="Calibri" w:hAnsi="Times New Roman"/>
          <w:sz w:val="24"/>
          <w:szCs w:val="24"/>
          <w:shd w:val="clear" w:color="auto" w:fill="FFFFFF"/>
        </w:rPr>
        <w:t xml:space="preserve">, </w:t>
      </w:r>
      <w:r w:rsidR="00F87A04" w:rsidRPr="00C17076">
        <w:rPr>
          <w:rFonts w:ascii="Times New Roman" w:eastAsia="Calibri" w:hAnsi="Times New Roman"/>
          <w:sz w:val="24"/>
          <w:szCs w:val="24"/>
          <w:shd w:val="clear" w:color="auto" w:fill="FFFFFF"/>
        </w:rPr>
        <w:t>s</w:t>
      </w:r>
      <w:r w:rsidR="00344D6C" w:rsidRPr="00C17076">
        <w:rPr>
          <w:rFonts w:ascii="Times New Roman" w:eastAsia="Calibri" w:hAnsi="Times New Roman"/>
          <w:sz w:val="24"/>
          <w:szCs w:val="24"/>
          <w:shd w:val="clear" w:color="auto" w:fill="FFFFFF"/>
        </w:rPr>
        <w:t>ince it may takes times after the deed has been done before few perpetuators in federal universities are arrested by anti-fraud agencies such as Economic and Financial Crime Commission (EFCC) and Independent Corrupt Practice Commission (ICPC).</w:t>
      </w:r>
      <w:r w:rsidR="00E03EFC" w:rsidRPr="00C17076">
        <w:rPr>
          <w:rFonts w:ascii="Times New Roman" w:eastAsia="Calibri" w:hAnsi="Times New Roman"/>
          <w:sz w:val="24"/>
          <w:szCs w:val="24"/>
          <w:shd w:val="clear" w:color="auto" w:fill="FFFFFF"/>
        </w:rPr>
        <w:t xml:space="preserve"> The growing demand for forensic accountants can be attributed to regulatory requirements by standard setters coupled with the increasing roles of auditors to detect fraudulent financial misconduct by management </w:t>
      </w:r>
      <w:r w:rsidRPr="00C17076">
        <w:rPr>
          <w:rFonts w:ascii="Times New Roman" w:eastAsia="Calibri" w:hAnsi="Times New Roman"/>
          <w:sz w:val="24"/>
          <w:szCs w:val="24"/>
        </w:rPr>
        <w:t>(</w:t>
      </w:r>
      <w:r w:rsidRPr="00C17076">
        <w:rPr>
          <w:rFonts w:ascii="Times New Roman" w:hAnsi="Times New Roman"/>
          <w:sz w:val="24"/>
          <w:szCs w:val="24"/>
        </w:rPr>
        <w:t>Alshurafat, Al Shbail, &amp; Mansour, 2021</w:t>
      </w:r>
      <w:r w:rsidRPr="00C17076">
        <w:rPr>
          <w:rFonts w:ascii="Times New Roman" w:eastAsia="Calibri" w:hAnsi="Times New Roman"/>
          <w:sz w:val="24"/>
          <w:szCs w:val="24"/>
        </w:rPr>
        <w:t>)</w:t>
      </w:r>
      <w:bookmarkEnd w:id="22"/>
      <w:r w:rsidRPr="00C17076">
        <w:rPr>
          <w:rFonts w:ascii="Times New Roman" w:eastAsia="Calibri" w:hAnsi="Times New Roman"/>
          <w:sz w:val="24"/>
          <w:szCs w:val="24"/>
        </w:rPr>
        <w:t xml:space="preserve">. </w:t>
      </w:r>
      <w:r w:rsidR="00FC5CC2" w:rsidRPr="00C17076">
        <w:rPr>
          <w:rFonts w:ascii="Times New Roman" w:eastAsia="Calibri" w:hAnsi="Times New Roman"/>
          <w:bCs/>
          <w:sz w:val="24"/>
          <w:szCs w:val="24"/>
          <w:shd w:val="clear" w:color="auto" w:fill="FFFFFF"/>
        </w:rPr>
        <w:t>The growing rate of computerized financial crime has created a huge demand for the skills and services rendered by forensic accounting experts globally</w:t>
      </w:r>
      <w:r w:rsidR="00CD2E2A">
        <w:rPr>
          <w:rFonts w:ascii="Times New Roman" w:eastAsia="Calibri" w:hAnsi="Times New Roman"/>
          <w:bCs/>
          <w:sz w:val="24"/>
          <w:szCs w:val="24"/>
          <w:shd w:val="clear" w:color="auto" w:fill="FFFFFF"/>
        </w:rPr>
        <w:t>.</w:t>
      </w:r>
      <w:r w:rsidR="00552F04" w:rsidRPr="00C17076">
        <w:rPr>
          <w:rFonts w:ascii="Times New Roman" w:hAnsi="Times New Roman"/>
          <w:color w:val="222222"/>
          <w:sz w:val="24"/>
          <w:szCs w:val="24"/>
          <w:shd w:val="clear" w:color="auto" w:fill="FFFFFF"/>
        </w:rPr>
        <w:t xml:space="preserve"> Sharifi, Vaez, </w:t>
      </w:r>
      <w:r w:rsidR="0021447E" w:rsidRPr="00C17076">
        <w:rPr>
          <w:rFonts w:ascii="Times New Roman" w:hAnsi="Times New Roman"/>
          <w:color w:val="222222"/>
          <w:sz w:val="24"/>
          <w:szCs w:val="24"/>
          <w:shd w:val="clear" w:color="auto" w:fill="FFFFFF"/>
        </w:rPr>
        <w:t>and</w:t>
      </w:r>
      <w:r w:rsidR="00552F04" w:rsidRPr="00C17076">
        <w:rPr>
          <w:rFonts w:ascii="Times New Roman" w:hAnsi="Times New Roman"/>
          <w:color w:val="222222"/>
          <w:sz w:val="24"/>
          <w:szCs w:val="24"/>
          <w:shd w:val="clear" w:color="auto" w:fill="FFFFFF"/>
        </w:rPr>
        <w:t xml:space="preserve"> Basirat </w:t>
      </w:r>
      <w:r w:rsidR="0021447E" w:rsidRPr="00C17076">
        <w:rPr>
          <w:rFonts w:ascii="Times New Roman" w:hAnsi="Times New Roman"/>
          <w:color w:val="222222"/>
          <w:sz w:val="24"/>
          <w:szCs w:val="24"/>
          <w:shd w:val="clear" w:color="auto" w:fill="FFFFFF"/>
        </w:rPr>
        <w:t>(</w:t>
      </w:r>
      <w:r w:rsidR="00552F04" w:rsidRPr="00C17076">
        <w:rPr>
          <w:rFonts w:ascii="Times New Roman" w:hAnsi="Times New Roman"/>
          <w:color w:val="222222"/>
          <w:sz w:val="24"/>
          <w:szCs w:val="24"/>
          <w:shd w:val="clear" w:color="auto" w:fill="FFFFFF"/>
        </w:rPr>
        <w:t>2022)</w:t>
      </w:r>
      <w:r w:rsidR="00FC5CC2" w:rsidRPr="00C17076">
        <w:rPr>
          <w:rFonts w:ascii="Times New Roman" w:eastAsia="Calibri" w:hAnsi="Times New Roman"/>
          <w:bCs/>
          <w:sz w:val="24"/>
          <w:szCs w:val="24"/>
          <w:shd w:val="clear" w:color="auto" w:fill="FFFFFF"/>
        </w:rPr>
        <w:t xml:space="preserve"> </w:t>
      </w:r>
      <w:r w:rsidR="00C4711F" w:rsidRPr="00C17076">
        <w:rPr>
          <w:rFonts w:ascii="Times New Roman" w:eastAsia="Calibri" w:hAnsi="Times New Roman"/>
          <w:bCs/>
          <w:sz w:val="24"/>
          <w:szCs w:val="24"/>
          <w:shd w:val="clear" w:color="auto" w:fill="FFFFFF"/>
        </w:rPr>
        <w:t>o</w:t>
      </w:r>
      <w:r w:rsidR="0021447E" w:rsidRPr="00C17076">
        <w:rPr>
          <w:rFonts w:ascii="Times New Roman" w:eastAsia="Calibri" w:hAnsi="Times New Roman"/>
          <w:bCs/>
          <w:sz w:val="24"/>
          <w:szCs w:val="24"/>
          <w:shd w:val="clear" w:color="auto" w:fill="FFFFFF"/>
        </w:rPr>
        <w:t>pi</w:t>
      </w:r>
      <w:r w:rsidR="00C4711F" w:rsidRPr="00C17076">
        <w:rPr>
          <w:rFonts w:ascii="Times New Roman" w:eastAsia="Calibri" w:hAnsi="Times New Roman"/>
          <w:bCs/>
          <w:sz w:val="24"/>
          <w:szCs w:val="24"/>
          <w:shd w:val="clear" w:color="auto" w:fill="FFFFFF"/>
        </w:rPr>
        <w:t xml:space="preserve">ned that </w:t>
      </w:r>
      <w:r w:rsidR="0021447E" w:rsidRPr="00C17076">
        <w:rPr>
          <w:rFonts w:ascii="Times New Roman" w:eastAsia="Calibri" w:hAnsi="Times New Roman"/>
          <w:bCs/>
          <w:sz w:val="24"/>
          <w:szCs w:val="24"/>
          <w:shd w:val="clear" w:color="auto" w:fill="FFFFFF"/>
        </w:rPr>
        <w:t>f</w:t>
      </w:r>
      <w:r w:rsidR="00FC5CC2" w:rsidRPr="00C17076">
        <w:rPr>
          <w:rFonts w:ascii="Times New Roman" w:eastAsia="Calibri" w:hAnsi="Times New Roman"/>
          <w:bCs/>
          <w:sz w:val="24"/>
          <w:szCs w:val="24"/>
          <w:shd w:val="clear" w:color="auto" w:fill="FFFFFF"/>
        </w:rPr>
        <w:t xml:space="preserve">orensic accountants are experts who use information technology to collect data and analyze information about accounting, auditing, and investigation. Nowadays, businesses are changing geometrically worldwide. The underlined reasons given for this are globalization, high </w:t>
      </w:r>
      <w:r w:rsidR="00373C7D" w:rsidRPr="00C17076">
        <w:rPr>
          <w:rFonts w:ascii="Times New Roman" w:eastAsia="Calibri" w:hAnsi="Times New Roman"/>
          <w:bCs/>
          <w:sz w:val="24"/>
          <w:szCs w:val="24"/>
          <w:shd w:val="clear" w:color="auto" w:fill="FFFFFF"/>
        </w:rPr>
        <w:t>I</w:t>
      </w:r>
      <w:r w:rsidR="00FC5CC2" w:rsidRPr="00C17076">
        <w:rPr>
          <w:rFonts w:ascii="Times New Roman" w:eastAsia="Calibri" w:hAnsi="Times New Roman"/>
          <w:bCs/>
          <w:sz w:val="24"/>
          <w:szCs w:val="24"/>
          <w:shd w:val="clear" w:color="auto" w:fill="FFFFFF"/>
        </w:rPr>
        <w:t xml:space="preserve">nformation </w:t>
      </w:r>
      <w:r w:rsidR="00373C7D" w:rsidRPr="00C17076">
        <w:rPr>
          <w:rFonts w:ascii="Times New Roman" w:eastAsia="Calibri" w:hAnsi="Times New Roman"/>
          <w:bCs/>
          <w:sz w:val="24"/>
          <w:szCs w:val="24"/>
          <w:shd w:val="clear" w:color="auto" w:fill="FFFFFF"/>
        </w:rPr>
        <w:t>T</w:t>
      </w:r>
      <w:r w:rsidR="00FC5CC2" w:rsidRPr="00C17076">
        <w:rPr>
          <w:rFonts w:ascii="Times New Roman" w:eastAsia="Calibri" w:hAnsi="Times New Roman"/>
          <w:bCs/>
          <w:sz w:val="24"/>
          <w:szCs w:val="24"/>
          <w:shd w:val="clear" w:color="auto" w:fill="FFFFFF"/>
        </w:rPr>
        <w:t>echnology (IT) investments, and the rapid pace of technological change combined with ever-increasing research and development costs.</w:t>
      </w:r>
      <w:r w:rsidR="007C4CF6" w:rsidRPr="00C17076">
        <w:rPr>
          <w:rFonts w:ascii="Times New Roman" w:eastAsia="Calibri" w:hAnsi="Times New Roman"/>
          <w:bCs/>
          <w:sz w:val="24"/>
          <w:szCs w:val="24"/>
          <w:shd w:val="clear" w:color="auto" w:fill="FFFFFF"/>
        </w:rPr>
        <w:t xml:space="preserve"> </w:t>
      </w:r>
      <w:r w:rsidR="00D0783B" w:rsidRPr="00C17076">
        <w:rPr>
          <w:rFonts w:ascii="Times New Roman" w:eastAsia="Calibri" w:hAnsi="Times New Roman"/>
          <w:bCs/>
          <w:sz w:val="24"/>
          <w:szCs w:val="24"/>
        </w:rPr>
        <w:t>Information Technology</w:t>
      </w:r>
      <w:r w:rsidR="00F2683A" w:rsidRPr="00C17076">
        <w:rPr>
          <w:rFonts w:ascii="Times New Roman" w:eastAsia="Calibri" w:hAnsi="Times New Roman"/>
          <w:bCs/>
          <w:sz w:val="24"/>
          <w:szCs w:val="24"/>
        </w:rPr>
        <w:t xml:space="preserve"> usage, p</w:t>
      </w:r>
      <w:r w:rsidR="00F02611" w:rsidRPr="00C17076">
        <w:rPr>
          <w:rFonts w:ascii="Times New Roman" w:eastAsia="Calibri" w:hAnsi="Times New Roman"/>
          <w:bCs/>
          <w:sz w:val="24"/>
          <w:szCs w:val="24"/>
        </w:rPr>
        <w:t>rimarily referred</w:t>
      </w:r>
      <w:r w:rsidR="00F2683A" w:rsidRPr="00C17076">
        <w:rPr>
          <w:rFonts w:ascii="Times New Roman" w:eastAsia="Calibri" w:hAnsi="Times New Roman"/>
          <w:bCs/>
          <w:sz w:val="24"/>
          <w:szCs w:val="24"/>
        </w:rPr>
        <w:t xml:space="preserve"> to </w:t>
      </w:r>
      <w:r w:rsidR="00270091" w:rsidRPr="00C17076">
        <w:rPr>
          <w:rFonts w:ascii="Times New Roman" w:eastAsia="Calibri" w:hAnsi="Times New Roman"/>
          <w:bCs/>
          <w:sz w:val="24"/>
          <w:szCs w:val="24"/>
        </w:rPr>
        <w:t xml:space="preserve">as </w:t>
      </w:r>
      <w:r w:rsidR="00F2683A" w:rsidRPr="00C17076">
        <w:rPr>
          <w:rFonts w:ascii="Times New Roman" w:eastAsia="Calibri" w:hAnsi="Times New Roman"/>
          <w:bCs/>
          <w:sz w:val="24"/>
          <w:szCs w:val="24"/>
        </w:rPr>
        <w:t>computers and their peripherals, has seen tremendous expansion in service industries in recent years; it has become the primary determinant of how firms manage and govern their resources (Huang &amp; Lui, 2005</w:t>
      </w:r>
      <w:r w:rsidR="00346D7A" w:rsidRPr="00C17076">
        <w:rPr>
          <w:rFonts w:ascii="Times New Roman" w:eastAsia="Calibri" w:hAnsi="Times New Roman"/>
          <w:bCs/>
          <w:sz w:val="24"/>
          <w:szCs w:val="24"/>
        </w:rPr>
        <w:t xml:space="preserve">; </w:t>
      </w:r>
      <w:r w:rsidR="00346D7A" w:rsidRPr="00C17076">
        <w:rPr>
          <w:rFonts w:ascii="Times New Roman" w:hAnsi="Times New Roman"/>
          <w:color w:val="222222"/>
          <w:sz w:val="24"/>
          <w:szCs w:val="24"/>
          <w:shd w:val="clear" w:color="auto" w:fill="FFFFFF"/>
        </w:rPr>
        <w:t>Schweikl, &amp; Obermaier, 2020</w:t>
      </w:r>
      <w:r w:rsidR="008D77A0" w:rsidRPr="00C17076">
        <w:rPr>
          <w:rFonts w:ascii="Times New Roman" w:hAnsi="Times New Roman"/>
          <w:color w:val="222222"/>
          <w:sz w:val="24"/>
          <w:szCs w:val="24"/>
          <w:shd w:val="clear" w:color="auto" w:fill="FFFFFF"/>
        </w:rPr>
        <w:t>;</w:t>
      </w:r>
      <w:r w:rsidR="00DC4458" w:rsidRPr="00C17076">
        <w:rPr>
          <w:rFonts w:ascii="Times New Roman" w:hAnsi="Times New Roman"/>
          <w:color w:val="222222"/>
          <w:sz w:val="24"/>
          <w:szCs w:val="24"/>
          <w:shd w:val="clear" w:color="auto" w:fill="FFFFFF"/>
        </w:rPr>
        <w:t xml:space="preserve"> </w:t>
      </w:r>
      <w:r w:rsidR="00DC4458" w:rsidRPr="003204B9">
        <w:rPr>
          <w:rFonts w:ascii="Times New Roman" w:hAnsi="Times New Roman"/>
          <w:color w:val="222222"/>
          <w:sz w:val="24"/>
          <w:szCs w:val="24"/>
          <w:shd w:val="clear" w:color="auto" w:fill="FFFFFF"/>
        </w:rPr>
        <w:t>AL-TAYYAR, Abdullah, Abd Rahman, &amp; Ali,</w:t>
      </w:r>
      <w:r w:rsidR="00425557">
        <w:rPr>
          <w:rFonts w:ascii="Times New Roman" w:hAnsi="Times New Roman"/>
          <w:color w:val="222222"/>
          <w:sz w:val="24"/>
          <w:szCs w:val="24"/>
          <w:shd w:val="clear" w:color="auto" w:fill="FFFFFF"/>
        </w:rPr>
        <w:t xml:space="preserve"> 2021</w:t>
      </w:r>
      <w:r w:rsidR="00F2683A" w:rsidRPr="008B1465">
        <w:rPr>
          <w:rFonts w:ascii="Times New Roman" w:eastAsia="Calibri" w:hAnsi="Times New Roman"/>
          <w:bCs/>
          <w:sz w:val="24"/>
          <w:szCs w:val="24"/>
        </w:rPr>
        <w:t>). Forensic accounting is a broad discipline of professional practice that provides fraud investigation services</w:t>
      </w:r>
      <w:r w:rsidR="007D07C1">
        <w:rPr>
          <w:rFonts w:ascii="Times New Roman" w:eastAsia="Calibri" w:hAnsi="Times New Roman"/>
          <w:bCs/>
          <w:sz w:val="24"/>
          <w:szCs w:val="24"/>
        </w:rPr>
        <w:t xml:space="preserve"> </w:t>
      </w:r>
      <w:r w:rsidR="00BA68F9">
        <w:rPr>
          <w:rFonts w:ascii="Times New Roman" w:eastAsia="Calibri" w:hAnsi="Times New Roman"/>
          <w:bCs/>
          <w:sz w:val="24"/>
          <w:szCs w:val="24"/>
        </w:rPr>
        <w:t>(</w:t>
      </w:r>
      <w:r w:rsidR="007D07C1" w:rsidRPr="003204B9">
        <w:rPr>
          <w:rFonts w:ascii="Times New Roman" w:hAnsi="Times New Roman"/>
          <w:color w:val="222222"/>
          <w:sz w:val="24"/>
          <w:szCs w:val="24"/>
          <w:shd w:val="clear" w:color="auto" w:fill="FFFFFF"/>
        </w:rPr>
        <w:t>Capraș, &amp; Achim,</w:t>
      </w:r>
      <w:r w:rsidR="00BA68F9">
        <w:rPr>
          <w:rFonts w:ascii="Times New Roman" w:hAnsi="Times New Roman"/>
          <w:color w:val="222222"/>
          <w:sz w:val="24"/>
          <w:szCs w:val="24"/>
          <w:shd w:val="clear" w:color="auto" w:fill="FFFFFF"/>
        </w:rPr>
        <w:t xml:space="preserve"> </w:t>
      </w:r>
      <w:r w:rsidR="007D07C1" w:rsidRPr="003204B9">
        <w:rPr>
          <w:rFonts w:ascii="Times New Roman" w:hAnsi="Times New Roman"/>
          <w:color w:val="222222"/>
          <w:sz w:val="24"/>
          <w:szCs w:val="24"/>
          <w:shd w:val="clear" w:color="auto" w:fill="FFFFFF"/>
        </w:rPr>
        <w:t>2023</w:t>
      </w:r>
      <w:r w:rsidR="00381F8A">
        <w:rPr>
          <w:rFonts w:ascii="Times New Roman" w:hAnsi="Times New Roman"/>
          <w:color w:val="222222"/>
          <w:sz w:val="24"/>
          <w:szCs w:val="24"/>
          <w:shd w:val="clear" w:color="auto" w:fill="FFFFFF"/>
        </w:rPr>
        <w:t xml:space="preserve">; </w:t>
      </w:r>
      <w:r w:rsidR="00381F8A" w:rsidRPr="003204B9">
        <w:rPr>
          <w:rFonts w:ascii="Times New Roman" w:hAnsi="Times New Roman"/>
          <w:color w:val="222222"/>
          <w:sz w:val="24"/>
          <w:szCs w:val="24"/>
          <w:shd w:val="clear" w:color="auto" w:fill="FFFFFF"/>
        </w:rPr>
        <w:t>Senan, &amp; Swalih, 201</w:t>
      </w:r>
      <w:r w:rsidR="00C13EDC">
        <w:rPr>
          <w:rFonts w:ascii="Times New Roman" w:hAnsi="Times New Roman"/>
          <w:color w:val="222222"/>
          <w:sz w:val="24"/>
          <w:szCs w:val="24"/>
          <w:shd w:val="clear" w:color="auto" w:fill="FFFFFF"/>
        </w:rPr>
        <w:t>9</w:t>
      </w:r>
      <w:r w:rsidR="00C1201C">
        <w:rPr>
          <w:rFonts w:ascii="Times New Roman" w:hAnsi="Times New Roman"/>
          <w:color w:val="222222"/>
          <w:sz w:val="24"/>
          <w:szCs w:val="24"/>
          <w:shd w:val="clear" w:color="auto" w:fill="FFFFFF"/>
        </w:rPr>
        <w:t>;</w:t>
      </w:r>
      <w:r w:rsidR="00C1201C" w:rsidRPr="00C1201C">
        <w:rPr>
          <w:rFonts w:ascii="Times New Roman" w:hAnsi="Times New Roman"/>
          <w:color w:val="222222"/>
          <w:sz w:val="24"/>
          <w:szCs w:val="24"/>
          <w:shd w:val="clear" w:color="auto" w:fill="FFFFFF"/>
        </w:rPr>
        <w:t xml:space="preserve"> </w:t>
      </w:r>
      <w:r w:rsidR="00C1201C" w:rsidRPr="003204B9">
        <w:rPr>
          <w:rFonts w:ascii="Times New Roman" w:hAnsi="Times New Roman"/>
          <w:color w:val="222222"/>
          <w:sz w:val="24"/>
          <w:szCs w:val="24"/>
          <w:shd w:val="clear" w:color="auto" w:fill="FFFFFF"/>
        </w:rPr>
        <w:t>Pircher, 2020</w:t>
      </w:r>
      <w:r w:rsidR="007D07C1" w:rsidRPr="003204B9">
        <w:rPr>
          <w:rFonts w:ascii="Times New Roman" w:hAnsi="Times New Roman"/>
          <w:color w:val="222222"/>
          <w:sz w:val="24"/>
          <w:szCs w:val="24"/>
          <w:shd w:val="clear" w:color="auto" w:fill="FFFFFF"/>
        </w:rPr>
        <w:t>).</w:t>
      </w:r>
      <w:r w:rsidR="00F2683A" w:rsidRPr="008B1465">
        <w:rPr>
          <w:rFonts w:ascii="Times New Roman" w:eastAsia="Calibri" w:hAnsi="Times New Roman"/>
          <w:bCs/>
          <w:sz w:val="24"/>
          <w:szCs w:val="24"/>
        </w:rPr>
        <w:t xml:space="preserve"> A forensic accountant is critical in finding, preventing, and prosecuting those who are involved in criminal activities such as financial misrepresentation, money laundering, and identity theft</w:t>
      </w:r>
      <w:r w:rsidR="00F2683A" w:rsidRPr="00D31D59">
        <w:rPr>
          <w:rFonts w:ascii="Times New Roman" w:eastAsia="Calibri" w:hAnsi="Times New Roman"/>
          <w:bCs/>
          <w:sz w:val="24"/>
          <w:szCs w:val="24"/>
        </w:rPr>
        <w:t xml:space="preserve">. </w:t>
      </w:r>
      <w:sdt>
        <w:sdtPr>
          <w:rPr>
            <w:rFonts w:ascii="Times New Roman" w:eastAsia="Calibri" w:hAnsi="Times New Roman"/>
            <w:bCs/>
            <w:sz w:val="24"/>
            <w:szCs w:val="24"/>
          </w:rPr>
          <w:tag w:val="MENDELEY_CITATION_v3_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"/>
          <w:id w:val="2090497582"/>
        </w:sdtPr>
        <w:sdtEndPr>
          <w:rPr>
            <w:rFonts w:eastAsia="Times New Roman"/>
            <w:bCs w:val="0"/>
          </w:rPr>
        </w:sdtEndPr>
        <w:sdtContent>
          <w:r w:rsidR="00BB15B3" w:rsidRPr="00D31D59">
            <w:rPr>
              <w:rFonts w:ascii="Times New Roman" w:hAnsi="Times New Roman"/>
              <w:sz w:val="24"/>
              <w:szCs w:val="24"/>
            </w:rPr>
            <w:t>(Sanchez, 2012</w:t>
          </w:r>
          <w:r w:rsidR="00EF517A" w:rsidRPr="00D31D59">
            <w:rPr>
              <w:rFonts w:ascii="Times New Roman" w:hAnsi="Times New Roman"/>
              <w:sz w:val="24"/>
              <w:szCs w:val="24"/>
            </w:rPr>
            <w:t>; Honigsberg</w:t>
          </w:r>
          <w:r w:rsidR="00CD60DB" w:rsidRPr="00D31D59">
            <w:rPr>
              <w:rFonts w:ascii="Times New Roman" w:hAnsi="Times New Roman"/>
              <w:sz w:val="24"/>
              <w:szCs w:val="24"/>
            </w:rPr>
            <w:t>,</w:t>
          </w:r>
          <w:r w:rsidR="00EF517A" w:rsidRPr="00D31D59">
            <w:rPr>
              <w:rFonts w:ascii="Times New Roman" w:hAnsi="Times New Roman"/>
              <w:sz w:val="24"/>
              <w:szCs w:val="24"/>
            </w:rPr>
            <w:t xml:space="preserve"> 2020</w:t>
          </w:r>
          <w:r w:rsidR="00BB15B3" w:rsidRPr="00D31D59">
            <w:rPr>
              <w:rFonts w:ascii="Times New Roman" w:hAnsi="Times New Roman"/>
              <w:sz w:val="24"/>
              <w:szCs w:val="24"/>
            </w:rPr>
            <w:t>)</w:t>
          </w:r>
        </w:sdtContent>
      </w:sdt>
      <w:r w:rsidRPr="008B1465">
        <w:rPr>
          <w:rFonts w:ascii="Times New Roman" w:eastAsia="Calibri" w:hAnsi="Times New Roman"/>
          <w:bCs/>
          <w:sz w:val="24"/>
          <w:szCs w:val="24"/>
        </w:rPr>
        <w:t>.</w:t>
      </w:r>
    </w:p>
    <w:p w14:paraId="2C006A83" w14:textId="2AD9E07E" w:rsidR="009225E8" w:rsidRPr="008B1465" w:rsidRDefault="009225E8"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It is worthy of note that forensic accounting is paramount to achieving value for money among Federal Universities in Nigeria. Value for money (VM) is derived from the optimal balance of benefits and costs based on the total cost of ownership. As a result, value for money is not a commodity or service selection based on the lowest bid price, but rather on the total life costs of the project or service. The nature of public procurement is such that it involves discretionary decision-making on behalf of the government at all levels. Public procurement is simply the process by which government agencies acquire goods, perform work, and provide services. The terminology is the same in Nigeria. However, in the United States of America and the World Trade Organization, public procurement is referred to as government contracts or public contracts (Arrowsmith, 2011</w:t>
      </w:r>
      <w:r w:rsidR="00FF2C7F">
        <w:rPr>
          <w:rFonts w:ascii="Times New Roman" w:eastAsia="Calibri" w:hAnsi="Times New Roman"/>
          <w:bCs/>
          <w:sz w:val="24"/>
          <w:szCs w:val="24"/>
        </w:rPr>
        <w:t xml:space="preserve">; </w:t>
      </w:r>
      <w:r w:rsidR="00C13EDC" w:rsidRPr="003204B9">
        <w:rPr>
          <w:rFonts w:ascii="Times New Roman" w:hAnsi="Times New Roman"/>
          <w:color w:val="222222"/>
          <w:sz w:val="24"/>
          <w:szCs w:val="24"/>
          <w:shd w:val="clear" w:color="auto" w:fill="FFFFFF"/>
        </w:rPr>
        <w:t>Evenett, 2019</w:t>
      </w:r>
      <w:r w:rsidR="00904EFA">
        <w:rPr>
          <w:rFonts w:ascii="Times New Roman" w:hAnsi="Times New Roman"/>
          <w:color w:val="222222"/>
          <w:sz w:val="24"/>
          <w:szCs w:val="24"/>
          <w:shd w:val="clear" w:color="auto" w:fill="FFFFFF"/>
        </w:rPr>
        <w:t xml:space="preserve">; </w:t>
      </w:r>
      <w:r w:rsidR="00904EFA" w:rsidRPr="003204B9">
        <w:rPr>
          <w:rFonts w:ascii="Times New Roman" w:hAnsi="Times New Roman"/>
          <w:color w:val="222222"/>
          <w:sz w:val="24"/>
          <w:szCs w:val="24"/>
          <w:shd w:val="clear" w:color="auto" w:fill="FFFFFF"/>
        </w:rPr>
        <w:t>Casallas, Lovelle, &amp; Molano, 2020).</w:t>
      </w:r>
    </w:p>
    <w:p w14:paraId="2702EF58" w14:textId="65458710" w:rsidR="001616E5" w:rsidRPr="008B1465" w:rsidRDefault="00687A81"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Public procurement is the process whereby organizations use public funds to acquire goods and services. It involves planning, inviting offers, awarding contracts, and managing contracts. For the goals of procurement to be achieved, it should follow two principles: Professionalism and Value for Money. Professionalism is the situation that allows educated, experienced, and responsible procurement officers to make informed decisions regarding purchase operations. The role of procurement professionals is critical to Nigeria’s economic development. </w:t>
      </w:r>
      <w:r w:rsidR="003F05E3" w:rsidRPr="008B1465">
        <w:rPr>
          <w:rFonts w:ascii="Times New Roman" w:eastAsia="Calibri" w:hAnsi="Times New Roman"/>
          <w:bCs/>
          <w:sz w:val="24"/>
          <w:szCs w:val="24"/>
        </w:rPr>
        <w:t>Value for money is derived from the optimal balance of benefits and costs on the basis of the total cost of ownership. This implies that value for money does not necessarily mean that a tender must be awarded to the lowest tenderer (Civil Service College, 2010</w:t>
      </w:r>
      <w:r w:rsidR="00A66824">
        <w:rPr>
          <w:rFonts w:ascii="Times New Roman" w:eastAsia="Calibri" w:hAnsi="Times New Roman"/>
          <w:bCs/>
          <w:sz w:val="24"/>
          <w:szCs w:val="24"/>
        </w:rPr>
        <w:t xml:space="preserve">; </w:t>
      </w:r>
      <w:r w:rsidR="003764E3" w:rsidRPr="003204B9">
        <w:rPr>
          <w:rFonts w:ascii="Times New Roman" w:hAnsi="Times New Roman"/>
          <w:color w:val="222222"/>
          <w:sz w:val="24"/>
          <w:szCs w:val="24"/>
          <w:shd w:val="clear" w:color="auto" w:fill="FFFFFF"/>
        </w:rPr>
        <w:t>Machirori, Pande, &amp; Fundira, 2022</w:t>
      </w:r>
      <w:r w:rsidR="003764E3">
        <w:rPr>
          <w:rFonts w:ascii="Times New Roman" w:hAnsi="Times New Roman"/>
          <w:color w:val="222222"/>
          <w:sz w:val="24"/>
          <w:szCs w:val="24"/>
          <w:shd w:val="clear" w:color="auto" w:fill="FFFFFF"/>
        </w:rPr>
        <w:t xml:space="preserve">; </w:t>
      </w:r>
      <w:r w:rsidR="00B93868" w:rsidRPr="003204B9">
        <w:rPr>
          <w:rFonts w:ascii="Times New Roman" w:hAnsi="Times New Roman"/>
          <w:color w:val="222222"/>
          <w:sz w:val="24"/>
          <w:szCs w:val="24"/>
          <w:shd w:val="clear" w:color="auto" w:fill="FFFFFF"/>
        </w:rPr>
        <w:t>Machirori., Pande, &amp; Fundira, 2022</w:t>
      </w:r>
      <w:r w:rsidR="003F05E3" w:rsidRPr="008B1465">
        <w:rPr>
          <w:rFonts w:ascii="Times New Roman" w:eastAsia="Calibri" w:hAnsi="Times New Roman"/>
          <w:bCs/>
          <w:sz w:val="24"/>
          <w:szCs w:val="24"/>
        </w:rPr>
        <w:t>). Value for money in public procurement is achieved by following through lowest whole-of-life cost, clearly defining significant benefits, and timely delivery. Waste prevention and encouraging competition, transparency and accountability during the tendering process are critical to achieving value for money.</w:t>
      </w:r>
    </w:p>
    <w:p w14:paraId="36A4CEF2" w14:textId="4B035223" w:rsidR="001616E5" w:rsidRPr="008B1465" w:rsidRDefault="003F05E3" w:rsidP="007541CB">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In order to control cash, the controller must carry out a surprise count. To ensure that internal control is adequate, surprise count of cash must be given a high priority. In cash verification, the controller must not always wait till the year-end. He may make two verification dates one as a surprise and the other at year-end </w:t>
      </w:r>
      <w:sdt>
        <w:sdtPr>
          <w:rPr>
            <w:rFonts w:ascii="Times New Roman" w:eastAsia="Calibri" w:hAnsi="Times New Roman"/>
            <w:sz w:val="24"/>
            <w:szCs w:val="24"/>
          </w:rPr>
          <w:tag w:val="MENDELEY_CITATION_v3_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"/>
          <w:id w:val="165989410"/>
        </w:sdtPr>
        <w:sdtEndPr>
          <w:rPr>
            <w:rFonts w:eastAsia="Times New Roman"/>
          </w:rPr>
        </w:sdtEndPr>
        <w:sdtContent>
          <w:r w:rsidR="00BB15B3" w:rsidRPr="008B1465">
            <w:rPr>
              <w:rFonts w:ascii="Times New Roman" w:hAnsi="Times New Roman"/>
              <w:sz w:val="24"/>
              <w:szCs w:val="24"/>
            </w:rPr>
            <w:t>(Braithwaite, 2009</w:t>
          </w:r>
          <w:r w:rsidR="00152C51">
            <w:rPr>
              <w:rFonts w:ascii="Times New Roman" w:hAnsi="Times New Roman"/>
              <w:sz w:val="24"/>
              <w:szCs w:val="24"/>
            </w:rPr>
            <w:t xml:space="preserve">; </w:t>
          </w:r>
          <w:r w:rsidR="00152C51" w:rsidRPr="003204B9">
            <w:rPr>
              <w:rFonts w:ascii="Times New Roman" w:hAnsi="Times New Roman"/>
              <w:color w:val="222222"/>
              <w:sz w:val="24"/>
              <w:szCs w:val="24"/>
              <w:shd w:val="clear" w:color="auto" w:fill="FFFFFF"/>
            </w:rPr>
            <w:t>Cazenave, &amp; Morales, 2021</w:t>
          </w:r>
          <w:r w:rsidR="00E52868">
            <w:rPr>
              <w:rFonts w:ascii="Times New Roman" w:hAnsi="Times New Roman"/>
              <w:color w:val="222222"/>
              <w:sz w:val="24"/>
              <w:szCs w:val="24"/>
              <w:shd w:val="clear" w:color="auto" w:fill="FFFFFF"/>
            </w:rPr>
            <w:t xml:space="preserve">; </w:t>
          </w:r>
          <w:r w:rsidR="00E52868" w:rsidRPr="003204B9">
            <w:rPr>
              <w:rFonts w:ascii="Times New Roman" w:hAnsi="Times New Roman"/>
              <w:color w:val="222222"/>
              <w:sz w:val="24"/>
              <w:szCs w:val="24"/>
              <w:shd w:val="clear" w:color="auto" w:fill="FFFFFF"/>
            </w:rPr>
            <w:t>Bremner, &amp; Eisenhardt, 2022</w:t>
          </w:r>
          <w:r w:rsidR="00BB15B3" w:rsidRPr="008B1465">
            <w:rPr>
              <w:rFonts w:ascii="Times New Roman" w:hAnsi="Times New Roman"/>
              <w:sz w:val="24"/>
              <w:szCs w:val="24"/>
            </w:rPr>
            <w:t>)</w:t>
          </w:r>
        </w:sdtContent>
      </w:sdt>
      <w:r w:rsidRPr="008B1465">
        <w:rPr>
          <w:rFonts w:ascii="Times New Roman" w:eastAsia="Calibri" w:hAnsi="Times New Roman"/>
          <w:sz w:val="24"/>
          <w:szCs w:val="24"/>
        </w:rPr>
        <w:t xml:space="preserve">. </w:t>
      </w:r>
      <w:r w:rsidRPr="008B1465">
        <w:rPr>
          <w:rFonts w:ascii="Times New Roman" w:eastAsia="Calibri" w:hAnsi="Times New Roman"/>
          <w:bCs/>
          <w:sz w:val="24"/>
          <w:szCs w:val="24"/>
        </w:rPr>
        <w:t>Worldwide, Sherlock Holmes was considered to be the first forensic accountant, although the first person to mention the famous forty ways of embezzlement was Kautilya in his book Arthashastra during ancient times</w:t>
      </w:r>
      <w:r w:rsidR="00145612">
        <w:rPr>
          <w:rFonts w:ascii="Times New Roman" w:eastAsia="Calibri" w:hAnsi="Times New Roman"/>
          <w:bCs/>
          <w:sz w:val="24"/>
          <w:szCs w:val="24"/>
        </w:rPr>
        <w:t xml:space="preserve"> </w:t>
      </w:r>
      <w:r w:rsidR="00145612" w:rsidRPr="008B1465">
        <w:rPr>
          <w:rFonts w:ascii="Times New Roman" w:eastAsia="Calibri" w:hAnsi="Times New Roman"/>
          <w:bCs/>
          <w:sz w:val="24"/>
          <w:szCs w:val="24"/>
        </w:rPr>
        <w:t xml:space="preserve">(Bhasin, 2007).  </w:t>
      </w:r>
      <w:r w:rsidRPr="008B1465">
        <w:rPr>
          <w:rFonts w:ascii="Times New Roman" w:eastAsia="Calibri" w:hAnsi="Times New Roman"/>
          <w:bCs/>
          <w:sz w:val="24"/>
          <w:szCs w:val="24"/>
        </w:rPr>
        <w:t xml:space="preserve"> He was the first economist, who openly recognized the need for forensic accountants. Similarly, Birbal used various tricks to investigate various crimes. Some of his stories give the fraud examiner a brief idea about the Litmus test of investigation (Bhasin, 2007).  </w:t>
      </w:r>
    </w:p>
    <w:p w14:paraId="6BA3FACB" w14:textId="2FA0D4BE"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Investigative accounting experts are conversant in collecting conclusive evidence as well as interviewing suspected fraud perpetrator and serves as expert witness in law court </w:t>
      </w:r>
      <w:sdt>
        <w:sdtPr>
          <w:rPr>
            <w:rFonts w:ascii="Times New Roman" w:eastAsia="Calibri" w:hAnsi="Times New Roman"/>
            <w:bCs/>
            <w:sz w:val="24"/>
            <w:szCs w:val="24"/>
          </w:rPr>
          <w:tag w:val="MENDELEY_CITATION_v3_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"/>
          <w:id w:val="-1936894484"/>
        </w:sdtPr>
        <w:sdtEndPr>
          <w:rPr>
            <w:rFonts w:eastAsia="Times New Roman"/>
            <w:bCs w:val="0"/>
          </w:rPr>
        </w:sdtEndPr>
        <w:sdtContent>
          <w:r w:rsidR="00BB15B3" w:rsidRPr="008B1465">
            <w:rPr>
              <w:rFonts w:ascii="Times New Roman" w:hAnsi="Times New Roman"/>
              <w:sz w:val="24"/>
              <w:szCs w:val="24"/>
            </w:rPr>
            <w:t>(Suleiman &amp; Othman, 2016</w:t>
          </w:r>
          <w:r w:rsidR="006A7691">
            <w:rPr>
              <w:rFonts w:ascii="Times New Roman" w:hAnsi="Times New Roman"/>
              <w:sz w:val="24"/>
              <w:szCs w:val="24"/>
            </w:rPr>
            <w:t xml:space="preserve">; </w:t>
          </w:r>
          <w:r w:rsidR="006A7691" w:rsidRPr="003204B9">
            <w:rPr>
              <w:rFonts w:ascii="Times New Roman" w:hAnsi="Times New Roman"/>
              <w:color w:val="222222"/>
              <w:sz w:val="24"/>
              <w:szCs w:val="24"/>
              <w:shd w:val="clear" w:color="auto" w:fill="FFFFFF"/>
            </w:rPr>
            <w:t>Mergel, Edelmann, &amp; Haug, 2019</w:t>
          </w:r>
          <w:r w:rsidR="00BB15B3" w:rsidRPr="008B1465">
            <w:rPr>
              <w:rFonts w:ascii="Times New Roman" w:hAnsi="Times New Roman"/>
              <w:sz w:val="24"/>
              <w:szCs w:val="24"/>
            </w:rPr>
            <w:t>)</w:t>
          </w:r>
        </w:sdtContent>
      </w:sdt>
      <w:r w:rsidRPr="008B1465">
        <w:rPr>
          <w:rFonts w:ascii="Times New Roman" w:eastAsia="Calibri" w:hAnsi="Times New Roman"/>
          <w:bCs/>
          <w:sz w:val="24"/>
          <w:szCs w:val="24"/>
        </w:rPr>
        <w:t>. Investigative accounting does not follow a strict st</w:t>
      </w:r>
      <w:r w:rsidR="00456770" w:rsidRPr="008B1465">
        <w:rPr>
          <w:rFonts w:ascii="Times New Roman" w:eastAsia="Calibri" w:hAnsi="Times New Roman"/>
          <w:bCs/>
          <w:sz w:val="24"/>
          <w:szCs w:val="24"/>
        </w:rPr>
        <w:t>andard procedure, the method</w:t>
      </w:r>
      <w:r w:rsidR="00003539" w:rsidRPr="008B1465">
        <w:rPr>
          <w:rFonts w:ascii="Times New Roman" w:eastAsia="Calibri" w:hAnsi="Times New Roman"/>
          <w:bCs/>
          <w:sz w:val="24"/>
          <w:szCs w:val="24"/>
        </w:rPr>
        <w:t xml:space="preserve"> </w:t>
      </w:r>
      <w:r w:rsidR="00456770" w:rsidRPr="008B1465">
        <w:rPr>
          <w:rFonts w:ascii="Times New Roman" w:eastAsia="Calibri" w:hAnsi="Times New Roman"/>
          <w:bCs/>
          <w:sz w:val="24"/>
          <w:szCs w:val="24"/>
        </w:rPr>
        <w:t>adopted</w:t>
      </w:r>
      <w:r w:rsidR="00003539" w:rsidRPr="008B1465">
        <w:rPr>
          <w:rFonts w:ascii="Times New Roman" w:eastAsia="Calibri" w:hAnsi="Times New Roman"/>
          <w:bCs/>
          <w:sz w:val="24"/>
          <w:szCs w:val="24"/>
        </w:rPr>
        <w:t xml:space="preserve"> </w:t>
      </w:r>
      <w:r w:rsidRPr="008B1465">
        <w:rPr>
          <w:rFonts w:ascii="Times New Roman" w:eastAsia="Calibri" w:hAnsi="Times New Roman"/>
          <w:bCs/>
          <w:sz w:val="24"/>
          <w:szCs w:val="24"/>
        </w:rPr>
        <w:t>change</w:t>
      </w:r>
      <w:r w:rsidR="00003539" w:rsidRPr="008B1465">
        <w:rPr>
          <w:rFonts w:ascii="Times New Roman" w:eastAsia="Calibri" w:hAnsi="Times New Roman"/>
          <w:bCs/>
          <w:sz w:val="24"/>
          <w:szCs w:val="24"/>
        </w:rPr>
        <w:t>s</w:t>
      </w:r>
      <w:r w:rsidRPr="008B1465">
        <w:rPr>
          <w:rFonts w:ascii="Times New Roman" w:eastAsia="Calibri" w:hAnsi="Times New Roman"/>
          <w:bCs/>
          <w:sz w:val="24"/>
          <w:szCs w:val="24"/>
        </w:rPr>
        <w:t xml:space="preserve"> in accordance with the term</w:t>
      </w:r>
      <w:r w:rsidR="00603946" w:rsidRPr="008B1465">
        <w:rPr>
          <w:rFonts w:ascii="Times New Roman" w:eastAsia="Calibri" w:hAnsi="Times New Roman"/>
          <w:bCs/>
          <w:sz w:val="24"/>
          <w:szCs w:val="24"/>
        </w:rPr>
        <w:t>s</w:t>
      </w:r>
      <w:r w:rsidRPr="008B1465">
        <w:rPr>
          <w:rFonts w:ascii="Times New Roman" w:eastAsia="Calibri" w:hAnsi="Times New Roman"/>
          <w:bCs/>
          <w:sz w:val="24"/>
          <w:szCs w:val="24"/>
        </w:rPr>
        <w:t xml:space="preserve"> of engagement. The investigative </w:t>
      </w:r>
      <w:r w:rsidR="00603946" w:rsidRPr="008B1465">
        <w:rPr>
          <w:rFonts w:ascii="Times New Roman" w:eastAsia="Calibri" w:hAnsi="Times New Roman"/>
          <w:bCs/>
          <w:sz w:val="24"/>
          <w:szCs w:val="24"/>
        </w:rPr>
        <w:t>accounting specialists conclude</w:t>
      </w:r>
      <w:r w:rsidRPr="008B1465">
        <w:rPr>
          <w:rFonts w:ascii="Times New Roman" w:eastAsia="Calibri" w:hAnsi="Times New Roman"/>
          <w:bCs/>
          <w:sz w:val="24"/>
          <w:szCs w:val="24"/>
        </w:rPr>
        <w:t xml:space="preserve"> his investigation assignment by preparing a report presentable to court for resolution of fraud cases. The role of forensic accountants in litigation process is very paramount in concluding the litigation process. Forensic accountants assist in translating and decoding complex accounting terminology during his course of duty (</w:t>
      </w:r>
      <w:r w:rsidRPr="008B1465">
        <w:rPr>
          <w:rFonts w:ascii="Times New Roman" w:hAnsi="Times New Roman"/>
          <w:sz w:val="24"/>
          <w:szCs w:val="24"/>
          <w:shd w:val="clear" w:color="auto" w:fill="FFFFFF"/>
        </w:rPr>
        <w:t>Alshurafat, Beattie, Jones, &amp; Sands, 2020</w:t>
      </w:r>
      <w:r w:rsidRPr="008B1465">
        <w:rPr>
          <w:rFonts w:ascii="Times New Roman" w:eastAsia="Calibri" w:hAnsi="Times New Roman"/>
          <w:bCs/>
          <w:sz w:val="24"/>
          <w:szCs w:val="24"/>
        </w:rPr>
        <w:t>). He also provides meaningful litigation support services in order to ensure significant decision outcome (Hopwood</w:t>
      </w:r>
      <w:r w:rsidRPr="008B1465">
        <w:rPr>
          <w:rFonts w:ascii="Times New Roman" w:hAnsi="Times New Roman"/>
          <w:sz w:val="24"/>
          <w:szCs w:val="24"/>
        </w:rPr>
        <w:t>, Leiner &amp; Young</w:t>
      </w:r>
      <w:r w:rsidR="00CB0D6D">
        <w:rPr>
          <w:rFonts w:ascii="Times New Roman" w:hAnsi="Times New Roman"/>
          <w:sz w:val="24"/>
          <w:szCs w:val="24"/>
        </w:rPr>
        <w:t>,</w:t>
      </w:r>
      <w:r w:rsidRPr="008B1465">
        <w:rPr>
          <w:rFonts w:ascii="Times New Roman" w:eastAsia="Calibri" w:hAnsi="Times New Roman"/>
          <w:bCs/>
          <w:sz w:val="24"/>
          <w:szCs w:val="24"/>
        </w:rPr>
        <w:t xml:space="preserve"> 2012). Forensic accountants give expert testimony covering areas such as fund misappropriation, insurance fraud, creative accounting practices, procurement practices, value for money, divorce settlement, bankruptcy fraud, merger and acquisition (</w:t>
      </w:r>
      <w:r w:rsidRPr="008B1465">
        <w:rPr>
          <w:rFonts w:ascii="Times New Roman" w:hAnsi="Times New Roman"/>
          <w:sz w:val="24"/>
          <w:szCs w:val="24"/>
          <w:shd w:val="clear" w:color="auto" w:fill="FFFFFF"/>
        </w:rPr>
        <w:t xml:space="preserve">Alshurafat </w:t>
      </w:r>
      <w:r w:rsidR="00576E27" w:rsidRPr="008B1465">
        <w:rPr>
          <w:rFonts w:ascii="Times New Roman" w:hAnsi="Times New Roman"/>
          <w:i/>
          <w:iCs/>
          <w:sz w:val="24"/>
          <w:szCs w:val="24"/>
          <w:shd w:val="clear" w:color="auto" w:fill="FFFFFF"/>
        </w:rPr>
        <w:t>et al</w:t>
      </w:r>
      <w:r w:rsidRPr="008B1465">
        <w:rPr>
          <w:rFonts w:ascii="Times New Roman" w:hAnsi="Times New Roman"/>
          <w:sz w:val="24"/>
          <w:szCs w:val="24"/>
          <w:shd w:val="clear" w:color="auto" w:fill="FFFFFF"/>
        </w:rPr>
        <w:t>., 2020).</w:t>
      </w:r>
    </w:p>
    <w:p w14:paraId="0CD938A2" w14:textId="0D1062B0"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Fraud does not follow definite rule or pattern to arrive at its definition, as it encompasses trick, surprise, </w:t>
      </w:r>
      <w:r w:rsidR="00603946" w:rsidRPr="008B1465">
        <w:rPr>
          <w:rFonts w:ascii="Times New Roman" w:eastAsia="Calibri" w:hAnsi="Times New Roman"/>
          <w:bCs/>
          <w:sz w:val="24"/>
          <w:szCs w:val="24"/>
        </w:rPr>
        <w:t>cunning and unfair treatment me</w:t>
      </w:r>
      <w:r w:rsidRPr="008B1465">
        <w:rPr>
          <w:rFonts w:ascii="Times New Roman" w:eastAsia="Calibri" w:hAnsi="Times New Roman"/>
          <w:bCs/>
          <w:sz w:val="24"/>
          <w:szCs w:val="24"/>
        </w:rPr>
        <w:t xml:space="preserve">ted on another.  </w:t>
      </w:r>
      <w:r w:rsidR="00AE6537" w:rsidRPr="008B1465">
        <w:rPr>
          <w:rFonts w:ascii="Times New Roman" w:eastAsia="Calibri" w:hAnsi="Times New Roman"/>
          <w:bCs/>
          <w:sz w:val="24"/>
          <w:szCs w:val="24"/>
        </w:rPr>
        <w:t>Fraud</w:t>
      </w:r>
      <w:r w:rsidR="00CB2D67" w:rsidRPr="008B1465">
        <w:rPr>
          <w:rFonts w:ascii="Times New Roman" w:eastAsia="Calibri" w:hAnsi="Times New Roman"/>
          <w:bCs/>
          <w:sz w:val="24"/>
          <w:szCs w:val="24"/>
        </w:rPr>
        <w:t xml:space="preserve"> is a</w:t>
      </w:r>
      <w:r w:rsidR="00080420" w:rsidRPr="008B1465">
        <w:rPr>
          <w:rFonts w:ascii="Times New Roman" w:eastAsia="Calibri" w:hAnsi="Times New Roman"/>
          <w:bCs/>
          <w:sz w:val="24"/>
          <w:szCs w:val="24"/>
        </w:rPr>
        <w:t xml:space="preserve"> </w:t>
      </w:r>
      <w:r w:rsidR="005E7144" w:rsidRPr="008B1465">
        <w:rPr>
          <w:rFonts w:ascii="Times New Roman" w:eastAsia="Calibri" w:hAnsi="Times New Roman"/>
          <w:bCs/>
          <w:sz w:val="24"/>
          <w:szCs w:val="24"/>
        </w:rPr>
        <w:t>generic term</w:t>
      </w:r>
      <w:r w:rsidR="00AE6537" w:rsidRPr="008B1465">
        <w:rPr>
          <w:rFonts w:ascii="Times New Roman" w:eastAsia="Calibri" w:hAnsi="Times New Roman"/>
          <w:bCs/>
          <w:sz w:val="24"/>
          <w:szCs w:val="24"/>
        </w:rPr>
        <w:t xml:space="preserve"> as it is </w:t>
      </w:r>
      <w:r w:rsidRPr="008B1465">
        <w:rPr>
          <w:rFonts w:ascii="Times New Roman" w:eastAsia="Calibri" w:hAnsi="Times New Roman"/>
          <w:bCs/>
          <w:sz w:val="24"/>
          <w:szCs w:val="24"/>
        </w:rPr>
        <w:t>regarded as an intentional misrepresentation and manipulation of truth or deceit to a company or individual in a deceitful manner</w:t>
      </w:r>
      <w:r w:rsidR="00EC5B94" w:rsidRPr="008B1465">
        <w:rPr>
          <w:rFonts w:ascii="Times New Roman" w:eastAsia="Calibri" w:hAnsi="Times New Roman"/>
          <w:bCs/>
          <w:sz w:val="24"/>
          <w:szCs w:val="24"/>
        </w:rPr>
        <w:t xml:space="preserve"> (Erasmus</w:t>
      </w:r>
      <w:r w:rsidR="00AD1E12">
        <w:rPr>
          <w:rFonts w:ascii="Times New Roman" w:eastAsia="Calibri" w:hAnsi="Times New Roman"/>
          <w:bCs/>
          <w:sz w:val="24"/>
          <w:szCs w:val="24"/>
        </w:rPr>
        <w:t>,</w:t>
      </w:r>
      <w:r w:rsidR="00EC5B94" w:rsidRPr="008B1465">
        <w:rPr>
          <w:rFonts w:ascii="Times New Roman" w:eastAsia="Calibri" w:hAnsi="Times New Roman"/>
          <w:bCs/>
          <w:sz w:val="24"/>
          <w:szCs w:val="24"/>
        </w:rPr>
        <w:t xml:space="preserve"> 2021)</w:t>
      </w:r>
      <w:r w:rsidRPr="008B1465">
        <w:rPr>
          <w:rFonts w:ascii="Times New Roman" w:eastAsia="Calibri" w:hAnsi="Times New Roman"/>
          <w:bCs/>
          <w:sz w:val="24"/>
          <w:szCs w:val="24"/>
        </w:rPr>
        <w:t>. Fraud also include</w:t>
      </w:r>
      <w:r w:rsidR="008B13E5" w:rsidRPr="008B1465">
        <w:rPr>
          <w:rFonts w:ascii="Times New Roman" w:eastAsia="Calibri" w:hAnsi="Times New Roman"/>
          <w:bCs/>
          <w:sz w:val="24"/>
          <w:szCs w:val="24"/>
        </w:rPr>
        <w:t>s</w:t>
      </w:r>
      <w:r w:rsidRPr="008B1465">
        <w:rPr>
          <w:rFonts w:ascii="Times New Roman" w:eastAsia="Calibri" w:hAnsi="Times New Roman"/>
          <w:bCs/>
          <w:sz w:val="24"/>
          <w:szCs w:val="24"/>
        </w:rPr>
        <w:t xml:space="preserve"> wrong judgment or false judgment with deceit to unduly influence a party to a contract. Fraud can be committed for enriching oneself with intentional act by causing innocent party a loss of asset or cash</w:t>
      </w:r>
      <w:r w:rsidR="00EC5B94" w:rsidRPr="008B1465">
        <w:rPr>
          <w:rFonts w:ascii="Times New Roman" w:eastAsia="Calibri" w:hAnsi="Times New Roman"/>
          <w:bCs/>
          <w:sz w:val="24"/>
          <w:szCs w:val="24"/>
        </w:rPr>
        <w:t xml:space="preserve"> as it </w:t>
      </w:r>
      <w:r w:rsidRPr="008B1465">
        <w:rPr>
          <w:rFonts w:ascii="Times New Roman" w:eastAsia="Calibri" w:hAnsi="Times New Roman"/>
          <w:bCs/>
          <w:sz w:val="24"/>
          <w:szCs w:val="24"/>
        </w:rPr>
        <w:t xml:space="preserve">can cause </w:t>
      </w:r>
      <w:r w:rsidR="00624756" w:rsidRPr="008B1465">
        <w:rPr>
          <w:rFonts w:ascii="Times New Roman" w:eastAsia="Calibri" w:hAnsi="Times New Roman"/>
          <w:bCs/>
          <w:sz w:val="24"/>
          <w:szCs w:val="24"/>
        </w:rPr>
        <w:t>any</w:t>
      </w:r>
      <w:r w:rsidR="0069490B" w:rsidRPr="008B1465">
        <w:rPr>
          <w:rFonts w:ascii="Times New Roman" w:eastAsia="Calibri" w:hAnsi="Times New Roman"/>
          <w:bCs/>
          <w:sz w:val="24"/>
          <w:szCs w:val="24"/>
        </w:rPr>
        <w:t xml:space="preserve"> </w:t>
      </w:r>
      <w:r w:rsidRPr="008B1465">
        <w:rPr>
          <w:rFonts w:ascii="Times New Roman" w:eastAsia="Calibri" w:hAnsi="Times New Roman"/>
          <w:bCs/>
          <w:sz w:val="24"/>
          <w:szCs w:val="24"/>
        </w:rPr>
        <w:t>company to go bankrupt after losing substantial part of the business fund</w:t>
      </w:r>
      <w:r w:rsidR="00624756" w:rsidRPr="008B1465">
        <w:rPr>
          <w:rFonts w:ascii="Times New Roman" w:eastAsia="Calibri" w:hAnsi="Times New Roman"/>
          <w:bCs/>
          <w:sz w:val="24"/>
          <w:szCs w:val="24"/>
        </w:rPr>
        <w:t xml:space="preserve"> (Bhasin</w:t>
      </w:r>
      <w:r w:rsidR="0058136F" w:rsidRPr="008B1465">
        <w:rPr>
          <w:rFonts w:ascii="Times New Roman" w:eastAsia="Calibri" w:hAnsi="Times New Roman"/>
          <w:bCs/>
          <w:sz w:val="24"/>
          <w:szCs w:val="24"/>
        </w:rPr>
        <w:t>,</w:t>
      </w:r>
      <w:r w:rsidR="00624756" w:rsidRPr="008B1465">
        <w:rPr>
          <w:rFonts w:ascii="Times New Roman" w:eastAsia="Calibri" w:hAnsi="Times New Roman"/>
          <w:bCs/>
          <w:sz w:val="24"/>
          <w:szCs w:val="24"/>
        </w:rPr>
        <w:t xml:space="preserve"> </w:t>
      </w:r>
      <w:r w:rsidR="002E1F7A" w:rsidRPr="008B1465">
        <w:rPr>
          <w:rFonts w:ascii="Times New Roman" w:eastAsia="Calibri" w:hAnsi="Times New Roman"/>
          <w:bCs/>
          <w:sz w:val="24"/>
          <w:szCs w:val="24"/>
        </w:rPr>
        <w:t>2007)</w:t>
      </w:r>
      <w:r w:rsidRPr="008B1465">
        <w:rPr>
          <w:rFonts w:ascii="Times New Roman" w:eastAsia="Calibri" w:hAnsi="Times New Roman"/>
          <w:bCs/>
          <w:sz w:val="24"/>
          <w:szCs w:val="24"/>
        </w:rPr>
        <w:t>. Meanwhile, most of the high-level fraud</w:t>
      </w:r>
      <w:r w:rsidR="00E467EC" w:rsidRPr="008B1465">
        <w:rPr>
          <w:rFonts w:ascii="Times New Roman" w:eastAsia="Calibri" w:hAnsi="Times New Roman"/>
          <w:bCs/>
          <w:sz w:val="24"/>
          <w:szCs w:val="24"/>
        </w:rPr>
        <w:t>s</w:t>
      </w:r>
      <w:r w:rsidRPr="008B1465">
        <w:rPr>
          <w:rFonts w:ascii="Times New Roman" w:eastAsia="Calibri" w:hAnsi="Times New Roman"/>
          <w:bCs/>
          <w:sz w:val="24"/>
          <w:szCs w:val="24"/>
        </w:rPr>
        <w:t xml:space="preserve"> are caused by top management in an </w:t>
      </w:r>
      <w:r w:rsidR="000B6A45" w:rsidRPr="008B1465">
        <w:rPr>
          <w:rFonts w:ascii="Times New Roman" w:eastAsia="Calibri" w:hAnsi="Times New Roman"/>
          <w:bCs/>
          <w:sz w:val="24"/>
          <w:szCs w:val="24"/>
        </w:rPr>
        <w:t>organization</w:t>
      </w:r>
      <w:r w:rsidR="002E1F7A" w:rsidRPr="008B1465">
        <w:rPr>
          <w:rFonts w:ascii="Times New Roman" w:eastAsia="Calibri" w:hAnsi="Times New Roman"/>
          <w:bCs/>
          <w:sz w:val="24"/>
          <w:szCs w:val="24"/>
        </w:rPr>
        <w:t xml:space="preserve"> (</w:t>
      </w:r>
      <w:r w:rsidR="002E1F7A" w:rsidRPr="008B1465">
        <w:rPr>
          <w:rFonts w:ascii="Times New Roman" w:hAnsi="Times New Roman"/>
          <w:sz w:val="24"/>
          <w:szCs w:val="24"/>
          <w:shd w:val="clear" w:color="auto" w:fill="FFFFFF"/>
        </w:rPr>
        <w:t>Honigsberg, 2020)</w:t>
      </w:r>
      <w:r w:rsidRPr="008B1465">
        <w:rPr>
          <w:rFonts w:ascii="Times New Roman" w:eastAsia="Calibri" w:hAnsi="Times New Roman"/>
          <w:bCs/>
          <w:sz w:val="24"/>
          <w:szCs w:val="24"/>
        </w:rPr>
        <w:t xml:space="preserve">. </w:t>
      </w:r>
      <w:r w:rsidRPr="008B1465">
        <w:rPr>
          <w:rFonts w:ascii="Times New Roman" w:hAnsi="Times New Roman"/>
          <w:sz w:val="24"/>
          <w:szCs w:val="24"/>
          <w:shd w:val="clear" w:color="auto" w:fill="FFFFFF"/>
        </w:rPr>
        <w:t xml:space="preserve">Wahyuni-TD, Haron and Fernando (2021) </w:t>
      </w:r>
      <w:r w:rsidR="000F3F4E" w:rsidRPr="008B1465">
        <w:rPr>
          <w:rFonts w:ascii="Times New Roman" w:eastAsia="Calibri" w:hAnsi="Times New Roman"/>
          <w:bCs/>
          <w:sz w:val="24"/>
          <w:szCs w:val="24"/>
        </w:rPr>
        <w:t>believed</w:t>
      </w:r>
      <w:r w:rsidRPr="008B1465">
        <w:rPr>
          <w:rFonts w:ascii="Times New Roman" w:eastAsia="Calibri" w:hAnsi="Times New Roman"/>
          <w:bCs/>
          <w:sz w:val="24"/>
          <w:szCs w:val="24"/>
        </w:rPr>
        <w:t xml:space="preserve"> that, fraud </w:t>
      </w:r>
      <w:r w:rsidR="000F3F4E" w:rsidRPr="008B1465">
        <w:rPr>
          <w:rFonts w:ascii="Times New Roman" w:eastAsia="Calibri" w:hAnsi="Times New Roman"/>
          <w:bCs/>
          <w:sz w:val="24"/>
          <w:szCs w:val="24"/>
        </w:rPr>
        <w:t>is</w:t>
      </w:r>
      <w:r w:rsidRPr="008B1465">
        <w:rPr>
          <w:rFonts w:ascii="Times New Roman" w:eastAsia="Calibri" w:hAnsi="Times New Roman"/>
          <w:bCs/>
          <w:sz w:val="24"/>
          <w:szCs w:val="24"/>
        </w:rPr>
        <w:t xml:space="preserve"> regarded as a probabi</w:t>
      </w:r>
      <w:r w:rsidR="00F7677D" w:rsidRPr="008B1465">
        <w:rPr>
          <w:rFonts w:ascii="Times New Roman" w:eastAsia="Calibri" w:hAnsi="Times New Roman"/>
          <w:bCs/>
          <w:sz w:val="24"/>
          <w:szCs w:val="24"/>
        </w:rPr>
        <w:t>lity rather than possibility. They</w:t>
      </w:r>
      <w:r w:rsidRPr="008B1465">
        <w:rPr>
          <w:rFonts w:ascii="Times New Roman" w:eastAsia="Calibri" w:hAnsi="Times New Roman"/>
          <w:bCs/>
          <w:sz w:val="24"/>
          <w:szCs w:val="24"/>
        </w:rPr>
        <w:t xml:space="preserve"> went further to state that it is better to prevent fraud by a group of people and not a single individual. </w:t>
      </w:r>
      <w:r w:rsidRPr="008B1465">
        <w:rPr>
          <w:rFonts w:ascii="Times New Roman" w:hAnsi="Times New Roman"/>
          <w:sz w:val="24"/>
          <w:szCs w:val="24"/>
          <w:shd w:val="clear" w:color="auto" w:fill="FFFFFF"/>
        </w:rPr>
        <w:t xml:space="preserve">Honigsberg (2020) </w:t>
      </w:r>
      <w:r w:rsidRPr="008B1465">
        <w:rPr>
          <w:rFonts w:ascii="Times New Roman" w:eastAsia="Calibri" w:hAnsi="Times New Roman"/>
          <w:sz w:val="24"/>
          <w:szCs w:val="24"/>
          <w:shd w:val="clear" w:color="auto" w:fill="FFFFFF"/>
        </w:rPr>
        <w:t>assert</w:t>
      </w:r>
      <w:r w:rsidR="003136F9" w:rsidRPr="008B1465">
        <w:rPr>
          <w:rFonts w:ascii="Times New Roman" w:eastAsia="Calibri" w:hAnsi="Times New Roman"/>
          <w:sz w:val="24"/>
          <w:szCs w:val="24"/>
          <w:shd w:val="clear" w:color="auto" w:fill="FFFFFF"/>
        </w:rPr>
        <w:t>ed</w:t>
      </w:r>
      <w:r w:rsidRPr="008B1465">
        <w:rPr>
          <w:rFonts w:ascii="Times New Roman" w:eastAsia="Calibri" w:hAnsi="Times New Roman"/>
          <w:sz w:val="24"/>
          <w:szCs w:val="24"/>
          <w:shd w:val="clear" w:color="auto" w:fill="FFFFFF"/>
        </w:rPr>
        <w:t xml:space="preserve"> that application of forensic accounting techniques and investigative skill to unresolved matters, conducted in line with the context of the rules of evidence; it is a largely untrodden field in Nigeria. </w:t>
      </w:r>
    </w:p>
    <w:p w14:paraId="30E8396E" w14:textId="732CC0A8" w:rsidR="001616E5" w:rsidRPr="008B1465" w:rsidRDefault="006969B4"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Alshurafat, Beattie, Jones and Sands (2020) submitted that the term "fraud" is generic and takes on various dimensions that only a court can interpret</w:t>
      </w:r>
      <w:r w:rsidRPr="008B1465">
        <w:rPr>
          <w:rFonts w:ascii="Times New Roman" w:eastAsia="Calibri" w:hAnsi="Times New Roman"/>
          <w:sz w:val="24"/>
          <w:szCs w:val="24"/>
          <w:shd w:val="clear" w:color="auto" w:fill="FFFFFF"/>
        </w:rPr>
        <w:t xml:space="preserve">. </w:t>
      </w:r>
      <w:r w:rsidR="00370B94" w:rsidRPr="008B1465">
        <w:rPr>
          <w:rFonts w:ascii="Times New Roman" w:eastAsia="Calibri" w:hAnsi="Times New Roman"/>
          <w:sz w:val="24"/>
          <w:szCs w:val="24"/>
          <w:shd w:val="clear" w:color="auto" w:fill="FFFFFF"/>
        </w:rPr>
        <w:t>Previous studies such as Adegbie and Fakile (2012)</w:t>
      </w:r>
      <w:r w:rsidR="0058136F" w:rsidRPr="008B1465">
        <w:rPr>
          <w:rFonts w:ascii="Times New Roman" w:eastAsia="Calibri" w:hAnsi="Times New Roman"/>
          <w:sz w:val="24"/>
          <w:szCs w:val="24"/>
          <w:shd w:val="clear" w:color="auto" w:fill="FFFFFF"/>
        </w:rPr>
        <w:t>,</w:t>
      </w:r>
      <w:r w:rsidR="0061168F" w:rsidRPr="008B1465">
        <w:rPr>
          <w:rFonts w:ascii="Times New Roman" w:eastAsia="Calibri" w:hAnsi="Times New Roman"/>
          <w:sz w:val="24"/>
          <w:szCs w:val="24"/>
          <w:shd w:val="clear" w:color="auto" w:fill="FFFFFF"/>
        </w:rPr>
        <w:t xml:space="preserve"> </w:t>
      </w:r>
      <w:r w:rsidR="0061168F" w:rsidRPr="008B1465">
        <w:rPr>
          <w:rFonts w:ascii="Times New Roman" w:eastAsia="Calibri" w:hAnsi="Times New Roman"/>
          <w:bCs/>
          <w:sz w:val="24"/>
          <w:szCs w:val="24"/>
        </w:rPr>
        <w:t>Haron and Fernando (2021</w:t>
      </w:r>
      <w:r w:rsidR="00D53BA8" w:rsidRPr="008B1465">
        <w:rPr>
          <w:rFonts w:ascii="Times New Roman" w:eastAsia="Calibri" w:hAnsi="Times New Roman"/>
          <w:bCs/>
          <w:sz w:val="24"/>
          <w:szCs w:val="24"/>
        </w:rPr>
        <w:t>)</w:t>
      </w:r>
      <w:r w:rsidR="00FC678C">
        <w:rPr>
          <w:rFonts w:ascii="Times New Roman" w:eastAsia="Calibri" w:hAnsi="Times New Roman"/>
          <w:bCs/>
          <w:sz w:val="24"/>
          <w:szCs w:val="24"/>
        </w:rPr>
        <w:t xml:space="preserve">, </w:t>
      </w:r>
      <w:r w:rsidR="00FC678C" w:rsidRPr="003204B9">
        <w:rPr>
          <w:rFonts w:ascii="Times New Roman" w:hAnsi="Times New Roman"/>
          <w:color w:val="222222"/>
          <w:sz w:val="24"/>
          <w:szCs w:val="24"/>
          <w:shd w:val="clear" w:color="auto" w:fill="FFFFFF"/>
        </w:rPr>
        <w:t>Higgins (2023)</w:t>
      </w:r>
      <w:r w:rsidR="00D53BA8" w:rsidRPr="008B1465">
        <w:rPr>
          <w:rFonts w:ascii="Times New Roman" w:eastAsia="Calibri" w:hAnsi="Times New Roman"/>
          <w:bCs/>
          <w:sz w:val="24"/>
          <w:szCs w:val="24"/>
        </w:rPr>
        <w:t xml:space="preserve"> </w:t>
      </w:r>
      <w:r w:rsidR="00D53BA8" w:rsidRPr="008B1465">
        <w:rPr>
          <w:rFonts w:ascii="Times New Roman" w:eastAsia="Calibri" w:hAnsi="Times New Roman"/>
          <w:sz w:val="24"/>
          <w:szCs w:val="24"/>
          <w:shd w:val="clear" w:color="auto" w:fill="FFFFFF"/>
        </w:rPr>
        <w:t>submitted</w:t>
      </w:r>
      <w:r w:rsidR="00781BA4" w:rsidRPr="008B1465">
        <w:rPr>
          <w:rFonts w:ascii="Times New Roman" w:eastAsia="Calibri" w:hAnsi="Times New Roman"/>
          <w:sz w:val="24"/>
          <w:szCs w:val="24"/>
          <w:shd w:val="clear" w:color="auto" w:fill="FFFFFF"/>
        </w:rPr>
        <w:t xml:space="preserve"> that </w:t>
      </w:r>
      <w:r w:rsidR="0061168F" w:rsidRPr="008B1465">
        <w:rPr>
          <w:rFonts w:ascii="Times New Roman" w:eastAsia="Calibri" w:hAnsi="Times New Roman"/>
          <w:sz w:val="24"/>
          <w:szCs w:val="24"/>
          <w:shd w:val="clear" w:color="auto" w:fill="FFFFFF"/>
        </w:rPr>
        <w:t>ina</w:t>
      </w:r>
      <w:r w:rsidR="00781BA4" w:rsidRPr="008B1465">
        <w:rPr>
          <w:rFonts w:ascii="Times New Roman" w:eastAsia="Calibri" w:hAnsi="Times New Roman"/>
          <w:sz w:val="24"/>
          <w:szCs w:val="24"/>
          <w:shd w:val="clear" w:color="auto" w:fill="FFFFFF"/>
        </w:rPr>
        <w:t xml:space="preserve">ppropriate litigation services, </w:t>
      </w:r>
      <w:r w:rsidR="007C397D" w:rsidRPr="008B1465">
        <w:rPr>
          <w:rFonts w:ascii="Times New Roman" w:eastAsia="Calibri" w:hAnsi="Times New Roman"/>
          <w:sz w:val="24"/>
          <w:szCs w:val="24"/>
          <w:shd w:val="clear" w:color="auto" w:fill="FFFFFF"/>
        </w:rPr>
        <w:t xml:space="preserve">inadequate investigation of fraud, </w:t>
      </w:r>
      <w:r w:rsidR="00A07FE8" w:rsidRPr="008B1465">
        <w:rPr>
          <w:rFonts w:ascii="Times New Roman" w:eastAsia="Calibri" w:hAnsi="Times New Roman"/>
          <w:sz w:val="24"/>
          <w:szCs w:val="24"/>
          <w:shd w:val="clear" w:color="auto" w:fill="FFFFFF"/>
        </w:rPr>
        <w:t xml:space="preserve">poor accounting and digital environment and infrequent surprise cash count practices with </w:t>
      </w:r>
      <w:r w:rsidR="00781BA4" w:rsidRPr="008B1465">
        <w:rPr>
          <w:rFonts w:ascii="Times New Roman" w:eastAsia="Calibri" w:hAnsi="Times New Roman"/>
          <w:sz w:val="24"/>
          <w:szCs w:val="24"/>
          <w:shd w:val="clear" w:color="auto" w:fill="FFFFFF"/>
        </w:rPr>
        <w:t>poor corporate governance</w:t>
      </w:r>
      <w:r w:rsidR="006D309E" w:rsidRPr="008B1465">
        <w:rPr>
          <w:rFonts w:ascii="Times New Roman" w:eastAsia="Calibri" w:hAnsi="Times New Roman"/>
          <w:sz w:val="24"/>
          <w:szCs w:val="24"/>
          <w:shd w:val="clear" w:color="auto" w:fill="FFFFFF"/>
        </w:rPr>
        <w:t xml:space="preserve"> contribute to financial misconduct. </w:t>
      </w:r>
      <w:r w:rsidR="005E0996" w:rsidRPr="008B1465">
        <w:rPr>
          <w:rFonts w:ascii="Times New Roman" w:eastAsia="Calibri" w:hAnsi="Times New Roman"/>
          <w:sz w:val="24"/>
          <w:szCs w:val="24"/>
          <w:shd w:val="clear" w:color="auto" w:fill="FFFFFF"/>
        </w:rPr>
        <w:t xml:space="preserve">Okoye </w:t>
      </w:r>
      <w:r w:rsidR="005E0996" w:rsidRPr="008B1465">
        <w:rPr>
          <w:rFonts w:ascii="Times New Roman" w:eastAsia="Calibri" w:hAnsi="Times New Roman"/>
          <w:i/>
          <w:iCs/>
          <w:sz w:val="24"/>
          <w:szCs w:val="24"/>
          <w:shd w:val="clear" w:color="auto" w:fill="FFFFFF"/>
        </w:rPr>
        <w:t>et</w:t>
      </w:r>
      <w:r w:rsidR="0058136F" w:rsidRPr="008B1465">
        <w:rPr>
          <w:rFonts w:ascii="Times New Roman" w:eastAsia="Calibri" w:hAnsi="Times New Roman"/>
          <w:i/>
          <w:iCs/>
          <w:sz w:val="24"/>
          <w:szCs w:val="24"/>
          <w:shd w:val="clear" w:color="auto" w:fill="FFFFFF"/>
        </w:rPr>
        <w:t xml:space="preserve"> </w:t>
      </w:r>
      <w:r w:rsidR="005E0996" w:rsidRPr="008B1465">
        <w:rPr>
          <w:rFonts w:ascii="Times New Roman" w:eastAsia="Calibri" w:hAnsi="Times New Roman"/>
          <w:i/>
          <w:iCs/>
          <w:sz w:val="24"/>
          <w:szCs w:val="24"/>
          <w:shd w:val="clear" w:color="auto" w:fill="FFFFFF"/>
        </w:rPr>
        <w:t>al</w:t>
      </w:r>
      <w:r w:rsidR="0058136F" w:rsidRPr="008B1465">
        <w:rPr>
          <w:rFonts w:ascii="Times New Roman" w:eastAsia="Calibri" w:hAnsi="Times New Roman"/>
          <w:i/>
          <w:iCs/>
          <w:sz w:val="24"/>
          <w:szCs w:val="24"/>
          <w:shd w:val="clear" w:color="auto" w:fill="FFFFFF"/>
        </w:rPr>
        <w:t>.</w:t>
      </w:r>
      <w:r w:rsidR="005E0996" w:rsidRPr="008B1465">
        <w:rPr>
          <w:rFonts w:ascii="Times New Roman" w:eastAsia="Calibri" w:hAnsi="Times New Roman"/>
          <w:sz w:val="24"/>
          <w:szCs w:val="24"/>
          <w:shd w:val="clear" w:color="auto" w:fill="FFFFFF"/>
        </w:rPr>
        <w:t xml:space="preserve"> (2013)</w:t>
      </w:r>
      <w:r w:rsidR="00184EE1">
        <w:rPr>
          <w:rFonts w:ascii="Times New Roman" w:eastAsia="Calibri" w:hAnsi="Times New Roman"/>
          <w:sz w:val="24"/>
          <w:szCs w:val="24"/>
          <w:shd w:val="clear" w:color="auto" w:fill="FFFFFF"/>
        </w:rPr>
        <w:t>;</w:t>
      </w:r>
      <w:r w:rsidR="003A5452">
        <w:rPr>
          <w:rFonts w:ascii="Times New Roman" w:eastAsia="Calibri" w:hAnsi="Times New Roman"/>
          <w:sz w:val="24"/>
          <w:szCs w:val="24"/>
          <w:shd w:val="clear" w:color="auto" w:fill="FFFFFF"/>
        </w:rPr>
        <w:t xml:space="preserve"> </w:t>
      </w:r>
      <w:r w:rsidR="00D86DBD" w:rsidRPr="003204B9">
        <w:rPr>
          <w:rFonts w:ascii="Times New Roman" w:hAnsi="Times New Roman"/>
          <w:color w:val="222222"/>
          <w:sz w:val="24"/>
          <w:szCs w:val="24"/>
          <w:shd w:val="clear" w:color="auto" w:fill="FFFFFF"/>
        </w:rPr>
        <w:t>Aghimien, Aigbavboa, Oke &amp; Thwala (2021)</w:t>
      </w:r>
      <w:r w:rsidR="005E0996" w:rsidRPr="008B1465">
        <w:rPr>
          <w:rFonts w:ascii="Times New Roman" w:eastAsia="Calibri" w:hAnsi="Times New Roman"/>
          <w:sz w:val="24"/>
          <w:szCs w:val="24"/>
          <w:shd w:val="clear" w:color="auto" w:fill="FFFFFF"/>
        </w:rPr>
        <w:t xml:space="preserve"> opined that </w:t>
      </w:r>
      <w:r w:rsidR="00A02798" w:rsidRPr="008B1465">
        <w:rPr>
          <w:rFonts w:ascii="Times New Roman" w:eastAsia="Calibri" w:hAnsi="Times New Roman"/>
          <w:sz w:val="24"/>
          <w:szCs w:val="24"/>
          <w:shd w:val="clear" w:color="auto" w:fill="FFFFFF"/>
        </w:rPr>
        <w:t>substandard</w:t>
      </w:r>
      <w:r w:rsidR="00965896" w:rsidRPr="008B1465">
        <w:rPr>
          <w:rFonts w:ascii="Times New Roman" w:eastAsia="Calibri" w:hAnsi="Times New Roman"/>
          <w:sz w:val="24"/>
          <w:szCs w:val="24"/>
          <w:shd w:val="clear" w:color="auto" w:fill="FFFFFF"/>
        </w:rPr>
        <w:t xml:space="preserve"> </w:t>
      </w:r>
      <w:r w:rsidR="00932064" w:rsidRPr="008B1465">
        <w:rPr>
          <w:rFonts w:ascii="Times New Roman" w:eastAsia="Calibri" w:hAnsi="Times New Roman"/>
          <w:sz w:val="24"/>
          <w:szCs w:val="24"/>
          <w:shd w:val="clear" w:color="auto" w:fill="FFFFFF"/>
        </w:rPr>
        <w:t>digital environment, negligence in carrying out surprise cash count</w:t>
      </w:r>
      <w:r w:rsidR="00512149" w:rsidRPr="008B1465">
        <w:rPr>
          <w:rFonts w:ascii="Times New Roman" w:eastAsia="Calibri" w:hAnsi="Times New Roman"/>
          <w:sz w:val="24"/>
          <w:szCs w:val="24"/>
          <w:shd w:val="clear" w:color="auto" w:fill="FFFFFF"/>
        </w:rPr>
        <w:t xml:space="preserve">, with litigation service problem have been the bane of </w:t>
      </w:r>
      <w:r w:rsidR="00A02798" w:rsidRPr="008B1465">
        <w:rPr>
          <w:rFonts w:ascii="Times New Roman" w:eastAsia="Calibri" w:hAnsi="Times New Roman"/>
          <w:sz w:val="24"/>
          <w:szCs w:val="24"/>
          <w:shd w:val="clear" w:color="auto" w:fill="FFFFFF"/>
        </w:rPr>
        <w:t xml:space="preserve">financial accountability in the public sector. </w:t>
      </w:r>
      <w:r w:rsidR="00512149" w:rsidRPr="008B1465">
        <w:rPr>
          <w:rFonts w:ascii="Times New Roman" w:eastAsia="Calibri" w:hAnsi="Times New Roman"/>
          <w:sz w:val="24"/>
          <w:szCs w:val="24"/>
          <w:shd w:val="clear" w:color="auto" w:fill="FFFFFF"/>
        </w:rPr>
        <w:t xml:space="preserve"> </w:t>
      </w:r>
      <w:r w:rsidR="00EB4CF6" w:rsidRPr="003204B9">
        <w:rPr>
          <w:rFonts w:ascii="Times New Roman" w:hAnsi="Times New Roman"/>
          <w:color w:val="222222"/>
          <w:sz w:val="24"/>
          <w:szCs w:val="24"/>
          <w:shd w:val="clear" w:color="auto" w:fill="FFFFFF"/>
        </w:rPr>
        <w:t>Adegbie</w:t>
      </w:r>
      <w:r w:rsidR="00EB4CF6">
        <w:rPr>
          <w:rFonts w:ascii="Times New Roman" w:hAnsi="Times New Roman"/>
          <w:color w:val="222222"/>
          <w:sz w:val="24"/>
          <w:szCs w:val="24"/>
          <w:shd w:val="clear" w:color="auto" w:fill="FFFFFF"/>
        </w:rPr>
        <w:t>.,</w:t>
      </w:r>
      <w:r w:rsidR="00EB4CF6" w:rsidRPr="003204B9">
        <w:rPr>
          <w:rFonts w:ascii="Times New Roman" w:hAnsi="Times New Roman"/>
          <w:color w:val="222222"/>
          <w:sz w:val="24"/>
          <w:szCs w:val="24"/>
          <w:shd w:val="clear" w:color="auto" w:fill="FFFFFF"/>
        </w:rPr>
        <w:t xml:space="preserve"> Owoeye., </w:t>
      </w:r>
      <w:r w:rsidR="00EB4CF6">
        <w:rPr>
          <w:rFonts w:ascii="Times New Roman" w:hAnsi="Times New Roman"/>
          <w:color w:val="222222"/>
          <w:sz w:val="24"/>
          <w:szCs w:val="24"/>
          <w:shd w:val="clear" w:color="auto" w:fill="FFFFFF"/>
        </w:rPr>
        <w:t>and</w:t>
      </w:r>
      <w:r w:rsidR="00EB4CF6" w:rsidRPr="003204B9">
        <w:rPr>
          <w:rFonts w:ascii="Times New Roman" w:hAnsi="Times New Roman"/>
          <w:color w:val="222222"/>
          <w:sz w:val="24"/>
          <w:szCs w:val="24"/>
          <w:shd w:val="clear" w:color="auto" w:fill="FFFFFF"/>
        </w:rPr>
        <w:t xml:space="preserve"> Dada (2019</w:t>
      </w:r>
      <w:r w:rsidR="00EB4CF6">
        <w:rPr>
          <w:rFonts w:ascii="Times New Roman" w:hAnsi="Times New Roman"/>
          <w:color w:val="222222"/>
          <w:sz w:val="24"/>
          <w:szCs w:val="24"/>
          <w:shd w:val="clear" w:color="auto" w:fill="FFFFFF"/>
        </w:rPr>
        <w:t>);</w:t>
      </w:r>
      <w:r w:rsidR="008964D0">
        <w:rPr>
          <w:rFonts w:ascii="Times New Roman" w:hAnsi="Times New Roman"/>
          <w:color w:val="222222"/>
          <w:sz w:val="24"/>
          <w:szCs w:val="24"/>
          <w:shd w:val="clear" w:color="auto" w:fill="FFFFFF"/>
        </w:rPr>
        <w:t xml:space="preserve"> </w:t>
      </w:r>
      <w:r w:rsidR="008964D0" w:rsidRPr="003204B9">
        <w:rPr>
          <w:rFonts w:ascii="Times New Roman" w:hAnsi="Times New Roman"/>
          <w:color w:val="222222"/>
          <w:sz w:val="24"/>
          <w:szCs w:val="24"/>
          <w:shd w:val="clear" w:color="auto" w:fill="FFFFFF"/>
        </w:rPr>
        <w:t>Karuti (2020</w:t>
      </w:r>
      <w:r w:rsidR="00250F24">
        <w:rPr>
          <w:rFonts w:ascii="Times New Roman" w:hAnsi="Times New Roman"/>
          <w:color w:val="222222"/>
          <w:sz w:val="24"/>
          <w:szCs w:val="24"/>
          <w:shd w:val="clear" w:color="auto" w:fill="FFFFFF"/>
        </w:rPr>
        <w:t xml:space="preserve">); </w:t>
      </w:r>
      <w:r w:rsidR="00250F24" w:rsidRPr="003204B9">
        <w:rPr>
          <w:rFonts w:ascii="Times New Roman" w:hAnsi="Times New Roman"/>
          <w:color w:val="222222"/>
          <w:sz w:val="24"/>
          <w:szCs w:val="24"/>
          <w:shd w:val="clear" w:color="auto" w:fill="FFFFFF"/>
        </w:rPr>
        <w:t>Jimoh (2022)</w:t>
      </w:r>
      <w:r w:rsidR="00250F24">
        <w:rPr>
          <w:rFonts w:ascii="Times New Roman" w:hAnsi="Times New Roman"/>
          <w:color w:val="222222"/>
          <w:sz w:val="24"/>
          <w:szCs w:val="24"/>
          <w:shd w:val="clear" w:color="auto" w:fill="FFFFFF"/>
        </w:rPr>
        <w:t>;</w:t>
      </w:r>
      <w:r w:rsidR="00512149" w:rsidRPr="008B1465">
        <w:rPr>
          <w:rFonts w:ascii="Times New Roman" w:eastAsia="Calibri" w:hAnsi="Times New Roman"/>
          <w:sz w:val="24"/>
          <w:szCs w:val="24"/>
          <w:shd w:val="clear" w:color="auto" w:fill="FFFFFF"/>
        </w:rPr>
        <w:t xml:space="preserve"> </w:t>
      </w:r>
      <w:r w:rsidR="001F2C9F" w:rsidRPr="008B1465">
        <w:rPr>
          <w:rFonts w:ascii="Times New Roman" w:eastAsia="Calibri" w:hAnsi="Times New Roman"/>
          <w:sz w:val="24"/>
          <w:szCs w:val="24"/>
          <w:shd w:val="clear" w:color="auto" w:fill="FFFFFF"/>
        </w:rPr>
        <w:t xml:space="preserve">Nwosu and Mshelia </w:t>
      </w:r>
      <w:r w:rsidR="00471D9A" w:rsidRPr="008B1465">
        <w:rPr>
          <w:rFonts w:ascii="Times New Roman" w:eastAsia="Calibri" w:hAnsi="Times New Roman"/>
          <w:sz w:val="24"/>
          <w:szCs w:val="24"/>
          <w:shd w:val="clear" w:color="auto" w:fill="FFFFFF"/>
        </w:rPr>
        <w:t xml:space="preserve">(2015) </w:t>
      </w:r>
      <w:r w:rsidR="005F1063" w:rsidRPr="008B1465">
        <w:rPr>
          <w:rFonts w:ascii="Times New Roman" w:eastAsia="Calibri" w:hAnsi="Times New Roman"/>
          <w:sz w:val="24"/>
          <w:szCs w:val="24"/>
          <w:shd w:val="clear" w:color="auto" w:fill="FFFFFF"/>
        </w:rPr>
        <w:t>ar</w:t>
      </w:r>
      <w:r w:rsidR="00595A8A" w:rsidRPr="008B1465">
        <w:rPr>
          <w:rFonts w:ascii="Times New Roman" w:eastAsia="Calibri" w:hAnsi="Times New Roman"/>
          <w:sz w:val="24"/>
          <w:szCs w:val="24"/>
          <w:shd w:val="clear" w:color="auto" w:fill="FFFFFF"/>
        </w:rPr>
        <w:t xml:space="preserve">gued that </w:t>
      </w:r>
      <w:r w:rsidR="00591CB8" w:rsidRPr="008B1465">
        <w:rPr>
          <w:rFonts w:ascii="Times New Roman" w:eastAsia="Calibri" w:hAnsi="Times New Roman"/>
          <w:sz w:val="24"/>
          <w:szCs w:val="24"/>
          <w:shd w:val="clear" w:color="auto" w:fill="FFFFFF"/>
        </w:rPr>
        <w:t xml:space="preserve">ineffective </w:t>
      </w:r>
      <w:r w:rsidR="00595A8A" w:rsidRPr="008B1465">
        <w:rPr>
          <w:rFonts w:ascii="Times New Roman" w:eastAsia="Calibri" w:hAnsi="Times New Roman"/>
          <w:sz w:val="24"/>
          <w:szCs w:val="24"/>
          <w:shd w:val="clear" w:color="auto" w:fill="FFFFFF"/>
        </w:rPr>
        <w:t xml:space="preserve">value for money </w:t>
      </w:r>
      <w:r w:rsidR="000B5662" w:rsidRPr="008B1465">
        <w:rPr>
          <w:rFonts w:ascii="Times New Roman" w:eastAsia="Calibri" w:hAnsi="Times New Roman"/>
          <w:sz w:val="24"/>
          <w:szCs w:val="24"/>
          <w:shd w:val="clear" w:color="auto" w:fill="FFFFFF"/>
        </w:rPr>
        <w:t>practices</w:t>
      </w:r>
      <w:r w:rsidR="00595A8A" w:rsidRPr="008B1465">
        <w:rPr>
          <w:rFonts w:ascii="Times New Roman" w:eastAsia="Calibri" w:hAnsi="Times New Roman"/>
          <w:sz w:val="24"/>
          <w:szCs w:val="24"/>
          <w:shd w:val="clear" w:color="auto" w:fill="FFFFFF"/>
        </w:rPr>
        <w:t xml:space="preserve">, fund misappropriation, creative accounting practices and </w:t>
      </w:r>
      <w:r w:rsidR="00591CB8" w:rsidRPr="008B1465">
        <w:rPr>
          <w:rFonts w:ascii="Times New Roman" w:eastAsia="Calibri" w:hAnsi="Times New Roman"/>
          <w:sz w:val="24"/>
          <w:szCs w:val="24"/>
          <w:shd w:val="clear" w:color="auto" w:fill="FFFFFF"/>
        </w:rPr>
        <w:t>poor</w:t>
      </w:r>
      <w:r w:rsidR="000B5662" w:rsidRPr="008B1465">
        <w:rPr>
          <w:rFonts w:ascii="Times New Roman" w:eastAsia="Calibri" w:hAnsi="Times New Roman"/>
          <w:sz w:val="24"/>
          <w:szCs w:val="24"/>
          <w:shd w:val="clear" w:color="auto" w:fill="FFFFFF"/>
        </w:rPr>
        <w:t xml:space="preserve"> procurement practices </w:t>
      </w:r>
      <w:r w:rsidR="00D53BA8" w:rsidRPr="008B1465">
        <w:rPr>
          <w:rFonts w:ascii="Times New Roman" w:eastAsia="Calibri" w:hAnsi="Times New Roman"/>
          <w:sz w:val="24"/>
          <w:szCs w:val="24"/>
          <w:shd w:val="clear" w:color="auto" w:fill="FFFFFF"/>
        </w:rPr>
        <w:t>may not be</w:t>
      </w:r>
      <w:r w:rsidR="000B5662" w:rsidRPr="008B1465">
        <w:rPr>
          <w:rFonts w:ascii="Times New Roman" w:eastAsia="Calibri" w:hAnsi="Times New Roman"/>
          <w:sz w:val="24"/>
          <w:szCs w:val="24"/>
          <w:shd w:val="clear" w:color="auto" w:fill="FFFFFF"/>
        </w:rPr>
        <w:t xml:space="preserve"> </w:t>
      </w:r>
      <w:r w:rsidR="006954C1" w:rsidRPr="008B1465">
        <w:rPr>
          <w:rFonts w:ascii="Times New Roman" w:eastAsia="Calibri" w:hAnsi="Times New Roman"/>
          <w:sz w:val="24"/>
          <w:szCs w:val="24"/>
          <w:shd w:val="clear" w:color="auto" w:fill="FFFFFF"/>
        </w:rPr>
        <w:t>tackled</w:t>
      </w:r>
      <w:r w:rsidR="000B5662" w:rsidRPr="008B1465">
        <w:rPr>
          <w:rFonts w:ascii="Times New Roman" w:eastAsia="Calibri" w:hAnsi="Times New Roman"/>
          <w:sz w:val="24"/>
          <w:szCs w:val="24"/>
          <w:shd w:val="clear" w:color="auto" w:fill="FFFFFF"/>
        </w:rPr>
        <w:t xml:space="preserve"> </w:t>
      </w:r>
      <w:r w:rsidR="000A5E64" w:rsidRPr="008B1465">
        <w:rPr>
          <w:rFonts w:ascii="Times New Roman" w:eastAsia="Calibri" w:hAnsi="Times New Roman"/>
          <w:sz w:val="24"/>
          <w:szCs w:val="24"/>
          <w:shd w:val="clear" w:color="auto" w:fill="FFFFFF"/>
        </w:rPr>
        <w:t xml:space="preserve">completely </w:t>
      </w:r>
      <w:r w:rsidR="00E91F11" w:rsidRPr="008B1465">
        <w:rPr>
          <w:rFonts w:ascii="Times New Roman" w:eastAsia="Calibri" w:hAnsi="Times New Roman"/>
          <w:sz w:val="24"/>
          <w:szCs w:val="24"/>
          <w:shd w:val="clear" w:color="auto" w:fill="FFFFFF"/>
        </w:rPr>
        <w:t xml:space="preserve">by </w:t>
      </w:r>
      <w:r w:rsidR="000B5662" w:rsidRPr="008B1465">
        <w:rPr>
          <w:rFonts w:ascii="Times New Roman" w:eastAsia="Calibri" w:hAnsi="Times New Roman"/>
          <w:sz w:val="24"/>
          <w:szCs w:val="24"/>
          <w:shd w:val="clear" w:color="auto" w:fill="FFFFFF"/>
        </w:rPr>
        <w:t>adop</w:t>
      </w:r>
      <w:r w:rsidR="006954C1" w:rsidRPr="008B1465">
        <w:rPr>
          <w:rFonts w:ascii="Times New Roman" w:eastAsia="Calibri" w:hAnsi="Times New Roman"/>
          <w:sz w:val="24"/>
          <w:szCs w:val="24"/>
          <w:shd w:val="clear" w:color="auto" w:fill="FFFFFF"/>
        </w:rPr>
        <w:t>ting forensic accounting techniques</w:t>
      </w:r>
      <w:r w:rsidR="005F7392" w:rsidRPr="008B1465">
        <w:rPr>
          <w:rFonts w:ascii="Times New Roman" w:eastAsia="Calibri" w:hAnsi="Times New Roman"/>
          <w:sz w:val="24"/>
          <w:szCs w:val="24"/>
          <w:shd w:val="clear" w:color="auto" w:fill="FFFFFF"/>
        </w:rPr>
        <w:t>.</w:t>
      </w:r>
      <w:r w:rsidR="00BD5D93" w:rsidRPr="008B1465">
        <w:rPr>
          <w:rFonts w:ascii="Times New Roman" w:eastAsia="Calibri" w:hAnsi="Times New Roman"/>
          <w:bCs/>
          <w:sz w:val="24"/>
          <w:szCs w:val="24"/>
        </w:rPr>
        <w:t xml:space="preserve"> T</w:t>
      </w:r>
      <w:r w:rsidR="003F05E3" w:rsidRPr="008B1465">
        <w:rPr>
          <w:rFonts w:ascii="Times New Roman" w:eastAsia="Calibri" w:hAnsi="Times New Roman"/>
          <w:bCs/>
          <w:sz w:val="24"/>
          <w:szCs w:val="24"/>
        </w:rPr>
        <w:t xml:space="preserve">he </w:t>
      </w:r>
      <w:r w:rsidR="00F64DBE" w:rsidRPr="008B1465">
        <w:rPr>
          <w:rFonts w:ascii="Times New Roman" w:eastAsia="Calibri" w:hAnsi="Times New Roman"/>
          <w:bCs/>
          <w:sz w:val="24"/>
          <w:szCs w:val="24"/>
        </w:rPr>
        <w:t>inconsisten</w:t>
      </w:r>
      <w:r w:rsidR="00194E19" w:rsidRPr="008B1465">
        <w:rPr>
          <w:rFonts w:ascii="Times New Roman" w:eastAsia="Calibri" w:hAnsi="Times New Roman"/>
          <w:bCs/>
          <w:sz w:val="24"/>
          <w:szCs w:val="24"/>
        </w:rPr>
        <w:t>t</w:t>
      </w:r>
      <w:r w:rsidR="002C1AA5" w:rsidRPr="008B1465">
        <w:rPr>
          <w:rFonts w:ascii="Times New Roman" w:eastAsia="Calibri" w:hAnsi="Times New Roman"/>
          <w:bCs/>
          <w:sz w:val="24"/>
          <w:szCs w:val="24"/>
        </w:rPr>
        <w:t xml:space="preserve"> </w:t>
      </w:r>
      <w:r w:rsidR="00194E19" w:rsidRPr="008B1465">
        <w:rPr>
          <w:rFonts w:ascii="Times New Roman" w:eastAsia="Calibri" w:hAnsi="Times New Roman"/>
          <w:bCs/>
          <w:sz w:val="24"/>
          <w:szCs w:val="24"/>
        </w:rPr>
        <w:t xml:space="preserve">and inconclusive findings </w:t>
      </w:r>
      <w:r w:rsidR="002C1AA5" w:rsidRPr="008B1465">
        <w:rPr>
          <w:rFonts w:ascii="Times New Roman" w:eastAsia="Calibri" w:hAnsi="Times New Roman"/>
          <w:bCs/>
          <w:sz w:val="24"/>
          <w:szCs w:val="24"/>
        </w:rPr>
        <w:t xml:space="preserve">in previous studies </w:t>
      </w:r>
      <w:r w:rsidR="00844085" w:rsidRPr="008B1465">
        <w:rPr>
          <w:rFonts w:ascii="Times New Roman" w:eastAsia="Calibri" w:hAnsi="Times New Roman"/>
          <w:bCs/>
          <w:sz w:val="24"/>
          <w:szCs w:val="24"/>
        </w:rPr>
        <w:t xml:space="preserve">as to the potency of </w:t>
      </w:r>
      <w:r w:rsidR="003F05E3" w:rsidRPr="008B1465">
        <w:rPr>
          <w:rFonts w:ascii="Times New Roman" w:eastAsia="Calibri" w:hAnsi="Times New Roman"/>
          <w:bCs/>
          <w:sz w:val="24"/>
          <w:szCs w:val="24"/>
        </w:rPr>
        <w:t xml:space="preserve">forensic accounting techniques </w:t>
      </w:r>
      <w:r w:rsidR="00844085" w:rsidRPr="008B1465">
        <w:rPr>
          <w:rFonts w:ascii="Times New Roman" w:eastAsia="Calibri" w:hAnsi="Times New Roman"/>
          <w:bCs/>
          <w:sz w:val="24"/>
          <w:szCs w:val="24"/>
        </w:rPr>
        <w:t>to moderate</w:t>
      </w:r>
      <w:r w:rsidR="003F05E3" w:rsidRPr="008B1465">
        <w:rPr>
          <w:rFonts w:ascii="Times New Roman" w:eastAsia="Calibri" w:hAnsi="Times New Roman"/>
          <w:bCs/>
          <w:sz w:val="24"/>
          <w:szCs w:val="24"/>
        </w:rPr>
        <w:t xml:space="preserve"> financial misconduct</w:t>
      </w:r>
      <w:r w:rsidR="003404F5" w:rsidRPr="008B1465">
        <w:rPr>
          <w:rFonts w:ascii="Times New Roman" w:eastAsia="Calibri" w:hAnsi="Times New Roman"/>
          <w:bCs/>
          <w:sz w:val="24"/>
          <w:szCs w:val="24"/>
        </w:rPr>
        <w:t xml:space="preserve"> remains unresolved</w:t>
      </w:r>
      <w:r w:rsidR="003F05E3" w:rsidRPr="008B1465">
        <w:rPr>
          <w:rFonts w:ascii="Times New Roman" w:eastAsia="Calibri" w:hAnsi="Times New Roman"/>
          <w:bCs/>
          <w:sz w:val="24"/>
          <w:szCs w:val="24"/>
        </w:rPr>
        <w:t xml:space="preserve">. </w:t>
      </w:r>
      <w:r w:rsidR="00B9417E" w:rsidRPr="008B1465">
        <w:rPr>
          <w:rFonts w:ascii="Times New Roman" w:eastAsia="Calibri" w:hAnsi="Times New Roman"/>
          <w:bCs/>
          <w:sz w:val="24"/>
          <w:szCs w:val="24"/>
        </w:rPr>
        <w:t xml:space="preserve"> </w:t>
      </w:r>
      <w:r w:rsidR="007C365F" w:rsidRPr="008B1465">
        <w:rPr>
          <w:rFonts w:ascii="Times New Roman" w:eastAsia="Calibri" w:hAnsi="Times New Roman"/>
          <w:bCs/>
          <w:sz w:val="24"/>
          <w:szCs w:val="24"/>
        </w:rPr>
        <w:t xml:space="preserve">Therefore, this study </w:t>
      </w:r>
      <w:r w:rsidR="00866EAA" w:rsidRPr="008B1465">
        <w:rPr>
          <w:rFonts w:ascii="Times New Roman" w:eastAsia="Calibri" w:hAnsi="Times New Roman"/>
          <w:bCs/>
          <w:sz w:val="24"/>
          <w:szCs w:val="24"/>
        </w:rPr>
        <w:t>examine</w:t>
      </w:r>
      <w:r w:rsidR="008A342D">
        <w:rPr>
          <w:rFonts w:ascii="Times New Roman" w:eastAsia="Calibri" w:hAnsi="Times New Roman"/>
          <w:bCs/>
          <w:sz w:val="24"/>
          <w:szCs w:val="24"/>
        </w:rPr>
        <w:t>d</w:t>
      </w:r>
      <w:r w:rsidR="007C365F" w:rsidRPr="008B1465">
        <w:rPr>
          <w:rFonts w:ascii="Times New Roman" w:eastAsia="Calibri" w:hAnsi="Times New Roman"/>
          <w:bCs/>
          <w:sz w:val="24"/>
          <w:szCs w:val="24"/>
        </w:rPr>
        <w:t xml:space="preserve"> the</w:t>
      </w:r>
      <w:r w:rsidR="006B57DF" w:rsidRPr="008B1465">
        <w:rPr>
          <w:rFonts w:ascii="Times New Roman" w:eastAsia="Calibri" w:hAnsi="Times New Roman"/>
          <w:sz w:val="24"/>
          <w:szCs w:val="24"/>
        </w:rPr>
        <w:t xml:space="preserve"> </w:t>
      </w:r>
      <w:r w:rsidR="006B57DF">
        <w:rPr>
          <w:rFonts w:ascii="Times New Roman" w:eastAsia="Calibri" w:hAnsi="Times New Roman"/>
          <w:sz w:val="24"/>
          <w:szCs w:val="24"/>
        </w:rPr>
        <w:t>effect of</w:t>
      </w:r>
      <w:r w:rsidR="006B57DF" w:rsidRPr="008B1465">
        <w:rPr>
          <w:rFonts w:ascii="Times New Roman" w:eastAsia="Calibri" w:hAnsi="Times New Roman"/>
          <w:sz w:val="24"/>
          <w:szCs w:val="24"/>
        </w:rPr>
        <w:t xml:space="preserve"> </w:t>
      </w:r>
      <w:r w:rsidR="0008060F" w:rsidRPr="008B1465">
        <w:rPr>
          <w:rFonts w:ascii="Times New Roman" w:eastAsia="Calibri" w:hAnsi="Times New Roman"/>
          <w:bCs/>
          <w:sz w:val="24"/>
          <w:szCs w:val="24"/>
        </w:rPr>
        <w:t>forensic</w:t>
      </w:r>
      <w:r w:rsidR="00662845" w:rsidRPr="008B1465">
        <w:rPr>
          <w:rFonts w:ascii="Times New Roman" w:eastAsia="Calibri" w:hAnsi="Times New Roman"/>
          <w:bCs/>
          <w:sz w:val="24"/>
          <w:szCs w:val="24"/>
        </w:rPr>
        <w:t xml:space="preserve"> </w:t>
      </w:r>
      <w:r w:rsidR="007C365F" w:rsidRPr="008B1465">
        <w:rPr>
          <w:rFonts w:ascii="Times New Roman" w:eastAsia="Calibri" w:hAnsi="Times New Roman"/>
          <w:bCs/>
          <w:sz w:val="24"/>
          <w:szCs w:val="24"/>
        </w:rPr>
        <w:t xml:space="preserve">accounting techniques </w:t>
      </w:r>
      <w:r w:rsidR="006B57DF">
        <w:rPr>
          <w:rFonts w:ascii="Times New Roman" w:eastAsia="Calibri" w:hAnsi="Times New Roman"/>
          <w:bCs/>
          <w:sz w:val="24"/>
          <w:szCs w:val="24"/>
        </w:rPr>
        <w:t>on</w:t>
      </w:r>
      <w:r w:rsidR="007C365F" w:rsidRPr="008B1465">
        <w:rPr>
          <w:rFonts w:ascii="Times New Roman" w:eastAsia="Calibri" w:hAnsi="Times New Roman"/>
          <w:bCs/>
          <w:sz w:val="24"/>
          <w:szCs w:val="24"/>
        </w:rPr>
        <w:t xml:space="preserve"> financial misconduct among Federal Universities in Southwest, Nigeria.</w:t>
      </w:r>
    </w:p>
    <w:p w14:paraId="57F00AF3" w14:textId="5F396C6E" w:rsidR="001616E5" w:rsidRPr="008B1465" w:rsidRDefault="003F05E3" w:rsidP="007541CB">
      <w:pPr>
        <w:pStyle w:val="Heading2"/>
        <w:spacing w:line="360" w:lineRule="auto"/>
        <w:rPr>
          <w:rFonts w:cs="Times New Roman"/>
          <w:sz w:val="24"/>
          <w:szCs w:val="24"/>
        </w:rPr>
      </w:pPr>
      <w:bookmarkStart w:id="23" w:name="_Toc145951071"/>
      <w:r w:rsidRPr="008B1465">
        <w:rPr>
          <w:rFonts w:cs="Times New Roman"/>
          <w:sz w:val="24"/>
          <w:szCs w:val="24"/>
        </w:rPr>
        <w:t>Statement of the Problem</w:t>
      </w:r>
      <w:bookmarkEnd w:id="23"/>
    </w:p>
    <w:p w14:paraId="2EE0EBE3" w14:textId="13D047CC" w:rsidR="001616E5" w:rsidRPr="008B1465" w:rsidRDefault="003F05E3" w:rsidP="007541CB">
      <w:pPr>
        <w:spacing w:after="0" w:line="360" w:lineRule="auto"/>
        <w:jc w:val="both"/>
        <w:rPr>
          <w:rFonts w:ascii="Times New Roman" w:hAnsi="Times New Roman"/>
          <w:sz w:val="24"/>
          <w:szCs w:val="24"/>
        </w:rPr>
      </w:pPr>
      <w:r w:rsidRPr="008B1465">
        <w:rPr>
          <w:rFonts w:ascii="Times New Roman" w:hAnsi="Times New Roman"/>
          <w:sz w:val="24"/>
          <w:szCs w:val="24"/>
        </w:rPr>
        <w:t>Several incidences of financial misconduct</w:t>
      </w:r>
      <w:r w:rsidR="000E7068">
        <w:rPr>
          <w:rFonts w:ascii="Times New Roman" w:hAnsi="Times New Roman"/>
          <w:sz w:val="24"/>
          <w:szCs w:val="24"/>
        </w:rPr>
        <w:t xml:space="preserve"> (</w:t>
      </w:r>
      <w:r w:rsidR="000E7068" w:rsidRPr="008B1465">
        <w:rPr>
          <w:rFonts w:ascii="Times New Roman" w:eastAsia="Calibri" w:hAnsi="Times New Roman"/>
          <w:sz w:val="24"/>
          <w:szCs w:val="24"/>
        </w:rPr>
        <w:t>Enron</w:t>
      </w:r>
      <w:r w:rsidR="00924CED">
        <w:rPr>
          <w:rFonts w:ascii="Times New Roman" w:eastAsia="Calibri" w:hAnsi="Times New Roman"/>
          <w:sz w:val="24"/>
          <w:szCs w:val="24"/>
        </w:rPr>
        <w:t xml:space="preserve">, </w:t>
      </w:r>
      <w:r w:rsidR="000E7068" w:rsidRPr="008B1465">
        <w:rPr>
          <w:rFonts w:ascii="Times New Roman" w:eastAsia="Calibri" w:hAnsi="Times New Roman"/>
          <w:sz w:val="24"/>
          <w:szCs w:val="24"/>
        </w:rPr>
        <w:t>2001; Global Crossing</w:t>
      </w:r>
      <w:r w:rsidR="00924CED">
        <w:rPr>
          <w:rFonts w:ascii="Times New Roman" w:eastAsia="Calibri" w:hAnsi="Times New Roman"/>
          <w:sz w:val="24"/>
          <w:szCs w:val="24"/>
        </w:rPr>
        <w:t xml:space="preserve">, </w:t>
      </w:r>
      <w:r w:rsidR="000E7068" w:rsidRPr="008B1465">
        <w:rPr>
          <w:rFonts w:ascii="Times New Roman" w:eastAsia="Calibri" w:hAnsi="Times New Roman"/>
          <w:sz w:val="24"/>
          <w:szCs w:val="24"/>
        </w:rPr>
        <w:t>2002</w:t>
      </w:r>
      <w:r w:rsidR="000E7068">
        <w:rPr>
          <w:rFonts w:ascii="Times New Roman" w:eastAsia="Calibri" w:hAnsi="Times New Roman"/>
          <w:sz w:val="24"/>
          <w:szCs w:val="24"/>
        </w:rPr>
        <w:t>;</w:t>
      </w:r>
      <w:r w:rsidR="000E7068" w:rsidRPr="008B1465">
        <w:rPr>
          <w:rFonts w:ascii="Times New Roman" w:eastAsia="Calibri" w:hAnsi="Times New Roman"/>
          <w:sz w:val="24"/>
          <w:szCs w:val="24"/>
        </w:rPr>
        <w:t xml:space="preserve"> WorldCom 2002; Xerox 2002</w:t>
      </w:r>
      <w:r w:rsidR="00924CED">
        <w:rPr>
          <w:rFonts w:ascii="Times New Roman" w:eastAsia="Calibri" w:hAnsi="Times New Roman"/>
          <w:sz w:val="24"/>
          <w:szCs w:val="24"/>
        </w:rPr>
        <w:t>; Madoff 2008</w:t>
      </w:r>
      <w:r w:rsidR="00B07438">
        <w:rPr>
          <w:rFonts w:ascii="Times New Roman" w:eastAsia="Calibri" w:hAnsi="Times New Roman"/>
          <w:sz w:val="24"/>
          <w:szCs w:val="24"/>
        </w:rPr>
        <w:t xml:space="preserve"> and Police </w:t>
      </w:r>
      <w:r w:rsidR="00A23136">
        <w:rPr>
          <w:rFonts w:ascii="Times New Roman" w:eastAsia="Calibri" w:hAnsi="Times New Roman"/>
          <w:sz w:val="24"/>
          <w:szCs w:val="24"/>
        </w:rPr>
        <w:t>P</w:t>
      </w:r>
      <w:r w:rsidR="00B07438">
        <w:rPr>
          <w:rFonts w:ascii="Times New Roman" w:eastAsia="Calibri" w:hAnsi="Times New Roman"/>
          <w:sz w:val="24"/>
          <w:szCs w:val="24"/>
        </w:rPr>
        <w:t xml:space="preserve">ension </w:t>
      </w:r>
      <w:r w:rsidR="00A23136">
        <w:rPr>
          <w:rFonts w:ascii="Times New Roman" w:eastAsia="Calibri" w:hAnsi="Times New Roman"/>
          <w:sz w:val="24"/>
          <w:szCs w:val="24"/>
        </w:rPr>
        <w:t>F</w:t>
      </w:r>
      <w:r w:rsidR="00B07438">
        <w:rPr>
          <w:rFonts w:ascii="Times New Roman" w:eastAsia="Calibri" w:hAnsi="Times New Roman"/>
          <w:sz w:val="24"/>
          <w:szCs w:val="24"/>
        </w:rPr>
        <w:t xml:space="preserve">und </w:t>
      </w:r>
      <w:r w:rsidR="00A23136">
        <w:rPr>
          <w:rFonts w:ascii="Times New Roman" w:eastAsia="Calibri" w:hAnsi="Times New Roman"/>
          <w:sz w:val="24"/>
          <w:szCs w:val="24"/>
        </w:rPr>
        <w:t>F</w:t>
      </w:r>
      <w:r w:rsidR="00B07438">
        <w:rPr>
          <w:rFonts w:ascii="Times New Roman" w:eastAsia="Calibri" w:hAnsi="Times New Roman"/>
          <w:sz w:val="24"/>
          <w:szCs w:val="24"/>
        </w:rPr>
        <w:t>raud</w:t>
      </w:r>
      <w:r w:rsidR="000E7068">
        <w:rPr>
          <w:rFonts w:ascii="Times New Roman" w:hAnsi="Times New Roman"/>
          <w:sz w:val="24"/>
          <w:szCs w:val="24"/>
        </w:rPr>
        <w:t>)</w:t>
      </w:r>
      <w:r w:rsidRPr="008B1465">
        <w:rPr>
          <w:rFonts w:ascii="Times New Roman" w:hAnsi="Times New Roman"/>
          <w:sz w:val="24"/>
          <w:szCs w:val="24"/>
        </w:rPr>
        <w:t xml:space="preserve"> have been experienced in private and public sectors of the economy globally</w:t>
      </w:r>
      <w:r w:rsidR="00FF4A8E">
        <w:rPr>
          <w:rFonts w:ascii="Times New Roman" w:hAnsi="Times New Roman"/>
          <w:sz w:val="24"/>
          <w:szCs w:val="24"/>
        </w:rPr>
        <w:t xml:space="preserve"> (</w:t>
      </w:r>
      <w:r w:rsidR="00FF4A8E" w:rsidRPr="00FF4A8E">
        <w:rPr>
          <w:rFonts w:ascii="Times New Roman" w:hAnsi="Times New Roman"/>
          <w:sz w:val="24"/>
          <w:szCs w:val="24"/>
        </w:rPr>
        <w:t xml:space="preserve">Mohamed, Zakaria, Nazip &amp; Muhamad, 2021). </w:t>
      </w:r>
      <w:r w:rsidRPr="008B1465">
        <w:rPr>
          <w:rFonts w:ascii="Times New Roman" w:hAnsi="Times New Roman"/>
          <w:sz w:val="24"/>
          <w:szCs w:val="24"/>
        </w:rPr>
        <w:t>Financial misconduct is committed under the watch of the internal auditors of some organizations</w:t>
      </w:r>
      <w:r w:rsidR="00200053">
        <w:rPr>
          <w:rFonts w:ascii="Times New Roman" w:hAnsi="Times New Roman"/>
          <w:sz w:val="24"/>
          <w:szCs w:val="24"/>
        </w:rPr>
        <w:t xml:space="preserve"> (</w:t>
      </w:r>
      <w:r w:rsidR="00200053" w:rsidRPr="00200053">
        <w:rPr>
          <w:rFonts w:ascii="Times New Roman" w:hAnsi="Times New Roman"/>
          <w:sz w:val="24"/>
          <w:szCs w:val="24"/>
        </w:rPr>
        <w:t>Ege,</w:t>
      </w:r>
      <w:r w:rsidR="00200053">
        <w:rPr>
          <w:rFonts w:ascii="Times New Roman" w:hAnsi="Times New Roman"/>
          <w:sz w:val="24"/>
          <w:szCs w:val="24"/>
        </w:rPr>
        <w:t xml:space="preserve"> </w:t>
      </w:r>
      <w:r w:rsidR="00200053" w:rsidRPr="00200053">
        <w:rPr>
          <w:rFonts w:ascii="Times New Roman" w:hAnsi="Times New Roman"/>
          <w:sz w:val="24"/>
          <w:szCs w:val="24"/>
        </w:rPr>
        <w:t>2015</w:t>
      </w:r>
      <w:r w:rsidR="00F92030">
        <w:rPr>
          <w:rFonts w:ascii="Times New Roman" w:hAnsi="Times New Roman"/>
          <w:sz w:val="24"/>
          <w:szCs w:val="24"/>
        </w:rPr>
        <w:t>;</w:t>
      </w:r>
      <w:r w:rsidR="005338C7">
        <w:rPr>
          <w:rFonts w:ascii="Times New Roman" w:hAnsi="Times New Roman"/>
          <w:sz w:val="24"/>
          <w:szCs w:val="24"/>
        </w:rPr>
        <w:t xml:space="preserve"> </w:t>
      </w:r>
      <w:r w:rsidR="005338C7" w:rsidRPr="003204B9">
        <w:rPr>
          <w:rFonts w:ascii="Times New Roman" w:hAnsi="Times New Roman"/>
          <w:color w:val="222222"/>
          <w:sz w:val="24"/>
          <w:szCs w:val="24"/>
          <w:shd w:val="clear" w:color="auto" w:fill="FFFFFF"/>
        </w:rPr>
        <w:t>Marzuki, Majid., Azis, Rosman &amp; AbdulatifF, 2020</w:t>
      </w:r>
      <w:r w:rsidR="005338C7">
        <w:rPr>
          <w:rFonts w:ascii="Times New Roman" w:hAnsi="Times New Roman"/>
          <w:color w:val="222222"/>
          <w:sz w:val="24"/>
          <w:szCs w:val="24"/>
          <w:shd w:val="clear" w:color="auto" w:fill="FFFFFF"/>
        </w:rPr>
        <w:t>;</w:t>
      </w:r>
      <w:r w:rsidR="00F92030">
        <w:rPr>
          <w:rFonts w:ascii="Times New Roman" w:hAnsi="Times New Roman"/>
          <w:sz w:val="24"/>
          <w:szCs w:val="24"/>
        </w:rPr>
        <w:t xml:space="preserve"> </w:t>
      </w:r>
      <w:r w:rsidR="00F92030" w:rsidRPr="003204B9">
        <w:rPr>
          <w:rFonts w:ascii="Times New Roman" w:hAnsi="Times New Roman"/>
          <w:color w:val="222222"/>
          <w:sz w:val="24"/>
          <w:szCs w:val="24"/>
          <w:shd w:val="clear" w:color="auto" w:fill="FFFFFF"/>
        </w:rPr>
        <w:t>Hill., Mason., &amp; Dunn,</w:t>
      </w:r>
      <w:r w:rsidR="00F92030">
        <w:rPr>
          <w:rFonts w:ascii="Times New Roman" w:hAnsi="Times New Roman"/>
          <w:color w:val="222222"/>
          <w:sz w:val="24"/>
          <w:szCs w:val="24"/>
          <w:shd w:val="clear" w:color="auto" w:fill="FFFFFF"/>
        </w:rPr>
        <w:t xml:space="preserve"> </w:t>
      </w:r>
      <w:r w:rsidR="00F92030" w:rsidRPr="003204B9">
        <w:rPr>
          <w:rFonts w:ascii="Times New Roman" w:hAnsi="Times New Roman"/>
          <w:color w:val="222222"/>
          <w:sz w:val="24"/>
          <w:szCs w:val="24"/>
          <w:shd w:val="clear" w:color="auto" w:fill="FFFFFF"/>
        </w:rPr>
        <w:t>2021</w:t>
      </w:r>
      <w:r w:rsidR="00326CCA">
        <w:rPr>
          <w:rFonts w:ascii="Times New Roman" w:hAnsi="Times New Roman"/>
          <w:color w:val="222222"/>
          <w:sz w:val="24"/>
          <w:szCs w:val="24"/>
          <w:shd w:val="clear" w:color="auto" w:fill="FFFFFF"/>
        </w:rPr>
        <w:t xml:space="preserve">; </w:t>
      </w:r>
      <w:r w:rsidR="00326CCA" w:rsidRPr="003204B9">
        <w:rPr>
          <w:rFonts w:ascii="Times New Roman" w:hAnsi="Times New Roman"/>
          <w:color w:val="222222"/>
          <w:sz w:val="24"/>
          <w:szCs w:val="24"/>
          <w:shd w:val="clear" w:color="auto" w:fill="FFFFFF"/>
        </w:rPr>
        <w:t>Treadwell, 2022</w:t>
      </w:r>
      <w:r w:rsidR="00200053" w:rsidRPr="00200053">
        <w:rPr>
          <w:rFonts w:ascii="Times New Roman" w:hAnsi="Times New Roman"/>
          <w:sz w:val="24"/>
          <w:szCs w:val="24"/>
        </w:rPr>
        <w:t xml:space="preserve">). </w:t>
      </w:r>
      <w:r w:rsidRPr="008B1465">
        <w:rPr>
          <w:rFonts w:ascii="Times New Roman" w:hAnsi="Times New Roman"/>
          <w:sz w:val="24"/>
          <w:szCs w:val="24"/>
        </w:rPr>
        <w:t>It suffices to say that the independence of the internal auditor is not guaranteed because he works as an employee of the organization</w:t>
      </w:r>
      <w:r w:rsidR="008501E9">
        <w:rPr>
          <w:rFonts w:ascii="Times New Roman" w:hAnsi="Times New Roman"/>
          <w:sz w:val="24"/>
          <w:szCs w:val="24"/>
        </w:rPr>
        <w:t xml:space="preserve"> (</w:t>
      </w:r>
      <w:r w:rsidR="008501E9" w:rsidRPr="008501E9">
        <w:rPr>
          <w:rFonts w:ascii="Times New Roman" w:hAnsi="Times New Roman"/>
          <w:sz w:val="24"/>
          <w:szCs w:val="24"/>
        </w:rPr>
        <w:t xml:space="preserve">Arrieta, </w:t>
      </w:r>
      <w:r w:rsidR="00E3668A" w:rsidRPr="00E13348">
        <w:rPr>
          <w:rFonts w:ascii="Times New Roman" w:hAnsi="Times New Roman"/>
          <w:i/>
          <w:iCs/>
          <w:sz w:val="24"/>
          <w:szCs w:val="24"/>
        </w:rPr>
        <w:t>et</w:t>
      </w:r>
      <w:r w:rsidR="00E13348" w:rsidRPr="00E13348">
        <w:rPr>
          <w:rFonts w:ascii="Times New Roman" w:hAnsi="Times New Roman"/>
          <w:i/>
          <w:iCs/>
          <w:sz w:val="24"/>
          <w:szCs w:val="24"/>
        </w:rPr>
        <w:t xml:space="preserve"> </w:t>
      </w:r>
      <w:r w:rsidR="00E3668A" w:rsidRPr="00E13348">
        <w:rPr>
          <w:rFonts w:ascii="Times New Roman" w:hAnsi="Times New Roman"/>
          <w:i/>
          <w:iCs/>
          <w:sz w:val="24"/>
          <w:szCs w:val="24"/>
        </w:rPr>
        <w:t>al</w:t>
      </w:r>
      <w:r w:rsidR="00E13348" w:rsidRPr="00E13348">
        <w:rPr>
          <w:rFonts w:ascii="Times New Roman" w:hAnsi="Times New Roman"/>
          <w:i/>
          <w:iCs/>
          <w:sz w:val="24"/>
          <w:szCs w:val="24"/>
        </w:rPr>
        <w:t>.,</w:t>
      </w:r>
      <w:r w:rsidR="00E13348">
        <w:rPr>
          <w:rFonts w:ascii="Times New Roman" w:hAnsi="Times New Roman"/>
          <w:i/>
          <w:iCs/>
          <w:sz w:val="24"/>
          <w:szCs w:val="24"/>
        </w:rPr>
        <w:t xml:space="preserve"> </w:t>
      </w:r>
      <w:r w:rsidR="008501E9" w:rsidRPr="008501E9">
        <w:rPr>
          <w:rFonts w:ascii="Times New Roman" w:hAnsi="Times New Roman"/>
          <w:sz w:val="24"/>
          <w:szCs w:val="24"/>
        </w:rPr>
        <w:t xml:space="preserve">2020). </w:t>
      </w:r>
      <w:r w:rsidRPr="008B1465">
        <w:rPr>
          <w:rFonts w:ascii="Times New Roman" w:hAnsi="Times New Roman"/>
          <w:sz w:val="24"/>
          <w:szCs w:val="24"/>
        </w:rPr>
        <w:t>On the other hand, external auditors have also failed</w:t>
      </w:r>
      <w:r w:rsidR="00F9285F" w:rsidRPr="008B1465">
        <w:rPr>
          <w:rFonts w:ascii="Times New Roman" w:hAnsi="Times New Roman"/>
          <w:sz w:val="24"/>
          <w:szCs w:val="24"/>
        </w:rPr>
        <w:t xml:space="preserve"> in their mandate to the organiz</w:t>
      </w:r>
      <w:r w:rsidRPr="008B1465">
        <w:rPr>
          <w:rFonts w:ascii="Times New Roman" w:hAnsi="Times New Roman"/>
          <w:sz w:val="24"/>
          <w:szCs w:val="24"/>
        </w:rPr>
        <w:t>ation because they depend on the work of internal auditors. The scenario mentioned above indicates that, financial misconduct has become inevitable where necessary measures are not met to curtail fraudulent activities in an organization (Ijeoma, 2015</w:t>
      </w:r>
      <w:r w:rsidR="0023323B">
        <w:rPr>
          <w:rFonts w:ascii="Times New Roman" w:hAnsi="Times New Roman"/>
          <w:sz w:val="24"/>
          <w:szCs w:val="24"/>
        </w:rPr>
        <w:t xml:space="preserve">; </w:t>
      </w:r>
      <w:r w:rsidR="00830503" w:rsidRPr="003204B9">
        <w:rPr>
          <w:rFonts w:ascii="Times New Roman" w:hAnsi="Times New Roman"/>
          <w:color w:val="222222"/>
          <w:sz w:val="24"/>
          <w:szCs w:val="24"/>
          <w:shd w:val="clear" w:color="auto" w:fill="FFFFFF"/>
        </w:rPr>
        <w:t>Maulidi &amp; Ansell,</w:t>
      </w:r>
      <w:r w:rsidR="00A63582">
        <w:rPr>
          <w:rFonts w:ascii="Times New Roman" w:hAnsi="Times New Roman"/>
          <w:color w:val="222222"/>
          <w:sz w:val="24"/>
          <w:szCs w:val="24"/>
          <w:shd w:val="clear" w:color="auto" w:fill="FFFFFF"/>
        </w:rPr>
        <w:t xml:space="preserve"> </w:t>
      </w:r>
      <w:r w:rsidR="00830503" w:rsidRPr="003204B9">
        <w:rPr>
          <w:rFonts w:ascii="Times New Roman" w:hAnsi="Times New Roman"/>
          <w:color w:val="222222"/>
          <w:sz w:val="24"/>
          <w:szCs w:val="24"/>
          <w:shd w:val="clear" w:color="auto" w:fill="FFFFFF"/>
        </w:rPr>
        <w:t>2022</w:t>
      </w:r>
      <w:r w:rsidR="00830503">
        <w:rPr>
          <w:rFonts w:ascii="Times New Roman" w:hAnsi="Times New Roman"/>
          <w:color w:val="222222"/>
          <w:sz w:val="24"/>
          <w:szCs w:val="24"/>
          <w:shd w:val="clear" w:color="auto" w:fill="FFFFFF"/>
        </w:rPr>
        <w:t xml:space="preserve">; </w:t>
      </w:r>
      <w:r w:rsidR="00830503" w:rsidRPr="003204B9">
        <w:rPr>
          <w:rFonts w:ascii="Times New Roman" w:hAnsi="Times New Roman"/>
          <w:color w:val="222222"/>
          <w:sz w:val="24"/>
          <w:szCs w:val="24"/>
          <w:shd w:val="clear" w:color="auto" w:fill="FFFFFF"/>
        </w:rPr>
        <w:t>Mashilo &amp; Kgobe, 2021</w:t>
      </w:r>
      <w:r w:rsidR="002D56C0">
        <w:rPr>
          <w:rFonts w:ascii="Times New Roman" w:hAnsi="Times New Roman"/>
          <w:color w:val="222222"/>
          <w:sz w:val="24"/>
          <w:szCs w:val="24"/>
          <w:shd w:val="clear" w:color="auto" w:fill="FFFFFF"/>
        </w:rPr>
        <w:t xml:space="preserve">; </w:t>
      </w:r>
      <w:r w:rsidR="002D56C0" w:rsidRPr="003204B9">
        <w:rPr>
          <w:rFonts w:ascii="Times New Roman" w:hAnsi="Times New Roman"/>
          <w:color w:val="222222"/>
          <w:sz w:val="24"/>
          <w:szCs w:val="24"/>
          <w:shd w:val="clear" w:color="auto" w:fill="FFFFFF"/>
        </w:rPr>
        <w:t>Lassou, Hopper &amp; Soobaroyen, 2021</w:t>
      </w:r>
      <w:r w:rsidR="002D56C0">
        <w:rPr>
          <w:rFonts w:ascii="Times New Roman" w:hAnsi="Times New Roman"/>
          <w:color w:val="222222"/>
          <w:sz w:val="24"/>
          <w:szCs w:val="24"/>
          <w:shd w:val="clear" w:color="auto" w:fill="FFFFFF"/>
        </w:rPr>
        <w:t xml:space="preserve">; </w:t>
      </w:r>
      <w:r w:rsidR="002D56C0" w:rsidRPr="003204B9">
        <w:rPr>
          <w:rFonts w:ascii="Times New Roman" w:hAnsi="Times New Roman"/>
          <w:color w:val="222222"/>
          <w:sz w:val="24"/>
          <w:szCs w:val="24"/>
          <w:shd w:val="clear" w:color="auto" w:fill="FFFFFF"/>
        </w:rPr>
        <w:t>Rashid, Khan, Riaz &amp; Burton, 2023).</w:t>
      </w:r>
    </w:p>
    <w:p w14:paraId="1FDD3A03" w14:textId="61D5D10E" w:rsidR="005635B6" w:rsidRPr="008B1465" w:rsidRDefault="003F05E3" w:rsidP="007541CB">
      <w:pPr>
        <w:spacing w:after="0" w:line="360" w:lineRule="auto"/>
        <w:jc w:val="both"/>
        <w:rPr>
          <w:rFonts w:ascii="Times New Roman" w:hAnsi="Times New Roman"/>
          <w:sz w:val="24"/>
          <w:szCs w:val="24"/>
        </w:rPr>
      </w:pPr>
      <w:r w:rsidRPr="008B1465">
        <w:rPr>
          <w:rFonts w:ascii="Times New Roman" w:hAnsi="Times New Roman"/>
          <w:sz w:val="24"/>
          <w:szCs w:val="24"/>
          <w:shd w:val="clear" w:color="auto" w:fill="FFFFFF"/>
        </w:rPr>
        <w:t xml:space="preserve">Oderinde (2020) </w:t>
      </w:r>
      <w:r w:rsidRPr="008B1465">
        <w:rPr>
          <w:rFonts w:ascii="Times New Roman" w:hAnsi="Times New Roman"/>
          <w:sz w:val="24"/>
          <w:szCs w:val="24"/>
        </w:rPr>
        <w:t>assert</w:t>
      </w:r>
      <w:r w:rsidR="00EA37EB" w:rsidRPr="008B1465">
        <w:rPr>
          <w:rFonts w:ascii="Times New Roman" w:hAnsi="Times New Roman"/>
          <w:sz w:val="24"/>
          <w:szCs w:val="24"/>
        </w:rPr>
        <w:t>ed</w:t>
      </w:r>
      <w:r w:rsidRPr="008B1465">
        <w:rPr>
          <w:rFonts w:ascii="Times New Roman" w:hAnsi="Times New Roman"/>
          <w:sz w:val="24"/>
          <w:szCs w:val="24"/>
        </w:rPr>
        <w:t xml:space="preserve"> that financial misconduct in Nigeria is currently a great challenge to leaders and citizens, undermining the effectiveness of government financial management. </w:t>
      </w:r>
      <w:r w:rsidR="00A428C3" w:rsidRPr="008B1465">
        <w:rPr>
          <w:rFonts w:ascii="Times New Roman" w:hAnsi="Times New Roman"/>
          <w:sz w:val="24"/>
          <w:szCs w:val="24"/>
        </w:rPr>
        <w:t xml:space="preserve">Aliu (2019) posited that the Nigerian government has lost about US$380 billion on corruption, since the country obtained </w:t>
      </w:r>
      <w:r w:rsidR="009E0662">
        <w:rPr>
          <w:rFonts w:ascii="Times New Roman" w:hAnsi="Times New Roman"/>
          <w:sz w:val="24"/>
          <w:szCs w:val="24"/>
        </w:rPr>
        <w:t>her</w:t>
      </w:r>
      <w:r w:rsidR="00A428C3" w:rsidRPr="008B1465">
        <w:rPr>
          <w:rFonts w:ascii="Times New Roman" w:hAnsi="Times New Roman"/>
          <w:sz w:val="24"/>
          <w:szCs w:val="24"/>
        </w:rPr>
        <w:t xml:space="preserve"> independence on the 1st day of October 1960. The prevalence of financial crimes and other forms of dishonesty in the Nigerian economy is increasing at an alarming rate</w:t>
      </w:r>
      <w:r w:rsidR="00074E25">
        <w:rPr>
          <w:rFonts w:ascii="Times New Roman" w:hAnsi="Times New Roman"/>
          <w:sz w:val="24"/>
          <w:szCs w:val="24"/>
        </w:rPr>
        <w:t xml:space="preserve"> </w:t>
      </w:r>
      <w:r w:rsidR="00E33420">
        <w:rPr>
          <w:rFonts w:ascii="Times New Roman" w:hAnsi="Times New Roman"/>
          <w:sz w:val="24"/>
          <w:szCs w:val="24"/>
        </w:rPr>
        <w:t>(</w:t>
      </w:r>
      <w:r w:rsidR="009D77B5" w:rsidRPr="003204B9">
        <w:rPr>
          <w:rFonts w:ascii="Times New Roman" w:hAnsi="Times New Roman"/>
          <w:color w:val="222222"/>
          <w:sz w:val="24"/>
          <w:szCs w:val="24"/>
          <w:shd w:val="clear" w:color="auto" w:fill="FFFFFF"/>
        </w:rPr>
        <w:t>Umanhonlen, Otakefe &amp; Osikhenaogiedu, 2020</w:t>
      </w:r>
      <w:r w:rsidR="009D77B5">
        <w:rPr>
          <w:rFonts w:ascii="Times New Roman" w:hAnsi="Times New Roman"/>
          <w:color w:val="222222"/>
          <w:sz w:val="24"/>
          <w:szCs w:val="24"/>
          <w:shd w:val="clear" w:color="auto" w:fill="FFFFFF"/>
        </w:rPr>
        <w:t xml:space="preserve">; </w:t>
      </w:r>
      <w:r w:rsidR="00DC6BFA" w:rsidRPr="003204B9">
        <w:rPr>
          <w:rFonts w:ascii="Times New Roman" w:hAnsi="Times New Roman"/>
          <w:color w:val="222222"/>
          <w:sz w:val="24"/>
          <w:szCs w:val="24"/>
          <w:shd w:val="clear" w:color="auto" w:fill="FFFFFF"/>
        </w:rPr>
        <w:t>Abu &amp; Okpe,</w:t>
      </w:r>
      <w:r w:rsidR="00DC6BFA">
        <w:rPr>
          <w:rFonts w:ascii="Times New Roman" w:hAnsi="Times New Roman"/>
          <w:color w:val="222222"/>
          <w:sz w:val="24"/>
          <w:szCs w:val="24"/>
          <w:shd w:val="clear" w:color="auto" w:fill="FFFFFF"/>
        </w:rPr>
        <w:t xml:space="preserve"> </w:t>
      </w:r>
      <w:r w:rsidR="00DC6BFA" w:rsidRPr="003204B9">
        <w:rPr>
          <w:rFonts w:ascii="Times New Roman" w:hAnsi="Times New Roman"/>
          <w:color w:val="222222"/>
          <w:sz w:val="24"/>
          <w:szCs w:val="24"/>
          <w:shd w:val="clear" w:color="auto" w:fill="FFFFFF"/>
        </w:rPr>
        <w:t>2021</w:t>
      </w:r>
      <w:r w:rsidR="00DC6BFA">
        <w:rPr>
          <w:rFonts w:ascii="Times New Roman" w:hAnsi="Times New Roman"/>
          <w:color w:val="222222"/>
          <w:sz w:val="24"/>
          <w:szCs w:val="24"/>
          <w:shd w:val="clear" w:color="auto" w:fill="FFFFFF"/>
        </w:rPr>
        <w:t xml:space="preserve">; </w:t>
      </w:r>
      <w:r w:rsidR="00074E25" w:rsidRPr="003204B9">
        <w:rPr>
          <w:rFonts w:ascii="Times New Roman" w:hAnsi="Times New Roman"/>
          <w:color w:val="222222"/>
          <w:sz w:val="24"/>
          <w:szCs w:val="24"/>
          <w:shd w:val="clear" w:color="auto" w:fill="FFFFFF"/>
        </w:rPr>
        <w:t>Ahmed, Abubakar, Garba, &amp; Hamzah, 2023</w:t>
      </w:r>
      <w:r w:rsidR="00E33420">
        <w:rPr>
          <w:rFonts w:ascii="Times New Roman" w:hAnsi="Times New Roman"/>
          <w:sz w:val="24"/>
          <w:szCs w:val="24"/>
        </w:rPr>
        <w:t>)</w:t>
      </w:r>
      <w:r w:rsidR="00A428C3" w:rsidRPr="008B1465">
        <w:rPr>
          <w:rFonts w:ascii="Times New Roman" w:hAnsi="Times New Roman"/>
          <w:sz w:val="24"/>
          <w:szCs w:val="24"/>
        </w:rPr>
        <w:t>. The Nigerian economy is deeply soaked in and characterized by fraudulent activities. Fraud has been the bane of business failure since the country began until the present day (Musila, 2020).</w:t>
      </w:r>
      <w:r w:rsidR="00083A73" w:rsidRPr="008B1465">
        <w:rPr>
          <w:rFonts w:ascii="Times New Roman" w:hAnsi="Times New Roman"/>
          <w:sz w:val="24"/>
          <w:szCs w:val="24"/>
        </w:rPr>
        <w:t xml:space="preserve"> </w:t>
      </w:r>
      <w:r w:rsidRPr="008B1465">
        <w:rPr>
          <w:rFonts w:ascii="Times New Roman" w:hAnsi="Times New Roman"/>
          <w:sz w:val="24"/>
          <w:szCs w:val="24"/>
        </w:rPr>
        <w:t xml:space="preserve">However, achieving the desired result has become a problem among public universities owing to the spirit of non-accountability and zero transparency. </w:t>
      </w:r>
      <w:sdt>
        <w:sdtPr>
          <w:rPr>
            <w:rFonts w:ascii="Times New Roman" w:hAnsi="Times New Roman"/>
            <w:sz w:val="24"/>
            <w:szCs w:val="24"/>
          </w:rPr>
          <w:tag w:val="MENDELEY_CITATION_v3_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"/>
          <w:id w:val="-426811954"/>
        </w:sdtPr>
        <w:sdtEndPr>
          <w:rPr>
            <w:bCs/>
          </w:rPr>
        </w:sdtEndPr>
        <w:sdtContent>
          <w:r w:rsidR="00BB15B3" w:rsidRPr="008B1465">
            <w:rPr>
              <w:rFonts w:ascii="Times New Roman" w:hAnsi="Times New Roman"/>
              <w:sz w:val="24"/>
              <w:szCs w:val="24"/>
            </w:rPr>
            <w:t xml:space="preserve">Alhusban </w:t>
          </w:r>
          <w:r w:rsidR="00576E27" w:rsidRPr="008B1465">
            <w:rPr>
              <w:rFonts w:ascii="Times New Roman" w:hAnsi="Times New Roman"/>
              <w:i/>
              <w:iCs/>
              <w:sz w:val="24"/>
              <w:szCs w:val="24"/>
            </w:rPr>
            <w:t>et al</w:t>
          </w:r>
          <w:r w:rsidR="00BB15B3" w:rsidRPr="008B1465">
            <w:rPr>
              <w:rFonts w:ascii="Times New Roman" w:hAnsi="Times New Roman"/>
              <w:sz w:val="24"/>
              <w:szCs w:val="24"/>
            </w:rPr>
            <w:t xml:space="preserve">., (2020) </w:t>
          </w:r>
        </w:sdtContent>
      </w:sdt>
      <w:r w:rsidRPr="008B1465">
        <w:rPr>
          <w:rFonts w:ascii="Times New Roman" w:hAnsi="Times New Roman"/>
          <w:bCs/>
          <w:sz w:val="24"/>
          <w:szCs w:val="24"/>
        </w:rPr>
        <w:t>posited that transparency and accountability are very important to the financial health of</w:t>
      </w:r>
      <w:r w:rsidR="005E37F1">
        <w:rPr>
          <w:rFonts w:ascii="Times New Roman" w:hAnsi="Times New Roman"/>
          <w:bCs/>
          <w:sz w:val="24"/>
          <w:szCs w:val="24"/>
        </w:rPr>
        <w:t xml:space="preserve"> a</w:t>
      </w:r>
      <w:r w:rsidR="009E0662">
        <w:rPr>
          <w:rFonts w:ascii="Times New Roman" w:hAnsi="Times New Roman"/>
          <w:bCs/>
          <w:sz w:val="24"/>
          <w:szCs w:val="24"/>
        </w:rPr>
        <w:t xml:space="preserve"> </w:t>
      </w:r>
      <w:r w:rsidRPr="008B1465">
        <w:rPr>
          <w:rFonts w:ascii="Times New Roman" w:hAnsi="Times New Roman"/>
          <w:bCs/>
          <w:sz w:val="24"/>
          <w:szCs w:val="24"/>
        </w:rPr>
        <w:t>business, which means access to concise information on choices and outcomes in the public sector</w:t>
      </w:r>
      <w:r w:rsidRPr="008B1465">
        <w:rPr>
          <w:rFonts w:ascii="Times New Roman" w:hAnsi="Times New Roman"/>
          <w:bCs/>
          <w:i/>
          <w:iCs/>
          <w:sz w:val="24"/>
          <w:szCs w:val="24"/>
        </w:rPr>
        <w:t xml:space="preserve"> </w:t>
      </w:r>
      <w:r w:rsidRPr="008B1465">
        <w:rPr>
          <w:rFonts w:ascii="Times New Roman" w:hAnsi="Times New Roman"/>
          <w:bCs/>
          <w:sz w:val="24"/>
          <w:szCs w:val="24"/>
        </w:rPr>
        <w:t>is not denied.</w:t>
      </w:r>
      <w:r w:rsidRPr="008B1465">
        <w:rPr>
          <w:rFonts w:ascii="Times New Roman" w:hAnsi="Times New Roman"/>
          <w:sz w:val="24"/>
          <w:szCs w:val="24"/>
        </w:rPr>
        <w:t xml:space="preserve"> </w:t>
      </w:r>
      <w:r w:rsidRPr="008B1465">
        <w:rPr>
          <w:rFonts w:ascii="Times New Roman" w:hAnsi="Times New Roman"/>
          <w:sz w:val="24"/>
          <w:szCs w:val="24"/>
          <w:shd w:val="clear" w:color="auto" w:fill="FFFFFF"/>
        </w:rPr>
        <w:t xml:space="preserve">Abdulrahman, Ab Yajid, Khatibi and Azam (2020) </w:t>
      </w:r>
      <w:r w:rsidRPr="008B1465">
        <w:rPr>
          <w:rFonts w:ascii="Times New Roman" w:hAnsi="Times New Roman"/>
          <w:sz w:val="24"/>
          <w:szCs w:val="24"/>
        </w:rPr>
        <w:t xml:space="preserve">submitted that one of the reasons for denial of access to information is when fraud had occurred and resources had not been efficiently used by those entrusted with public funds among the </w:t>
      </w:r>
      <w:r w:rsidR="002E1777" w:rsidRPr="008B1465">
        <w:rPr>
          <w:rFonts w:ascii="Times New Roman" w:hAnsi="Times New Roman"/>
          <w:sz w:val="24"/>
          <w:szCs w:val="24"/>
        </w:rPr>
        <w:t>f</w:t>
      </w:r>
      <w:r w:rsidRPr="008B1465">
        <w:rPr>
          <w:rFonts w:ascii="Times New Roman" w:hAnsi="Times New Roman"/>
          <w:sz w:val="24"/>
          <w:szCs w:val="24"/>
        </w:rPr>
        <w:t xml:space="preserve">ederal </w:t>
      </w:r>
      <w:r w:rsidR="002E1777" w:rsidRPr="008B1465">
        <w:rPr>
          <w:rFonts w:ascii="Times New Roman" w:hAnsi="Times New Roman"/>
          <w:sz w:val="24"/>
          <w:szCs w:val="24"/>
        </w:rPr>
        <w:t>u</w:t>
      </w:r>
      <w:r w:rsidRPr="008B1465">
        <w:rPr>
          <w:rFonts w:ascii="Times New Roman" w:hAnsi="Times New Roman"/>
          <w:sz w:val="24"/>
          <w:szCs w:val="24"/>
        </w:rPr>
        <w:t>niversities.</w:t>
      </w:r>
      <w:r w:rsidR="005635B6" w:rsidRPr="008B1465">
        <w:rPr>
          <w:rFonts w:ascii="Times New Roman" w:hAnsi="Times New Roman"/>
          <w:sz w:val="24"/>
          <w:szCs w:val="24"/>
        </w:rPr>
        <w:t> </w:t>
      </w:r>
    </w:p>
    <w:p w14:paraId="050749CE" w14:textId="654EFF5D" w:rsidR="001616E5" w:rsidRPr="008B1465" w:rsidRDefault="003F05E3" w:rsidP="007541CB">
      <w:pPr>
        <w:spacing w:after="0" w:line="360" w:lineRule="auto"/>
        <w:jc w:val="both"/>
        <w:rPr>
          <w:rFonts w:ascii="Times New Roman" w:hAnsi="Times New Roman"/>
          <w:sz w:val="24"/>
          <w:szCs w:val="24"/>
        </w:rPr>
      </w:pPr>
      <w:r w:rsidRPr="008B1465">
        <w:rPr>
          <w:rFonts w:ascii="Times New Roman" w:hAnsi="Times New Roman"/>
          <w:sz w:val="24"/>
          <w:szCs w:val="24"/>
          <w:shd w:val="clear" w:color="auto" w:fill="FFFFFF"/>
        </w:rPr>
        <w:t xml:space="preserve">Abdulrahman (2019) </w:t>
      </w:r>
      <w:r w:rsidRPr="008B1465">
        <w:rPr>
          <w:rFonts w:ascii="Times New Roman" w:hAnsi="Times New Roman"/>
          <w:sz w:val="24"/>
          <w:szCs w:val="24"/>
        </w:rPr>
        <w:t>observe</w:t>
      </w:r>
      <w:r w:rsidR="0014060D" w:rsidRPr="008B1465">
        <w:rPr>
          <w:rFonts w:ascii="Times New Roman" w:hAnsi="Times New Roman"/>
          <w:sz w:val="24"/>
          <w:szCs w:val="24"/>
        </w:rPr>
        <w:t>d</w:t>
      </w:r>
      <w:r w:rsidRPr="008B1465">
        <w:rPr>
          <w:rFonts w:ascii="Times New Roman" w:hAnsi="Times New Roman"/>
          <w:sz w:val="24"/>
          <w:szCs w:val="24"/>
        </w:rPr>
        <w:t xml:space="preserve"> that the incidence of fraud in Nigeria is escalating in the public sector and then argued that these activities are mostly perpetrated through the procurement p</w:t>
      </w:r>
      <w:r w:rsidR="00CA663C">
        <w:rPr>
          <w:rFonts w:ascii="Times New Roman" w:hAnsi="Times New Roman"/>
          <w:sz w:val="24"/>
          <w:szCs w:val="24"/>
        </w:rPr>
        <w:t>ractices</w:t>
      </w:r>
      <w:r w:rsidRPr="008B1465">
        <w:rPr>
          <w:rFonts w:ascii="Times New Roman" w:hAnsi="Times New Roman"/>
          <w:sz w:val="24"/>
          <w:szCs w:val="24"/>
        </w:rPr>
        <w:t xml:space="preserve">. This suggests that the principle of value for money with regard to the economy which ensures the least purchase price for goods and services of good quality is in jeopardy. </w:t>
      </w:r>
      <w:r w:rsidRPr="008B1465">
        <w:rPr>
          <w:rFonts w:ascii="Times New Roman" w:hAnsi="Times New Roman"/>
          <w:sz w:val="24"/>
          <w:szCs w:val="24"/>
          <w:shd w:val="clear" w:color="auto" w:fill="FFFFFF"/>
        </w:rPr>
        <w:t xml:space="preserve">Dada and Jimoh (2020) </w:t>
      </w:r>
      <w:r w:rsidR="00760535" w:rsidRPr="008B1465">
        <w:rPr>
          <w:rFonts w:ascii="Times New Roman" w:hAnsi="Times New Roman"/>
          <w:sz w:val="24"/>
          <w:szCs w:val="24"/>
        </w:rPr>
        <w:t>submitted</w:t>
      </w:r>
      <w:r w:rsidRPr="008B1465">
        <w:rPr>
          <w:rFonts w:ascii="Times New Roman" w:hAnsi="Times New Roman"/>
          <w:sz w:val="24"/>
          <w:szCs w:val="24"/>
        </w:rPr>
        <w:t xml:space="preserve"> that, the accelerated rate of financial misconduct through procurement practices is becoming the strength of </w:t>
      </w:r>
      <w:r w:rsidR="00760535" w:rsidRPr="008B1465">
        <w:rPr>
          <w:rFonts w:ascii="Times New Roman" w:hAnsi="Times New Roman"/>
          <w:sz w:val="24"/>
          <w:szCs w:val="24"/>
        </w:rPr>
        <w:t>F</w:t>
      </w:r>
      <w:r w:rsidRPr="008B1465">
        <w:rPr>
          <w:rFonts w:ascii="Times New Roman" w:hAnsi="Times New Roman"/>
          <w:sz w:val="24"/>
          <w:szCs w:val="24"/>
        </w:rPr>
        <w:t xml:space="preserve">ederal </w:t>
      </w:r>
      <w:r w:rsidR="00760535" w:rsidRPr="008B1465">
        <w:rPr>
          <w:rFonts w:ascii="Times New Roman" w:hAnsi="Times New Roman"/>
          <w:sz w:val="24"/>
          <w:szCs w:val="24"/>
        </w:rPr>
        <w:t>U</w:t>
      </w:r>
      <w:r w:rsidRPr="008B1465">
        <w:rPr>
          <w:rFonts w:ascii="Times New Roman" w:hAnsi="Times New Roman"/>
          <w:sz w:val="24"/>
          <w:szCs w:val="24"/>
        </w:rPr>
        <w:t xml:space="preserve">niversities in Nigeria as individual commits fraudulent activities according to the capacity of their offices. It is however expected that, practical application of forensic accounting techniques (surprise cash count practices, information technology and investigative skills) as highlighted in this study will help ensure economy of public fund focusing on procurement process in the </w:t>
      </w:r>
      <w:r w:rsidR="00A90B56" w:rsidRPr="008B1465">
        <w:rPr>
          <w:rFonts w:ascii="Times New Roman" w:hAnsi="Times New Roman"/>
          <w:sz w:val="24"/>
          <w:szCs w:val="24"/>
        </w:rPr>
        <w:t>F</w:t>
      </w:r>
      <w:r w:rsidRPr="008B1465">
        <w:rPr>
          <w:rFonts w:ascii="Times New Roman" w:hAnsi="Times New Roman"/>
          <w:sz w:val="24"/>
          <w:szCs w:val="24"/>
        </w:rPr>
        <w:t xml:space="preserve">ederal </w:t>
      </w:r>
      <w:r w:rsidR="00A90B56" w:rsidRPr="008B1465">
        <w:rPr>
          <w:rFonts w:ascii="Times New Roman" w:hAnsi="Times New Roman"/>
          <w:sz w:val="24"/>
          <w:szCs w:val="24"/>
        </w:rPr>
        <w:t>U</w:t>
      </w:r>
      <w:r w:rsidRPr="008B1465">
        <w:rPr>
          <w:rFonts w:ascii="Times New Roman" w:hAnsi="Times New Roman"/>
          <w:sz w:val="24"/>
          <w:szCs w:val="24"/>
        </w:rPr>
        <w:t>niversities.</w:t>
      </w:r>
    </w:p>
    <w:p w14:paraId="03A7069B" w14:textId="50E2FDB7" w:rsidR="001616E5" w:rsidRPr="008B1465" w:rsidRDefault="00F10809" w:rsidP="007541CB">
      <w:pPr>
        <w:spacing w:after="0" w:line="360" w:lineRule="auto"/>
        <w:jc w:val="both"/>
        <w:rPr>
          <w:rFonts w:ascii="Times New Roman" w:hAnsi="Times New Roman"/>
          <w:sz w:val="24"/>
          <w:szCs w:val="24"/>
        </w:rPr>
      </w:pPr>
      <w:r w:rsidRPr="008B1465">
        <w:rPr>
          <w:rFonts w:ascii="Times New Roman" w:hAnsi="Times New Roman"/>
          <w:sz w:val="24"/>
          <w:szCs w:val="24"/>
          <w:shd w:val="clear" w:color="auto" w:fill="FFFFFF"/>
        </w:rPr>
        <w:t xml:space="preserve">Dagba, Opoku, Amankwa and Nyadera (2022) </w:t>
      </w:r>
      <w:r w:rsidR="005E37F1">
        <w:rPr>
          <w:rFonts w:ascii="Times New Roman" w:hAnsi="Times New Roman"/>
          <w:sz w:val="24"/>
          <w:szCs w:val="24"/>
          <w:shd w:val="clear" w:color="auto" w:fill="FFFFFF"/>
        </w:rPr>
        <w:t>asserted</w:t>
      </w:r>
      <w:r w:rsidRPr="008B1465">
        <w:rPr>
          <w:rFonts w:ascii="Times New Roman" w:hAnsi="Times New Roman"/>
          <w:sz w:val="24"/>
          <w:szCs w:val="24"/>
          <w:shd w:val="clear" w:color="auto" w:fill="FFFFFF"/>
        </w:rPr>
        <w:t xml:space="preserve"> that public officers must be transparent and accountable for their actions toward the public asset and must submit themselves to whatever scrutiny or questioning </w:t>
      </w:r>
      <w:r w:rsidR="00F01543">
        <w:rPr>
          <w:rFonts w:ascii="Times New Roman" w:hAnsi="Times New Roman"/>
          <w:sz w:val="24"/>
          <w:szCs w:val="24"/>
          <w:shd w:val="clear" w:color="auto" w:fill="FFFFFF"/>
        </w:rPr>
        <w:t xml:space="preserve">that </w:t>
      </w:r>
      <w:r w:rsidRPr="008B1465">
        <w:rPr>
          <w:rFonts w:ascii="Times New Roman" w:hAnsi="Times New Roman"/>
          <w:sz w:val="24"/>
          <w:szCs w:val="24"/>
          <w:shd w:val="clear" w:color="auto" w:fill="FFFFFF"/>
        </w:rPr>
        <w:t xml:space="preserve">is suitable to their offices as far as the use of resources in their possession is concerned and the attainment of the desired results. Another issue that federal </w:t>
      </w:r>
      <w:r w:rsidR="0019495D" w:rsidRPr="008B1465">
        <w:rPr>
          <w:rFonts w:ascii="Times New Roman" w:hAnsi="Times New Roman"/>
          <w:sz w:val="24"/>
          <w:szCs w:val="24"/>
          <w:shd w:val="clear" w:color="auto" w:fill="FFFFFF"/>
        </w:rPr>
        <w:t>university</w:t>
      </w:r>
      <w:r w:rsidRPr="008B1465">
        <w:rPr>
          <w:rFonts w:ascii="Times New Roman" w:hAnsi="Times New Roman"/>
          <w:sz w:val="24"/>
          <w:szCs w:val="24"/>
          <w:shd w:val="clear" w:color="auto" w:fill="FFFFFF"/>
        </w:rPr>
        <w:t xml:space="preserve"> are currently dealing with is creative accounting. It is expected that forensic accounting skills will be used to reduce fraud at federal universities across the country. </w:t>
      </w:r>
      <w:r w:rsidR="003F05E3" w:rsidRPr="008B1465">
        <w:rPr>
          <w:rFonts w:ascii="Times New Roman" w:hAnsi="Times New Roman"/>
          <w:sz w:val="24"/>
          <w:szCs w:val="24"/>
          <w:shd w:val="clear" w:color="auto" w:fill="FFFFFF"/>
        </w:rPr>
        <w:t>Mbasiti, Gyang and Fransis (2021)</w:t>
      </w:r>
      <w:r w:rsidR="003F05E3" w:rsidRPr="008B1465">
        <w:rPr>
          <w:rFonts w:ascii="Times New Roman" w:hAnsi="Times New Roman"/>
          <w:sz w:val="24"/>
          <w:szCs w:val="24"/>
        </w:rPr>
        <w:t xml:space="preserve"> submitted that accounting, auditing and investigative skills give firms indispensable tools to deter fraud. </w:t>
      </w:r>
      <w:r w:rsidR="003F05E3" w:rsidRPr="008B1465">
        <w:rPr>
          <w:rFonts w:ascii="Times New Roman" w:hAnsi="Times New Roman"/>
          <w:sz w:val="24"/>
          <w:szCs w:val="24"/>
          <w:shd w:val="clear" w:color="auto" w:fill="FFFFFF"/>
        </w:rPr>
        <w:t xml:space="preserve">Gbegi and Adebisi (2014) </w:t>
      </w:r>
      <w:r w:rsidR="003F05E3" w:rsidRPr="008B1465">
        <w:rPr>
          <w:rFonts w:ascii="Times New Roman" w:hAnsi="Times New Roman"/>
          <w:sz w:val="24"/>
          <w:szCs w:val="24"/>
        </w:rPr>
        <w:t xml:space="preserve">revealed that forensic accounting skills and practice achieve efficiency if properly enforced in the federal universities in Nigeria. </w:t>
      </w:r>
    </w:p>
    <w:p w14:paraId="39B52693" w14:textId="02AAC583" w:rsidR="001616E5" w:rsidRPr="008B1465" w:rsidRDefault="00BF6508"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Reports have it that creative accounting practices commenced during the industrial revolution and continued until the present, although these practices have increased in the wake of the 1980s. Many corporations have liquidated owing to the implantation of creative accounting practices globally (Ijeoma, 2015</w:t>
      </w:r>
      <w:r w:rsidR="00C37B9A">
        <w:rPr>
          <w:rFonts w:ascii="Times New Roman" w:eastAsia="Calibri" w:hAnsi="Times New Roman"/>
          <w:bCs/>
          <w:sz w:val="24"/>
          <w:szCs w:val="24"/>
        </w:rPr>
        <w:t xml:space="preserve">; </w:t>
      </w:r>
      <w:r w:rsidR="00D31390" w:rsidRPr="003204B9">
        <w:rPr>
          <w:rFonts w:ascii="Times New Roman" w:hAnsi="Times New Roman"/>
          <w:color w:val="222222"/>
          <w:sz w:val="24"/>
          <w:szCs w:val="24"/>
          <w:shd w:val="clear" w:color="auto" w:fill="FFFFFF"/>
        </w:rPr>
        <w:t>Toms, 2019</w:t>
      </w:r>
      <w:r w:rsidR="00D31390">
        <w:rPr>
          <w:rFonts w:ascii="Times New Roman" w:hAnsi="Times New Roman"/>
          <w:color w:val="222222"/>
          <w:sz w:val="24"/>
          <w:szCs w:val="24"/>
          <w:shd w:val="clear" w:color="auto" w:fill="FFFFFF"/>
        </w:rPr>
        <w:t>;</w:t>
      </w:r>
      <w:r w:rsidR="00B90482" w:rsidRPr="00B90482">
        <w:rPr>
          <w:rFonts w:ascii="Times New Roman" w:hAnsi="Times New Roman"/>
          <w:color w:val="222222"/>
          <w:sz w:val="24"/>
          <w:szCs w:val="24"/>
          <w:shd w:val="clear" w:color="auto" w:fill="FFFFFF"/>
        </w:rPr>
        <w:t xml:space="preserve"> </w:t>
      </w:r>
      <w:r w:rsidR="00B90482" w:rsidRPr="003204B9">
        <w:rPr>
          <w:rFonts w:ascii="Times New Roman" w:hAnsi="Times New Roman"/>
          <w:color w:val="222222"/>
          <w:sz w:val="24"/>
          <w:szCs w:val="24"/>
          <w:shd w:val="clear" w:color="auto" w:fill="FFFFFF"/>
        </w:rPr>
        <w:t>O'Dwyer, &amp; Unerman, 2020</w:t>
      </w:r>
      <w:r w:rsidR="00B90482">
        <w:rPr>
          <w:rFonts w:ascii="Times New Roman" w:hAnsi="Times New Roman"/>
          <w:color w:val="222222"/>
          <w:sz w:val="24"/>
          <w:szCs w:val="24"/>
          <w:shd w:val="clear" w:color="auto" w:fill="FFFFFF"/>
        </w:rPr>
        <w:t>;</w:t>
      </w:r>
      <w:r w:rsidR="00D31390">
        <w:rPr>
          <w:rFonts w:ascii="Times New Roman" w:hAnsi="Times New Roman"/>
          <w:color w:val="222222"/>
          <w:sz w:val="24"/>
          <w:szCs w:val="24"/>
          <w:shd w:val="clear" w:color="auto" w:fill="FFFFFF"/>
        </w:rPr>
        <w:t xml:space="preserve"> </w:t>
      </w:r>
      <w:r w:rsidR="006E7B5E" w:rsidRPr="003204B9">
        <w:rPr>
          <w:rFonts w:ascii="Times New Roman" w:hAnsi="Times New Roman"/>
          <w:color w:val="222222"/>
          <w:sz w:val="24"/>
          <w:szCs w:val="24"/>
          <w:shd w:val="clear" w:color="auto" w:fill="FFFFFF"/>
        </w:rPr>
        <w:t>Kose, Nagle, Ohnsorge, &amp; Sugawara, 2021</w:t>
      </w:r>
      <w:r w:rsidRPr="008B1465">
        <w:rPr>
          <w:rFonts w:ascii="Times New Roman" w:eastAsia="Calibri" w:hAnsi="Times New Roman"/>
          <w:bCs/>
          <w:sz w:val="24"/>
          <w:szCs w:val="24"/>
        </w:rPr>
        <w:t>). Management can influence the number of material items included in financial reports through creative accounting</w:t>
      </w:r>
      <w:r w:rsidR="00017F45">
        <w:rPr>
          <w:rFonts w:ascii="Times New Roman" w:eastAsia="Calibri" w:hAnsi="Times New Roman"/>
          <w:bCs/>
          <w:sz w:val="24"/>
          <w:szCs w:val="24"/>
        </w:rPr>
        <w:t xml:space="preserve"> (</w:t>
      </w:r>
      <w:r w:rsidR="00017F45" w:rsidRPr="003204B9">
        <w:rPr>
          <w:rFonts w:ascii="Times New Roman" w:hAnsi="Times New Roman"/>
          <w:color w:val="222222"/>
          <w:sz w:val="24"/>
          <w:szCs w:val="24"/>
          <w:shd w:val="clear" w:color="auto" w:fill="FFFFFF"/>
        </w:rPr>
        <w:t>Dewi, Azam &amp; Yusoff, 2019</w:t>
      </w:r>
      <w:r w:rsidR="00017F45">
        <w:rPr>
          <w:rFonts w:ascii="Times New Roman" w:eastAsia="Calibri" w:hAnsi="Times New Roman"/>
          <w:bCs/>
          <w:sz w:val="24"/>
          <w:szCs w:val="24"/>
        </w:rPr>
        <w:t>)</w:t>
      </w:r>
      <w:r w:rsidR="00C64068">
        <w:rPr>
          <w:rFonts w:ascii="Times New Roman" w:eastAsia="Calibri" w:hAnsi="Times New Roman"/>
          <w:bCs/>
          <w:sz w:val="24"/>
          <w:szCs w:val="24"/>
        </w:rPr>
        <w:t>.</w:t>
      </w:r>
      <w:r w:rsidRPr="008B1465">
        <w:rPr>
          <w:rFonts w:ascii="Times New Roman" w:eastAsia="Calibri" w:hAnsi="Times New Roman"/>
          <w:bCs/>
          <w:sz w:val="24"/>
          <w:szCs w:val="24"/>
        </w:rPr>
        <w:t xml:space="preserve"> Those terms include voodoo accounting, fraudulent reporting, income smoothing, accounting manipulation, and creative accounting, among others. It is quite amazing why and how management may engage in creative accounting practices. The periodic financial statement is a summary of all activities that have taken place during a specific period. </w:t>
      </w:r>
      <w:r w:rsidR="006D2C9B" w:rsidRPr="008B1465">
        <w:rPr>
          <w:rFonts w:ascii="Times New Roman" w:eastAsia="Calibri" w:hAnsi="Times New Roman"/>
          <w:bCs/>
          <w:sz w:val="24"/>
          <w:szCs w:val="24"/>
        </w:rPr>
        <w:t>These financial statements must be prepared in accordance with the Generally Accepted Accounting Principles (GAAPs). The GAAPs determine order, form, contents, items, measurement criteria, and the time of recognition.</w:t>
      </w:r>
    </w:p>
    <w:p w14:paraId="7595AD11" w14:textId="66CA5DBA" w:rsidR="007A03C4" w:rsidRPr="008B1465" w:rsidRDefault="003F05E3" w:rsidP="007541CB">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Meanwhile, observation revealed that, t</w:t>
      </w:r>
      <w:r w:rsidR="00F9285F" w:rsidRPr="008B1465">
        <w:rPr>
          <w:rFonts w:ascii="Times New Roman" w:eastAsia="Calibri" w:hAnsi="Times New Roman"/>
          <w:sz w:val="24"/>
          <w:szCs w:val="24"/>
        </w:rPr>
        <w:t>he management of some companies</w:t>
      </w:r>
      <w:r w:rsidR="00646E53" w:rsidRPr="008B1465">
        <w:rPr>
          <w:rFonts w:ascii="Times New Roman" w:eastAsia="Calibri" w:hAnsi="Times New Roman"/>
          <w:sz w:val="24"/>
          <w:szCs w:val="24"/>
        </w:rPr>
        <w:t xml:space="preserve"> attempt</w:t>
      </w:r>
      <w:r w:rsidRPr="008B1465">
        <w:rPr>
          <w:rFonts w:ascii="Times New Roman" w:eastAsia="Calibri" w:hAnsi="Times New Roman"/>
          <w:sz w:val="24"/>
          <w:szCs w:val="24"/>
        </w:rPr>
        <w:t xml:space="preserve"> to make use of creative accounting to conceal fraud. Oftentimes, managements frequently make use of the loopholes in Generally Accepted Accounting Standards (GAASs) such as methods of depreciation in ascertaining annual depreciation expended in order to cut down the total amount of expenses, and to increase the amount of income recognition (</w:t>
      </w:r>
      <w:r w:rsidRPr="008B1465">
        <w:rPr>
          <w:rFonts w:ascii="Times New Roman" w:hAnsi="Times New Roman"/>
          <w:sz w:val="24"/>
          <w:szCs w:val="24"/>
          <w:shd w:val="clear" w:color="auto" w:fill="FFFFFF"/>
        </w:rPr>
        <w:t>Haverty, 2006).</w:t>
      </w:r>
      <w:r w:rsidRPr="008B1465">
        <w:rPr>
          <w:rFonts w:ascii="Times New Roman" w:eastAsia="Calibri" w:hAnsi="Times New Roman"/>
          <w:sz w:val="24"/>
          <w:szCs w:val="24"/>
        </w:rPr>
        <w:t xml:space="preserve"> </w:t>
      </w:r>
      <w:r w:rsidR="007A03C4" w:rsidRPr="008B1465">
        <w:rPr>
          <w:rFonts w:ascii="Times New Roman" w:eastAsia="Calibri" w:hAnsi="Times New Roman"/>
          <w:sz w:val="24"/>
          <w:szCs w:val="24"/>
        </w:rPr>
        <w:t>Inventory valuation methods such as first-in-first-out (FIFO), last-in-first-out (LIFO), weighted average, and others may appear approximate in order to increase stock, resulting in a large financial gain generated by overestimating stock value. The Enron Sage revealed that its accounting officers had used voodoo accounting to conceal about $600 million in net losses for three years, 1997–2000, which became public and led to a vote of no confidence in the stock market (as cited in Ijeoma, 2015</w:t>
      </w:r>
      <w:r w:rsidR="0081762C">
        <w:rPr>
          <w:rFonts w:ascii="Times New Roman" w:eastAsia="Calibri" w:hAnsi="Times New Roman"/>
          <w:sz w:val="24"/>
          <w:szCs w:val="24"/>
        </w:rPr>
        <w:t xml:space="preserve">; </w:t>
      </w:r>
      <w:r w:rsidR="0081762C" w:rsidRPr="003204B9">
        <w:rPr>
          <w:rFonts w:ascii="Times New Roman" w:hAnsi="Times New Roman"/>
          <w:color w:val="222222"/>
          <w:sz w:val="24"/>
          <w:szCs w:val="24"/>
          <w:shd w:val="clear" w:color="auto" w:fill="FFFFFF"/>
        </w:rPr>
        <w:t>Dewi., Azam., &amp; Yusoff, 2019</w:t>
      </w:r>
      <w:r w:rsidR="007A03C4" w:rsidRPr="008B1465">
        <w:rPr>
          <w:rFonts w:ascii="Times New Roman" w:eastAsia="Calibri" w:hAnsi="Times New Roman"/>
          <w:sz w:val="24"/>
          <w:szCs w:val="24"/>
        </w:rPr>
        <w:t>).</w:t>
      </w:r>
    </w:p>
    <w:p w14:paraId="0B79E1CE" w14:textId="590357C0" w:rsidR="004E753C" w:rsidRPr="008B1465" w:rsidRDefault="00E87B74"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Moreover, WorldCom was also a victim of creative accounting, whereby voodoo accounting was employed to reclassify and amortize revenue expenses amounting to three billion, eight hundred and fifty million dollars ($3.85b) over a long period</w:t>
      </w:r>
      <w:r w:rsidR="00396468">
        <w:rPr>
          <w:rFonts w:ascii="Times New Roman" w:eastAsia="Calibri" w:hAnsi="Times New Roman"/>
          <w:bCs/>
          <w:sz w:val="24"/>
          <w:szCs w:val="24"/>
        </w:rPr>
        <w:t xml:space="preserve"> (</w:t>
      </w:r>
      <w:r w:rsidR="00396468" w:rsidRPr="003204B9">
        <w:rPr>
          <w:rFonts w:ascii="Times New Roman" w:hAnsi="Times New Roman"/>
          <w:color w:val="222222"/>
          <w:sz w:val="24"/>
          <w:szCs w:val="24"/>
          <w:shd w:val="clear" w:color="auto" w:fill="FFFFFF"/>
        </w:rPr>
        <w:t>Dewi, Azam &amp; Yusoff, 2019</w:t>
      </w:r>
      <w:r w:rsidR="00396468">
        <w:rPr>
          <w:rFonts w:ascii="Times New Roman" w:eastAsia="Calibri" w:hAnsi="Times New Roman"/>
          <w:bCs/>
          <w:sz w:val="24"/>
          <w:szCs w:val="24"/>
        </w:rPr>
        <w:t>)</w:t>
      </w:r>
      <w:r w:rsidR="00F875FD">
        <w:rPr>
          <w:rFonts w:ascii="Times New Roman" w:eastAsia="Calibri" w:hAnsi="Times New Roman"/>
          <w:bCs/>
          <w:sz w:val="24"/>
          <w:szCs w:val="24"/>
        </w:rPr>
        <w:t xml:space="preserve">, </w:t>
      </w:r>
      <w:r w:rsidRPr="008B1465">
        <w:rPr>
          <w:rFonts w:ascii="Times New Roman" w:eastAsia="Calibri" w:hAnsi="Times New Roman"/>
          <w:bCs/>
          <w:sz w:val="24"/>
          <w:szCs w:val="24"/>
        </w:rPr>
        <w:t>the organization filed for chapter eleven (11) bankruptcy protection. Recently, the Federal Bureau of Investigation of the United States of America estimat</w:t>
      </w:r>
      <w:r w:rsidR="00397676" w:rsidRPr="008B1465">
        <w:rPr>
          <w:rFonts w:ascii="Times New Roman" w:eastAsia="Calibri" w:hAnsi="Times New Roman"/>
          <w:bCs/>
          <w:sz w:val="24"/>
          <w:szCs w:val="24"/>
        </w:rPr>
        <w:t>ed more than $300 billion in lo</w:t>
      </w:r>
      <w:r w:rsidRPr="008B1465">
        <w:rPr>
          <w:rFonts w:ascii="Times New Roman" w:eastAsia="Calibri" w:hAnsi="Times New Roman"/>
          <w:bCs/>
          <w:sz w:val="24"/>
          <w:szCs w:val="24"/>
        </w:rPr>
        <w:t>s</w:t>
      </w:r>
      <w:r w:rsidR="00D858E5" w:rsidRPr="008B1465">
        <w:rPr>
          <w:rFonts w:ascii="Times New Roman" w:eastAsia="Calibri" w:hAnsi="Times New Roman"/>
          <w:bCs/>
          <w:sz w:val="24"/>
          <w:szCs w:val="24"/>
        </w:rPr>
        <w:t>s</w:t>
      </w:r>
      <w:r w:rsidRPr="008B1465">
        <w:rPr>
          <w:rFonts w:ascii="Times New Roman" w:eastAsia="Calibri" w:hAnsi="Times New Roman"/>
          <w:bCs/>
          <w:sz w:val="24"/>
          <w:szCs w:val="24"/>
        </w:rPr>
        <w:t>es each year to fraudsters (Federal Bureau of Investigation, 2006), and most of these crimes are difficult to trace due to the concealment strategy of the fraudsters. Practices like using dubious accounting methods to hide significant losses, concealing a lot of borrowing by keeping it off the balance sheet, and as a result, overall fraudulent reporting, are typical of many other corporate misadventures</w:t>
      </w:r>
      <w:r w:rsidR="00384EC4">
        <w:rPr>
          <w:rFonts w:ascii="Times New Roman" w:eastAsia="Calibri" w:hAnsi="Times New Roman"/>
          <w:bCs/>
          <w:sz w:val="24"/>
          <w:szCs w:val="24"/>
        </w:rPr>
        <w:t xml:space="preserve"> (</w:t>
      </w:r>
      <w:r w:rsidR="00CC324F" w:rsidRPr="003204B9">
        <w:rPr>
          <w:rFonts w:ascii="Times New Roman" w:hAnsi="Times New Roman"/>
          <w:color w:val="222222"/>
          <w:sz w:val="24"/>
          <w:szCs w:val="24"/>
          <w:shd w:val="clear" w:color="auto" w:fill="FFFFFF"/>
        </w:rPr>
        <w:t>Klinger, Adams, &amp; Howley, 2022</w:t>
      </w:r>
      <w:r w:rsidR="00384EC4">
        <w:rPr>
          <w:rFonts w:ascii="Times New Roman" w:eastAsia="Calibri" w:hAnsi="Times New Roman"/>
          <w:bCs/>
          <w:sz w:val="24"/>
          <w:szCs w:val="24"/>
        </w:rPr>
        <w:t>)</w:t>
      </w:r>
      <w:r w:rsidRPr="008B1465">
        <w:rPr>
          <w:rFonts w:ascii="Times New Roman" w:eastAsia="Calibri" w:hAnsi="Times New Roman"/>
          <w:bCs/>
          <w:sz w:val="24"/>
          <w:szCs w:val="24"/>
        </w:rPr>
        <w:t>. </w:t>
      </w:r>
      <w:r w:rsidR="000362ED" w:rsidRPr="008B1465">
        <w:rPr>
          <w:rFonts w:ascii="Times New Roman" w:eastAsia="Calibri" w:hAnsi="Times New Roman"/>
          <w:bCs/>
          <w:sz w:val="24"/>
          <w:szCs w:val="24"/>
        </w:rPr>
        <w:t>However, since the introduction of forensic accounting, the potential danger to businesses is exacerbated every day by the incoming of modern information technology that has combined to displace old business practices and advance the pace of electronically manipulated fraud and corporate financial mismanagement. Information technology plays a vital role nowadays; this era is known as the "information explosion era" (Howard &amp; Sheetx, 2006</w:t>
      </w:r>
      <w:r w:rsidR="004F2662">
        <w:rPr>
          <w:rFonts w:ascii="Times New Roman" w:eastAsia="Calibri" w:hAnsi="Times New Roman"/>
          <w:bCs/>
          <w:sz w:val="24"/>
          <w:szCs w:val="24"/>
        </w:rPr>
        <w:t xml:space="preserve">; </w:t>
      </w:r>
      <w:r w:rsidR="004F2662" w:rsidRPr="003204B9">
        <w:rPr>
          <w:rFonts w:ascii="Times New Roman" w:hAnsi="Times New Roman"/>
          <w:color w:val="222222"/>
          <w:sz w:val="24"/>
          <w:szCs w:val="24"/>
          <w:shd w:val="clear" w:color="auto" w:fill="FFFFFF"/>
        </w:rPr>
        <w:t>Autor</w:t>
      </w:r>
      <w:r w:rsidR="00143ECB">
        <w:rPr>
          <w:rFonts w:ascii="Times New Roman" w:hAnsi="Times New Roman"/>
          <w:color w:val="222222"/>
          <w:sz w:val="24"/>
          <w:szCs w:val="24"/>
          <w:shd w:val="clear" w:color="auto" w:fill="FFFFFF"/>
        </w:rPr>
        <w:t xml:space="preserve"> </w:t>
      </w:r>
      <w:r w:rsidR="00143ECB" w:rsidRPr="00143ECB">
        <w:rPr>
          <w:rFonts w:ascii="Times New Roman" w:hAnsi="Times New Roman"/>
          <w:i/>
          <w:iCs/>
          <w:color w:val="222222"/>
          <w:sz w:val="24"/>
          <w:szCs w:val="24"/>
          <w:shd w:val="clear" w:color="auto" w:fill="FFFFFF"/>
        </w:rPr>
        <w:t>et al.,</w:t>
      </w:r>
      <w:r w:rsidR="00DF2E29">
        <w:rPr>
          <w:rFonts w:ascii="Times New Roman" w:hAnsi="Times New Roman"/>
          <w:i/>
          <w:iCs/>
          <w:color w:val="222222"/>
          <w:sz w:val="24"/>
          <w:szCs w:val="24"/>
          <w:shd w:val="clear" w:color="auto" w:fill="FFFFFF"/>
        </w:rPr>
        <w:t xml:space="preserve"> </w:t>
      </w:r>
      <w:r w:rsidR="00BB508A">
        <w:rPr>
          <w:rFonts w:ascii="Times New Roman" w:hAnsi="Times New Roman"/>
          <w:color w:val="222222"/>
          <w:sz w:val="24"/>
          <w:szCs w:val="24"/>
          <w:shd w:val="clear" w:color="auto" w:fill="FFFFFF"/>
        </w:rPr>
        <w:t>2022</w:t>
      </w:r>
      <w:r w:rsidR="000362ED" w:rsidRPr="008B1465">
        <w:rPr>
          <w:rFonts w:ascii="Times New Roman" w:eastAsia="Calibri" w:hAnsi="Times New Roman"/>
          <w:bCs/>
          <w:sz w:val="24"/>
          <w:szCs w:val="24"/>
        </w:rPr>
        <w:t>). Though there has been a significant improvement in accounting practice, electronic fraud has become very complex, occurs on a very large scale, and could occur without notice. This requires providing a new, systematic way of mitigating the latest challenges (Ramaswa</w:t>
      </w:r>
      <w:r w:rsidR="006B0930" w:rsidRPr="008B1465">
        <w:rPr>
          <w:rFonts w:ascii="Times New Roman" w:eastAsia="Calibri" w:hAnsi="Times New Roman"/>
          <w:bCs/>
          <w:sz w:val="24"/>
          <w:szCs w:val="24"/>
        </w:rPr>
        <w:t>m</w:t>
      </w:r>
      <w:r w:rsidR="000362ED" w:rsidRPr="008B1465">
        <w:rPr>
          <w:rFonts w:ascii="Times New Roman" w:eastAsia="Calibri" w:hAnsi="Times New Roman"/>
          <w:bCs/>
          <w:sz w:val="24"/>
          <w:szCs w:val="24"/>
        </w:rPr>
        <w:t>y, 2005</w:t>
      </w:r>
      <w:r w:rsidR="00426A47">
        <w:rPr>
          <w:rFonts w:ascii="Times New Roman" w:hAnsi="Times New Roman"/>
          <w:color w:val="222222"/>
          <w:sz w:val="24"/>
          <w:szCs w:val="24"/>
          <w:shd w:val="clear" w:color="auto" w:fill="FFFFFF"/>
        </w:rPr>
        <w:t xml:space="preserve">; </w:t>
      </w:r>
      <w:r w:rsidR="00426A47" w:rsidRPr="003204B9">
        <w:rPr>
          <w:rFonts w:ascii="Times New Roman" w:hAnsi="Times New Roman"/>
          <w:color w:val="222222"/>
          <w:sz w:val="24"/>
          <w:szCs w:val="24"/>
          <w:shd w:val="clear" w:color="auto" w:fill="FFFFFF"/>
        </w:rPr>
        <w:t>Al-Kumaim</w:t>
      </w:r>
      <w:r w:rsidR="00426A47">
        <w:rPr>
          <w:rFonts w:ascii="Times New Roman" w:hAnsi="Times New Roman"/>
          <w:color w:val="222222"/>
          <w:sz w:val="24"/>
          <w:szCs w:val="24"/>
          <w:shd w:val="clear" w:color="auto" w:fill="FFFFFF"/>
        </w:rPr>
        <w:t xml:space="preserve"> </w:t>
      </w:r>
      <w:r w:rsidR="00426A47" w:rsidRPr="00143ECB">
        <w:rPr>
          <w:rFonts w:ascii="Times New Roman" w:hAnsi="Times New Roman"/>
          <w:i/>
          <w:iCs/>
          <w:color w:val="222222"/>
          <w:sz w:val="24"/>
          <w:szCs w:val="24"/>
          <w:shd w:val="clear" w:color="auto" w:fill="FFFFFF"/>
        </w:rPr>
        <w:t>et al.,</w:t>
      </w:r>
      <w:r w:rsidR="00426A47">
        <w:rPr>
          <w:rFonts w:ascii="Times New Roman" w:hAnsi="Times New Roman"/>
          <w:i/>
          <w:iCs/>
          <w:color w:val="222222"/>
          <w:sz w:val="24"/>
          <w:szCs w:val="24"/>
          <w:shd w:val="clear" w:color="auto" w:fill="FFFFFF"/>
        </w:rPr>
        <w:t xml:space="preserve"> </w:t>
      </w:r>
      <w:r w:rsidR="00426A47">
        <w:rPr>
          <w:rFonts w:ascii="Times New Roman" w:hAnsi="Times New Roman"/>
          <w:color w:val="222222"/>
          <w:sz w:val="24"/>
          <w:szCs w:val="24"/>
          <w:shd w:val="clear" w:color="auto" w:fill="FFFFFF"/>
        </w:rPr>
        <w:t>2021</w:t>
      </w:r>
      <w:r w:rsidR="000362ED" w:rsidRPr="008B1465">
        <w:rPr>
          <w:rFonts w:ascii="Times New Roman" w:eastAsia="Calibri" w:hAnsi="Times New Roman"/>
          <w:bCs/>
          <w:sz w:val="24"/>
          <w:szCs w:val="24"/>
        </w:rPr>
        <w:t>).</w:t>
      </w:r>
      <w:r w:rsidR="00083A73" w:rsidRPr="008B1465">
        <w:rPr>
          <w:rFonts w:ascii="Times New Roman" w:eastAsia="Calibri" w:hAnsi="Times New Roman"/>
          <w:bCs/>
          <w:sz w:val="24"/>
          <w:szCs w:val="24"/>
        </w:rPr>
        <w:t xml:space="preserve"> </w:t>
      </w:r>
      <w:r w:rsidR="00B42555" w:rsidRPr="008B1465">
        <w:rPr>
          <w:rFonts w:ascii="Times New Roman" w:eastAsia="Calibri" w:hAnsi="Times New Roman"/>
          <w:bCs/>
          <w:sz w:val="24"/>
          <w:szCs w:val="24"/>
        </w:rPr>
        <w:t>Organizations are interacting more with the digital environment as technology evolves on a daily basis. As much as processing business data in a digital environment produces positive outcomes, such as saving time and costs of doing business</w:t>
      </w:r>
      <w:r w:rsidR="00972717">
        <w:rPr>
          <w:rFonts w:ascii="Times New Roman" w:eastAsia="Calibri" w:hAnsi="Times New Roman"/>
          <w:bCs/>
          <w:sz w:val="24"/>
          <w:szCs w:val="24"/>
        </w:rPr>
        <w:t>es</w:t>
      </w:r>
      <w:r w:rsidR="00B42555" w:rsidRPr="008B1465">
        <w:rPr>
          <w:rFonts w:ascii="Times New Roman" w:eastAsia="Calibri" w:hAnsi="Times New Roman"/>
          <w:bCs/>
          <w:sz w:val="24"/>
          <w:szCs w:val="24"/>
        </w:rPr>
        <w:t>, it has also brought about a new level of fraud technique, which is a negative effect</w:t>
      </w:r>
      <w:r w:rsidR="00C743AB">
        <w:rPr>
          <w:rFonts w:ascii="Times New Roman" w:eastAsia="Calibri" w:hAnsi="Times New Roman"/>
          <w:bCs/>
          <w:sz w:val="24"/>
          <w:szCs w:val="24"/>
        </w:rPr>
        <w:t xml:space="preserve"> (</w:t>
      </w:r>
      <w:r w:rsidR="00C743AB" w:rsidRPr="003204B9">
        <w:rPr>
          <w:rFonts w:ascii="Times New Roman" w:hAnsi="Times New Roman"/>
          <w:color w:val="222222"/>
          <w:sz w:val="24"/>
          <w:szCs w:val="24"/>
          <w:shd w:val="clear" w:color="auto" w:fill="FFFFFF"/>
        </w:rPr>
        <w:t>Gonçalves, da Silva &amp; Ferreira, 2022</w:t>
      </w:r>
      <w:r w:rsidR="00C743AB">
        <w:rPr>
          <w:rFonts w:ascii="Times New Roman" w:eastAsia="Calibri" w:hAnsi="Times New Roman"/>
          <w:bCs/>
          <w:sz w:val="24"/>
          <w:szCs w:val="24"/>
        </w:rPr>
        <w:t>)</w:t>
      </w:r>
      <w:r w:rsidR="00B42555" w:rsidRPr="008B1465">
        <w:rPr>
          <w:rFonts w:ascii="Times New Roman" w:eastAsia="Calibri" w:hAnsi="Times New Roman"/>
          <w:bCs/>
          <w:sz w:val="24"/>
          <w:szCs w:val="24"/>
        </w:rPr>
        <w:t>. The development of technology has increased cases of financial misconduct within the business environment and government establishments, among others, and its impact has become troublesome for the survival of federal universities in Nigeria.</w:t>
      </w:r>
      <w:r w:rsidR="00EB08A0" w:rsidRPr="008B1465">
        <w:rPr>
          <w:rFonts w:ascii="Times New Roman" w:eastAsia="Calibri" w:hAnsi="Times New Roman"/>
          <w:bCs/>
          <w:sz w:val="24"/>
          <w:szCs w:val="24"/>
        </w:rPr>
        <w:t xml:space="preserve"> </w:t>
      </w:r>
    </w:p>
    <w:p w14:paraId="5DD85681" w14:textId="5197260D" w:rsidR="004E753C" w:rsidRPr="008B1465" w:rsidRDefault="004E753C"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Nigeria</w:t>
      </w:r>
      <w:r w:rsidR="00901EB3">
        <w:rPr>
          <w:rFonts w:ascii="Times New Roman" w:eastAsia="Calibri" w:hAnsi="Times New Roman"/>
          <w:bCs/>
          <w:sz w:val="24"/>
          <w:szCs w:val="24"/>
        </w:rPr>
        <w:t>n</w:t>
      </w:r>
      <w:r w:rsidRPr="008B1465">
        <w:rPr>
          <w:rFonts w:ascii="Times New Roman" w:eastAsia="Calibri" w:hAnsi="Times New Roman"/>
          <w:bCs/>
          <w:sz w:val="24"/>
          <w:szCs w:val="24"/>
        </w:rPr>
        <w:t xml:space="preserve"> economy is experiencing wars, lawlessness, and disruptions that have, in turn, increased corruption rates, impunity, mismanagement, and power abuse in rare cases (Khersiat, 2018</w:t>
      </w:r>
      <w:r w:rsidR="004D18D7">
        <w:rPr>
          <w:rFonts w:ascii="Times New Roman" w:eastAsia="Calibri" w:hAnsi="Times New Roman"/>
          <w:bCs/>
          <w:sz w:val="24"/>
          <w:szCs w:val="24"/>
        </w:rPr>
        <w:t xml:space="preserve">; </w:t>
      </w:r>
      <w:r w:rsidR="004D18D7" w:rsidRPr="003204B9">
        <w:rPr>
          <w:rFonts w:ascii="Times New Roman" w:hAnsi="Times New Roman"/>
          <w:color w:val="222222"/>
          <w:sz w:val="24"/>
          <w:szCs w:val="24"/>
          <w:shd w:val="clear" w:color="auto" w:fill="FFFFFF"/>
        </w:rPr>
        <w:t>Dandison, 2021</w:t>
      </w:r>
      <w:r w:rsidRPr="008B1465">
        <w:rPr>
          <w:rFonts w:ascii="Times New Roman" w:eastAsia="Calibri" w:hAnsi="Times New Roman"/>
          <w:bCs/>
          <w:sz w:val="24"/>
          <w:szCs w:val="24"/>
        </w:rPr>
        <w:t xml:space="preserve">). Economic and financial misconduct has negatively affected the survival of organizations in developing countries; it is alarmingly engrossed in the systems and very devastating. These violations are undoubtedly accelerated in collaboration with the organization's internal auditors. Sa'id and Azmi (2020) asserted that the increasing wave of financial misconduct is instigating a lot of havoc in Nigeria. Moreover, fraudulent activities have eaten deep into every aspect of the Nigerian economy to the extent that many countries have lost the confidence reposed in them by investors. </w:t>
      </w:r>
    </w:p>
    <w:p w14:paraId="4F7B7552" w14:textId="3606737D" w:rsidR="007309ED" w:rsidRPr="008B1465" w:rsidRDefault="00A12725" w:rsidP="007541CB">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Financial misconduct leads to several losses, such as </w:t>
      </w:r>
      <w:r w:rsidR="00210557" w:rsidRPr="008B1465">
        <w:rPr>
          <w:rFonts w:ascii="Times New Roman" w:eastAsia="Calibri" w:hAnsi="Times New Roman"/>
          <w:sz w:val="24"/>
          <w:szCs w:val="24"/>
        </w:rPr>
        <w:t xml:space="preserve">economics, goodwill, and </w:t>
      </w:r>
      <w:r w:rsidRPr="008B1465">
        <w:rPr>
          <w:rFonts w:ascii="Times New Roman" w:eastAsia="Calibri" w:hAnsi="Times New Roman"/>
          <w:sz w:val="24"/>
          <w:szCs w:val="24"/>
        </w:rPr>
        <w:t xml:space="preserve">lack of confidence and respect for fraudulent leaders in an organization and consequently, business liquidation, among others (Khersiat, 2018). </w:t>
      </w:r>
      <w:r w:rsidR="007309ED" w:rsidRPr="008B1465">
        <w:rPr>
          <w:rFonts w:ascii="Times New Roman" w:eastAsia="Calibri" w:hAnsi="Times New Roman"/>
          <w:sz w:val="24"/>
          <w:szCs w:val="24"/>
        </w:rPr>
        <w:t>Fraudulent practices such as bribery and corruption are like an octopus with huge tentacles spreading into all areas of human endeavour and sparing no one in the process, such as politics, business, religious organizations, and tertiary institutions. In every material respect, the concern is about the devastating effects of corruption and fraud on individuals, nation-states, and the performance of their economies and society in general. The fact that corruption is deeply embedded in nearly all human and structural relationships makes it a primary topic of interest everywhere, including in government agencies, organizations, businesses, and among opinion leaders.</w:t>
      </w:r>
    </w:p>
    <w:p w14:paraId="4E509830" w14:textId="7D8D5698" w:rsidR="00F55FFE" w:rsidRPr="008B1465" w:rsidRDefault="00663344" w:rsidP="00F55FFE">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The fact that corruption is everywhere is globally acknowledged, and the outstanding discontent is reinforced by Kofi</w:t>
      </w:r>
      <w:r w:rsidR="008B2A85" w:rsidRPr="008B1465">
        <w:rPr>
          <w:rFonts w:ascii="Times New Roman" w:eastAsia="Calibri" w:hAnsi="Times New Roman"/>
          <w:sz w:val="24"/>
          <w:szCs w:val="24"/>
        </w:rPr>
        <w:t xml:space="preserve"> Anan, an erstwhile</w:t>
      </w:r>
      <w:r w:rsidRPr="008B1465">
        <w:rPr>
          <w:rFonts w:ascii="Times New Roman" w:eastAsia="Calibri" w:hAnsi="Times New Roman"/>
          <w:sz w:val="24"/>
          <w:szCs w:val="24"/>
        </w:rPr>
        <w:t xml:space="preserve"> United Nations (UN) Secretary-General, in his foreword to the UN’s General Assembly Resolution 58/4 of October 31, 2003: Corruption is a treacherous plague that has a wide range of harmful effects on societies. It destroys democracy and the rule of law, leads to human rights violations, and market distortion, degrades the quality of life, and enhances organized crime, terrorism, and other threats to human security. This unhealthy phenomenon can be found in both developed and developing countries, but its destructive impact is felt most acutely in developing economies.</w:t>
      </w:r>
      <w:r w:rsidR="00F55FFE" w:rsidRPr="008B1465">
        <w:rPr>
          <w:rFonts w:ascii="Times New Roman" w:eastAsia="Calibri" w:hAnsi="Times New Roman"/>
          <w:sz w:val="24"/>
          <w:szCs w:val="24"/>
        </w:rPr>
        <w:t xml:space="preserve"> </w:t>
      </w:r>
    </w:p>
    <w:p w14:paraId="04EB5BA2" w14:textId="7D3BA3D1" w:rsidR="00193033" w:rsidRPr="008B1465" w:rsidRDefault="004F6AA1" w:rsidP="00F55FFE">
      <w:pPr>
        <w:spacing w:after="0" w:line="360" w:lineRule="auto"/>
        <w:jc w:val="both"/>
        <w:rPr>
          <w:rFonts w:ascii="Times New Roman" w:eastAsia="Calibri" w:hAnsi="Times New Roman"/>
          <w:sz w:val="24"/>
          <w:szCs w:val="24"/>
        </w:rPr>
      </w:pPr>
      <w:r w:rsidRPr="008B1465">
        <w:rPr>
          <w:rFonts w:ascii="Times New Roman" w:hAnsi="Times New Roman"/>
          <w:sz w:val="24"/>
          <w:szCs w:val="24"/>
        </w:rPr>
        <w:t>Corruption affects the poor directly by diverting funds meant for development, thereby incapacitating the government from providing basic services, feeding inequality and injustice, and discouraging foreign direct investment (FDI). A key element in economic underperformance is corruption, which is also a major hindrance to poverty alleviation and development (Annan, 2004</w:t>
      </w:r>
      <w:r w:rsidR="00580AD4">
        <w:rPr>
          <w:rFonts w:ascii="Times New Roman" w:hAnsi="Times New Roman"/>
          <w:sz w:val="24"/>
          <w:szCs w:val="24"/>
        </w:rPr>
        <w:t>;</w:t>
      </w:r>
      <w:r w:rsidR="008C6EF0" w:rsidRPr="008C6EF0">
        <w:rPr>
          <w:rFonts w:ascii="Times New Roman" w:hAnsi="Times New Roman"/>
          <w:color w:val="222222"/>
          <w:sz w:val="24"/>
          <w:szCs w:val="24"/>
          <w:shd w:val="clear" w:color="auto" w:fill="FFFFFF"/>
        </w:rPr>
        <w:t xml:space="preserve"> </w:t>
      </w:r>
      <w:r w:rsidR="008C6EF0" w:rsidRPr="003204B9">
        <w:rPr>
          <w:rFonts w:ascii="Times New Roman" w:hAnsi="Times New Roman"/>
          <w:color w:val="222222"/>
          <w:sz w:val="24"/>
          <w:szCs w:val="24"/>
          <w:shd w:val="clear" w:color="auto" w:fill="FFFFFF"/>
        </w:rPr>
        <w:t>Desta, 2019</w:t>
      </w:r>
      <w:r w:rsidR="008C6EF0">
        <w:rPr>
          <w:rFonts w:ascii="Times New Roman" w:hAnsi="Times New Roman"/>
          <w:sz w:val="24"/>
          <w:szCs w:val="24"/>
        </w:rPr>
        <w:t>;</w:t>
      </w:r>
      <w:r w:rsidR="003A4994" w:rsidRPr="003A4994">
        <w:rPr>
          <w:rFonts w:ascii="Times New Roman" w:hAnsi="Times New Roman"/>
          <w:color w:val="222222"/>
          <w:sz w:val="24"/>
          <w:szCs w:val="24"/>
          <w:shd w:val="clear" w:color="auto" w:fill="FFFFFF"/>
        </w:rPr>
        <w:t xml:space="preserve"> </w:t>
      </w:r>
      <w:r w:rsidR="003A4994" w:rsidRPr="003204B9">
        <w:rPr>
          <w:rFonts w:ascii="Times New Roman" w:hAnsi="Times New Roman"/>
          <w:color w:val="222222"/>
          <w:sz w:val="24"/>
          <w:szCs w:val="24"/>
          <w:shd w:val="clear" w:color="auto" w:fill="FFFFFF"/>
        </w:rPr>
        <w:t>Ang</w:t>
      </w:r>
      <w:r w:rsidR="003A4994">
        <w:rPr>
          <w:rFonts w:ascii="Times New Roman" w:hAnsi="Times New Roman"/>
          <w:color w:val="222222"/>
          <w:sz w:val="24"/>
          <w:szCs w:val="24"/>
          <w:shd w:val="clear" w:color="auto" w:fill="FFFFFF"/>
        </w:rPr>
        <w:t>, 2020;</w:t>
      </w:r>
      <w:r w:rsidR="00F46357">
        <w:rPr>
          <w:rFonts w:ascii="Times New Roman" w:hAnsi="Times New Roman"/>
          <w:sz w:val="24"/>
          <w:szCs w:val="24"/>
        </w:rPr>
        <w:t xml:space="preserve"> </w:t>
      </w:r>
      <w:r w:rsidR="008C6EF0" w:rsidRPr="003204B9">
        <w:rPr>
          <w:rFonts w:ascii="Times New Roman" w:hAnsi="Times New Roman"/>
          <w:color w:val="222222"/>
          <w:sz w:val="24"/>
          <w:szCs w:val="24"/>
          <w:shd w:val="clear" w:color="auto" w:fill="FFFFFF"/>
        </w:rPr>
        <w:t>Kouadio &amp; Gakpa, 2022</w:t>
      </w:r>
      <w:r w:rsidRPr="008B1465">
        <w:rPr>
          <w:rFonts w:ascii="Times New Roman" w:hAnsi="Times New Roman"/>
          <w:sz w:val="24"/>
          <w:szCs w:val="24"/>
        </w:rPr>
        <w:t xml:space="preserve">). Corruption and fraud may appear to be deliberately hidden, cold, and nonviolent in nature, but their impact on the affected economy has been disastrous, resulting in financial losses, loss of employment and investment, and loss of livelihood, to name a few of the consequences and risks of corruption and fraud. In reality, for every fraud and perpetrator, there are genuine victims on the receiving end (Herbert </w:t>
      </w:r>
      <w:r w:rsidR="00576E27" w:rsidRPr="008B1465">
        <w:rPr>
          <w:rFonts w:ascii="Times New Roman" w:hAnsi="Times New Roman"/>
          <w:i/>
          <w:iCs/>
          <w:sz w:val="24"/>
          <w:szCs w:val="24"/>
        </w:rPr>
        <w:t>et al</w:t>
      </w:r>
      <w:r w:rsidRPr="008B1465">
        <w:rPr>
          <w:rFonts w:ascii="Times New Roman" w:hAnsi="Times New Roman"/>
          <w:sz w:val="24"/>
          <w:szCs w:val="24"/>
        </w:rPr>
        <w:t>., 2017).</w:t>
      </w:r>
      <w:r w:rsidRPr="008B1465">
        <w:rPr>
          <w:b/>
          <w:bCs/>
        </w:rPr>
        <w:t> </w:t>
      </w:r>
    </w:p>
    <w:p w14:paraId="5427026F" w14:textId="3ADEB4EB" w:rsidR="00491842" w:rsidRPr="008B1465" w:rsidRDefault="00491842" w:rsidP="00491842">
      <w:pPr>
        <w:spacing w:after="0" w:line="360" w:lineRule="auto"/>
        <w:jc w:val="both"/>
        <w:rPr>
          <w:rFonts w:ascii="Times New Roman" w:hAnsi="Times New Roman"/>
          <w:sz w:val="24"/>
          <w:szCs w:val="24"/>
        </w:rPr>
      </w:pPr>
      <w:r w:rsidRPr="008B1465">
        <w:rPr>
          <w:rFonts w:ascii="Times New Roman" w:hAnsi="Times New Roman"/>
          <w:sz w:val="24"/>
          <w:szCs w:val="24"/>
        </w:rPr>
        <w:t>Adegbie and Fakile (2012)</w:t>
      </w:r>
      <w:r w:rsidR="00B421D3">
        <w:rPr>
          <w:rFonts w:ascii="Times New Roman" w:hAnsi="Times New Roman"/>
          <w:sz w:val="24"/>
          <w:szCs w:val="24"/>
        </w:rPr>
        <w:t>;</w:t>
      </w:r>
      <w:r w:rsidR="003A4994">
        <w:rPr>
          <w:rFonts w:ascii="Times New Roman" w:hAnsi="Times New Roman"/>
          <w:sz w:val="24"/>
          <w:szCs w:val="24"/>
        </w:rPr>
        <w:t xml:space="preserve"> </w:t>
      </w:r>
      <w:r w:rsidR="000C2DF3" w:rsidRPr="003204B9">
        <w:rPr>
          <w:rFonts w:ascii="Times New Roman" w:hAnsi="Times New Roman"/>
          <w:color w:val="222222"/>
          <w:sz w:val="24"/>
          <w:szCs w:val="24"/>
          <w:shd w:val="clear" w:color="auto" w:fill="FFFFFF"/>
        </w:rPr>
        <w:t xml:space="preserve">Mbasiti, Gyang </w:t>
      </w:r>
      <w:r w:rsidR="000C2DF3">
        <w:rPr>
          <w:rFonts w:ascii="Times New Roman" w:hAnsi="Times New Roman"/>
          <w:color w:val="222222"/>
          <w:sz w:val="24"/>
          <w:szCs w:val="24"/>
          <w:shd w:val="clear" w:color="auto" w:fill="FFFFFF"/>
        </w:rPr>
        <w:t>and</w:t>
      </w:r>
      <w:r w:rsidR="000C2DF3" w:rsidRPr="003204B9">
        <w:rPr>
          <w:rFonts w:ascii="Times New Roman" w:hAnsi="Times New Roman"/>
          <w:color w:val="222222"/>
          <w:sz w:val="24"/>
          <w:szCs w:val="24"/>
          <w:shd w:val="clear" w:color="auto" w:fill="FFFFFF"/>
        </w:rPr>
        <w:t xml:space="preserve"> Ojaide (2021)</w:t>
      </w:r>
      <w:r w:rsidR="000C2DF3">
        <w:rPr>
          <w:rFonts w:ascii="Times New Roman" w:hAnsi="Times New Roman"/>
          <w:color w:val="222222"/>
          <w:sz w:val="24"/>
          <w:szCs w:val="24"/>
          <w:shd w:val="clear" w:color="auto" w:fill="FFFFFF"/>
        </w:rPr>
        <w:t xml:space="preserve">; </w:t>
      </w:r>
      <w:r w:rsidR="00A950F2" w:rsidRPr="003204B9">
        <w:rPr>
          <w:rFonts w:ascii="Times New Roman" w:hAnsi="Times New Roman"/>
          <w:color w:val="222222"/>
          <w:sz w:val="24"/>
          <w:szCs w:val="24"/>
          <w:shd w:val="clear" w:color="auto" w:fill="FFFFFF"/>
        </w:rPr>
        <w:t xml:space="preserve">Mbasiti, Gyang </w:t>
      </w:r>
      <w:r w:rsidR="00A950F2">
        <w:rPr>
          <w:rFonts w:ascii="Times New Roman" w:hAnsi="Times New Roman"/>
          <w:color w:val="222222"/>
          <w:sz w:val="24"/>
          <w:szCs w:val="24"/>
          <w:shd w:val="clear" w:color="auto" w:fill="FFFFFF"/>
        </w:rPr>
        <w:t>and</w:t>
      </w:r>
      <w:r w:rsidR="00A950F2" w:rsidRPr="003204B9">
        <w:rPr>
          <w:rFonts w:ascii="Times New Roman" w:hAnsi="Times New Roman"/>
          <w:color w:val="222222"/>
          <w:sz w:val="24"/>
          <w:szCs w:val="24"/>
          <w:shd w:val="clear" w:color="auto" w:fill="FFFFFF"/>
        </w:rPr>
        <w:t xml:space="preserve"> Fransis</w:t>
      </w:r>
      <w:r w:rsidR="00B421D3">
        <w:rPr>
          <w:rFonts w:ascii="Times New Roman" w:hAnsi="Times New Roman"/>
          <w:color w:val="222222"/>
          <w:sz w:val="24"/>
          <w:szCs w:val="24"/>
          <w:shd w:val="clear" w:color="auto" w:fill="FFFFFF"/>
        </w:rPr>
        <w:t xml:space="preserve"> </w:t>
      </w:r>
      <w:r w:rsidR="00A950F2" w:rsidRPr="003204B9">
        <w:rPr>
          <w:rFonts w:ascii="Times New Roman" w:hAnsi="Times New Roman"/>
          <w:color w:val="222222"/>
          <w:sz w:val="24"/>
          <w:szCs w:val="24"/>
          <w:shd w:val="clear" w:color="auto" w:fill="FFFFFF"/>
        </w:rPr>
        <w:t xml:space="preserve">(2021) </w:t>
      </w:r>
      <w:r w:rsidR="00471090">
        <w:rPr>
          <w:rFonts w:ascii="Times New Roman" w:hAnsi="Times New Roman"/>
          <w:sz w:val="24"/>
          <w:szCs w:val="24"/>
        </w:rPr>
        <w:t>asserted</w:t>
      </w:r>
      <w:r w:rsidRPr="008B1465">
        <w:rPr>
          <w:rFonts w:ascii="Times New Roman" w:hAnsi="Times New Roman"/>
          <w:sz w:val="24"/>
          <w:szCs w:val="24"/>
        </w:rPr>
        <w:t xml:space="preserve"> that the forensic accounting technique </w:t>
      </w:r>
      <w:r w:rsidR="00722D42" w:rsidRPr="008B1465">
        <w:rPr>
          <w:rFonts w:ascii="Times New Roman" w:hAnsi="Times New Roman"/>
          <w:sz w:val="24"/>
          <w:szCs w:val="24"/>
        </w:rPr>
        <w:t>can</w:t>
      </w:r>
      <w:r w:rsidR="00186FA0" w:rsidRPr="008B1465">
        <w:rPr>
          <w:rFonts w:ascii="Times New Roman" w:hAnsi="Times New Roman"/>
          <w:sz w:val="24"/>
          <w:szCs w:val="24"/>
        </w:rPr>
        <w:t xml:space="preserve"> </w:t>
      </w:r>
      <w:r w:rsidRPr="008B1465">
        <w:rPr>
          <w:rFonts w:ascii="Times New Roman" w:hAnsi="Times New Roman"/>
          <w:sz w:val="24"/>
          <w:szCs w:val="24"/>
        </w:rPr>
        <w:t xml:space="preserve">be used to mitigate economic and financial malfeasance among Nigerian federal universities. </w:t>
      </w:r>
      <w:r w:rsidR="008C1BCF">
        <w:rPr>
          <w:rFonts w:ascii="Times New Roman" w:hAnsi="Times New Roman"/>
          <w:sz w:val="24"/>
          <w:szCs w:val="24"/>
        </w:rPr>
        <w:t>I</w:t>
      </w:r>
      <w:r w:rsidRPr="008B1465">
        <w:rPr>
          <w:rFonts w:ascii="Times New Roman" w:hAnsi="Times New Roman"/>
          <w:sz w:val="24"/>
          <w:szCs w:val="24"/>
        </w:rPr>
        <w:t>nvestigative skills, expert witnesses, litigation services, and unannounced cash counts have been suggested as various techniques that can mitigate financial misconduct</w:t>
      </w:r>
      <w:r w:rsidR="008C1BCF">
        <w:rPr>
          <w:rFonts w:ascii="Times New Roman" w:hAnsi="Times New Roman"/>
          <w:sz w:val="24"/>
          <w:szCs w:val="24"/>
        </w:rPr>
        <w:t xml:space="preserve"> </w:t>
      </w:r>
      <w:r w:rsidR="00FB6992">
        <w:rPr>
          <w:rFonts w:ascii="Times New Roman" w:hAnsi="Times New Roman"/>
          <w:sz w:val="24"/>
          <w:szCs w:val="24"/>
        </w:rPr>
        <w:t>(</w:t>
      </w:r>
      <w:r w:rsidR="008C1BCF" w:rsidRPr="008B1465">
        <w:rPr>
          <w:rFonts w:ascii="Times New Roman" w:hAnsi="Times New Roman"/>
          <w:sz w:val="24"/>
          <w:szCs w:val="24"/>
        </w:rPr>
        <w:t xml:space="preserve">Mukoro, Yamusa </w:t>
      </w:r>
      <w:r w:rsidR="008C1BCF">
        <w:rPr>
          <w:rFonts w:ascii="Times New Roman" w:hAnsi="Times New Roman"/>
          <w:sz w:val="24"/>
          <w:szCs w:val="24"/>
        </w:rPr>
        <w:t>&amp;</w:t>
      </w:r>
      <w:r w:rsidR="008C1BCF" w:rsidRPr="008B1465">
        <w:rPr>
          <w:rFonts w:ascii="Times New Roman" w:hAnsi="Times New Roman"/>
          <w:sz w:val="24"/>
          <w:szCs w:val="24"/>
        </w:rPr>
        <w:t xml:space="preserve"> Faboyede</w:t>
      </w:r>
      <w:r w:rsidR="00FB6992">
        <w:rPr>
          <w:rFonts w:ascii="Times New Roman" w:hAnsi="Times New Roman"/>
          <w:sz w:val="24"/>
          <w:szCs w:val="24"/>
        </w:rPr>
        <w:t>,</w:t>
      </w:r>
      <w:r w:rsidR="008C1BCF" w:rsidRPr="008B1465">
        <w:rPr>
          <w:rFonts w:ascii="Times New Roman" w:hAnsi="Times New Roman"/>
          <w:sz w:val="24"/>
          <w:szCs w:val="24"/>
        </w:rPr>
        <w:t xml:space="preserve"> 2013</w:t>
      </w:r>
      <w:r w:rsidR="008C1BCF">
        <w:rPr>
          <w:rFonts w:ascii="Times New Roman" w:hAnsi="Times New Roman"/>
          <w:sz w:val="24"/>
          <w:szCs w:val="24"/>
        </w:rPr>
        <w:t xml:space="preserve">; </w:t>
      </w:r>
      <w:r w:rsidR="008C1BCF" w:rsidRPr="003204B9">
        <w:rPr>
          <w:rFonts w:ascii="Times New Roman" w:hAnsi="Times New Roman"/>
          <w:color w:val="222222"/>
          <w:sz w:val="24"/>
          <w:szCs w:val="24"/>
          <w:shd w:val="clear" w:color="auto" w:fill="FFFFFF"/>
        </w:rPr>
        <w:t>Kirkcaldy</w:t>
      </w:r>
      <w:r w:rsidR="00FB6992">
        <w:rPr>
          <w:rFonts w:ascii="Times New Roman" w:hAnsi="Times New Roman"/>
          <w:color w:val="222222"/>
          <w:sz w:val="24"/>
          <w:szCs w:val="24"/>
          <w:shd w:val="clear" w:color="auto" w:fill="FFFFFF"/>
        </w:rPr>
        <w:t xml:space="preserve">, </w:t>
      </w:r>
      <w:r w:rsidR="008C1BCF" w:rsidRPr="003204B9">
        <w:rPr>
          <w:rFonts w:ascii="Times New Roman" w:hAnsi="Times New Roman"/>
          <w:color w:val="222222"/>
          <w:sz w:val="24"/>
          <w:szCs w:val="24"/>
          <w:shd w:val="clear" w:color="auto" w:fill="FFFFFF"/>
        </w:rPr>
        <w:t>2020</w:t>
      </w:r>
      <w:r w:rsidR="00FB6992">
        <w:rPr>
          <w:rFonts w:ascii="Times New Roman" w:hAnsi="Times New Roman"/>
          <w:color w:val="222222"/>
          <w:sz w:val="24"/>
          <w:szCs w:val="24"/>
          <w:shd w:val="clear" w:color="auto" w:fill="FFFFFF"/>
        </w:rPr>
        <w:t xml:space="preserve">; </w:t>
      </w:r>
      <w:r w:rsidR="009D1B39" w:rsidRPr="008941AF">
        <w:rPr>
          <w:rFonts w:ascii="Times New Roman" w:hAnsi="Times New Roman"/>
          <w:sz w:val="24"/>
          <w:szCs w:val="24"/>
        </w:rPr>
        <w:t>Bachev, 2021</w:t>
      </w:r>
      <w:r w:rsidR="009D1B39">
        <w:rPr>
          <w:rFonts w:ascii="Times New Roman" w:hAnsi="Times New Roman"/>
          <w:sz w:val="24"/>
          <w:szCs w:val="24"/>
        </w:rPr>
        <w:t>;</w:t>
      </w:r>
      <w:r w:rsidR="004B260D">
        <w:rPr>
          <w:rFonts w:ascii="Times New Roman" w:hAnsi="Times New Roman"/>
          <w:color w:val="222222"/>
          <w:sz w:val="24"/>
          <w:szCs w:val="24"/>
          <w:shd w:val="clear" w:color="auto" w:fill="FFFFFF"/>
        </w:rPr>
        <w:t xml:space="preserve"> </w:t>
      </w:r>
      <w:r w:rsidR="009646DA" w:rsidRPr="003204B9">
        <w:rPr>
          <w:rFonts w:ascii="Times New Roman" w:hAnsi="Times New Roman"/>
          <w:color w:val="222222"/>
          <w:sz w:val="24"/>
          <w:szCs w:val="24"/>
          <w:shd w:val="clear" w:color="auto" w:fill="FFFFFF"/>
        </w:rPr>
        <w:t>Rabbi,</w:t>
      </w:r>
      <w:r w:rsidR="009646DA">
        <w:rPr>
          <w:rFonts w:ascii="Times New Roman" w:hAnsi="Times New Roman"/>
          <w:color w:val="222222"/>
          <w:sz w:val="24"/>
          <w:szCs w:val="24"/>
          <w:shd w:val="clear" w:color="auto" w:fill="FFFFFF"/>
        </w:rPr>
        <w:t xml:space="preserve"> </w:t>
      </w:r>
      <w:r w:rsidR="009646DA" w:rsidRPr="003204B9">
        <w:rPr>
          <w:rFonts w:ascii="Times New Roman" w:hAnsi="Times New Roman"/>
          <w:color w:val="222222"/>
          <w:sz w:val="24"/>
          <w:szCs w:val="24"/>
          <w:shd w:val="clear" w:color="auto" w:fill="FFFFFF"/>
        </w:rPr>
        <w:t>2022</w:t>
      </w:r>
      <w:r w:rsidR="009D1B39">
        <w:rPr>
          <w:rFonts w:ascii="Times New Roman" w:hAnsi="Times New Roman"/>
          <w:color w:val="222222"/>
          <w:sz w:val="24"/>
          <w:szCs w:val="24"/>
          <w:shd w:val="clear" w:color="auto" w:fill="FFFFFF"/>
        </w:rPr>
        <w:t xml:space="preserve">; </w:t>
      </w:r>
      <w:r w:rsidR="009D1B39" w:rsidRPr="003204B9">
        <w:rPr>
          <w:rFonts w:ascii="Times New Roman" w:hAnsi="Times New Roman"/>
          <w:color w:val="222222"/>
          <w:sz w:val="24"/>
          <w:szCs w:val="24"/>
          <w:shd w:val="clear" w:color="auto" w:fill="FFFFFF"/>
        </w:rPr>
        <w:t>Matar, 2023</w:t>
      </w:r>
      <w:r w:rsidR="004B260D" w:rsidRPr="003204B9">
        <w:rPr>
          <w:rFonts w:ascii="Times New Roman" w:hAnsi="Times New Roman"/>
          <w:color w:val="222222"/>
          <w:sz w:val="24"/>
          <w:szCs w:val="24"/>
          <w:shd w:val="clear" w:color="auto" w:fill="FFFFFF"/>
        </w:rPr>
        <w:t xml:space="preserve">). </w:t>
      </w:r>
      <w:r w:rsidRPr="008B1465">
        <w:rPr>
          <w:rFonts w:ascii="Times New Roman" w:hAnsi="Times New Roman"/>
          <w:sz w:val="24"/>
          <w:szCs w:val="24"/>
        </w:rPr>
        <w:t xml:space="preserve"> Hence, due to the </w:t>
      </w:r>
      <w:r w:rsidR="004A3E00">
        <w:rPr>
          <w:rFonts w:ascii="Times New Roman" w:hAnsi="Times New Roman"/>
          <w:sz w:val="24"/>
          <w:szCs w:val="24"/>
        </w:rPr>
        <w:t xml:space="preserve">inadequate </w:t>
      </w:r>
      <w:r w:rsidR="00522A3F" w:rsidRPr="008B1465">
        <w:rPr>
          <w:rFonts w:ascii="Times New Roman" w:hAnsi="Times New Roman"/>
          <w:sz w:val="24"/>
          <w:szCs w:val="24"/>
        </w:rPr>
        <w:t xml:space="preserve">findings of previous studies as to the effectiveness of forensic accounting techniques </w:t>
      </w:r>
      <w:r w:rsidR="002F7BF3" w:rsidRPr="008B1465">
        <w:rPr>
          <w:rFonts w:ascii="Times New Roman" w:hAnsi="Times New Roman"/>
          <w:sz w:val="24"/>
          <w:szCs w:val="24"/>
        </w:rPr>
        <w:t>to</w:t>
      </w:r>
      <w:r w:rsidR="00522A3F" w:rsidRPr="008B1465">
        <w:rPr>
          <w:rFonts w:ascii="Times New Roman" w:hAnsi="Times New Roman"/>
          <w:sz w:val="24"/>
          <w:szCs w:val="24"/>
        </w:rPr>
        <w:t xml:space="preserve"> </w:t>
      </w:r>
      <w:r w:rsidRPr="008B1465">
        <w:rPr>
          <w:rFonts w:ascii="Times New Roman" w:hAnsi="Times New Roman"/>
          <w:sz w:val="24"/>
          <w:szCs w:val="24"/>
        </w:rPr>
        <w:t>mitigat</w:t>
      </w:r>
      <w:r w:rsidR="002F7BF3" w:rsidRPr="008B1465">
        <w:rPr>
          <w:rFonts w:ascii="Times New Roman" w:hAnsi="Times New Roman"/>
          <w:sz w:val="24"/>
          <w:szCs w:val="24"/>
        </w:rPr>
        <w:t>e</w:t>
      </w:r>
      <w:r w:rsidRPr="008B1465">
        <w:rPr>
          <w:rFonts w:ascii="Times New Roman" w:hAnsi="Times New Roman"/>
          <w:sz w:val="24"/>
          <w:szCs w:val="24"/>
        </w:rPr>
        <w:t xml:space="preserve"> financial misconduct</w:t>
      </w:r>
      <w:r w:rsidR="002F7BF3" w:rsidRPr="008B1465">
        <w:rPr>
          <w:rFonts w:ascii="Times New Roman" w:hAnsi="Times New Roman"/>
          <w:sz w:val="24"/>
          <w:szCs w:val="24"/>
        </w:rPr>
        <w:t xml:space="preserve"> calls for </w:t>
      </w:r>
      <w:r w:rsidR="00806C7B" w:rsidRPr="008B1465">
        <w:rPr>
          <w:rFonts w:ascii="Times New Roman" w:hAnsi="Times New Roman"/>
          <w:sz w:val="24"/>
          <w:szCs w:val="24"/>
        </w:rPr>
        <w:t xml:space="preserve">further </w:t>
      </w:r>
      <w:r w:rsidR="002F7BF3" w:rsidRPr="008B1465">
        <w:rPr>
          <w:rFonts w:ascii="Times New Roman" w:hAnsi="Times New Roman"/>
          <w:sz w:val="24"/>
          <w:szCs w:val="24"/>
        </w:rPr>
        <w:t xml:space="preserve">investigation </w:t>
      </w:r>
      <w:r w:rsidR="00866EAA" w:rsidRPr="008B1465">
        <w:rPr>
          <w:rFonts w:ascii="Times New Roman" w:hAnsi="Times New Roman"/>
          <w:sz w:val="24"/>
          <w:szCs w:val="24"/>
        </w:rPr>
        <w:t>into</w:t>
      </w:r>
      <w:r w:rsidRPr="008B1465">
        <w:rPr>
          <w:rFonts w:ascii="Times New Roman" w:hAnsi="Times New Roman"/>
          <w:sz w:val="24"/>
          <w:szCs w:val="24"/>
        </w:rPr>
        <w:t xml:space="preserve"> </w:t>
      </w:r>
      <w:r w:rsidR="00CD6F1A">
        <w:rPr>
          <w:rFonts w:ascii="Times New Roman" w:hAnsi="Times New Roman"/>
          <w:sz w:val="24"/>
          <w:szCs w:val="24"/>
        </w:rPr>
        <w:t>the effect of</w:t>
      </w:r>
      <w:r w:rsidRPr="008B1465">
        <w:rPr>
          <w:rFonts w:ascii="Times New Roman" w:hAnsi="Times New Roman"/>
          <w:sz w:val="24"/>
          <w:szCs w:val="24"/>
        </w:rPr>
        <w:t xml:space="preserve"> forensic accounting techniques </w:t>
      </w:r>
      <w:r w:rsidR="005B71D7">
        <w:rPr>
          <w:rFonts w:ascii="Times New Roman" w:hAnsi="Times New Roman"/>
          <w:sz w:val="24"/>
          <w:szCs w:val="24"/>
        </w:rPr>
        <w:t>on</w:t>
      </w:r>
      <w:r w:rsidRPr="008B1465">
        <w:rPr>
          <w:rFonts w:ascii="Times New Roman" w:hAnsi="Times New Roman"/>
          <w:sz w:val="24"/>
          <w:szCs w:val="24"/>
        </w:rPr>
        <w:t xml:space="preserve"> financial misconduct among federal universities in southwest Nigeria.</w:t>
      </w:r>
    </w:p>
    <w:p w14:paraId="77953915" w14:textId="53C2A940" w:rsidR="001616E5" w:rsidRPr="008B1465" w:rsidRDefault="003F05E3" w:rsidP="007541CB">
      <w:pPr>
        <w:pStyle w:val="Heading2"/>
        <w:spacing w:line="360" w:lineRule="auto"/>
        <w:rPr>
          <w:rFonts w:cs="Times New Roman"/>
          <w:sz w:val="24"/>
          <w:szCs w:val="24"/>
        </w:rPr>
      </w:pPr>
      <w:bookmarkStart w:id="24" w:name="_Toc145951072"/>
      <w:r w:rsidRPr="008B1465">
        <w:rPr>
          <w:rFonts w:cs="Times New Roman"/>
          <w:sz w:val="24"/>
          <w:szCs w:val="24"/>
        </w:rPr>
        <w:t>Research Objective</w:t>
      </w:r>
      <w:bookmarkEnd w:id="24"/>
    </w:p>
    <w:p w14:paraId="32BBD5E3" w14:textId="5F2A74A8" w:rsidR="001616E5" w:rsidRPr="008B1465" w:rsidRDefault="003F05E3" w:rsidP="007541CB">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The general objective of the study is to investigate </w:t>
      </w:r>
      <w:r w:rsidR="00905CF1" w:rsidRPr="008B1465">
        <w:rPr>
          <w:rFonts w:ascii="Times New Roman" w:eastAsia="Calibri" w:hAnsi="Times New Roman"/>
          <w:sz w:val="24"/>
          <w:szCs w:val="24"/>
        </w:rPr>
        <w:t xml:space="preserve">the </w:t>
      </w:r>
      <w:r w:rsidR="00905CF1">
        <w:rPr>
          <w:rFonts w:ascii="Times New Roman" w:eastAsia="Calibri" w:hAnsi="Times New Roman"/>
          <w:sz w:val="24"/>
          <w:szCs w:val="24"/>
        </w:rPr>
        <w:t>effect of</w:t>
      </w:r>
      <w:r w:rsidR="00905CF1" w:rsidRPr="008B1465">
        <w:rPr>
          <w:rFonts w:ascii="Times New Roman" w:eastAsia="Calibri" w:hAnsi="Times New Roman"/>
          <w:sz w:val="24"/>
          <w:szCs w:val="24"/>
        </w:rPr>
        <w:t xml:space="preserve"> </w:t>
      </w:r>
      <w:r w:rsidRPr="008B1465">
        <w:rPr>
          <w:rFonts w:ascii="Times New Roman" w:eastAsia="Calibri" w:hAnsi="Times New Roman"/>
          <w:sz w:val="24"/>
          <w:szCs w:val="24"/>
        </w:rPr>
        <w:t xml:space="preserve">forensic accounting techniques </w:t>
      </w:r>
      <w:r w:rsidR="00EC35F2">
        <w:rPr>
          <w:rFonts w:ascii="Times New Roman" w:eastAsia="Calibri" w:hAnsi="Times New Roman"/>
          <w:sz w:val="24"/>
          <w:szCs w:val="24"/>
        </w:rPr>
        <w:t>on</w:t>
      </w:r>
      <w:r w:rsidRPr="008B1465">
        <w:rPr>
          <w:rFonts w:ascii="Times New Roman" w:eastAsia="Calibri" w:hAnsi="Times New Roman"/>
          <w:sz w:val="24"/>
          <w:szCs w:val="24"/>
        </w:rPr>
        <w:t xml:space="preserve"> financial misconduct among Federal Universities in Southwest, Nigeria. The specific objectives are to:</w:t>
      </w:r>
    </w:p>
    <w:p w14:paraId="6B0937A9" w14:textId="77777777" w:rsidR="001616E5" w:rsidRPr="008B1465" w:rsidRDefault="003F05E3" w:rsidP="007541CB">
      <w:pPr>
        <w:pStyle w:val="ListParagraph"/>
        <w:numPr>
          <w:ilvl w:val="0"/>
          <w:numId w:val="1"/>
        </w:numPr>
        <w:spacing w:after="0" w:line="360" w:lineRule="auto"/>
        <w:jc w:val="both"/>
        <w:rPr>
          <w:rFonts w:ascii="Times New Roman" w:eastAsia="Calibri" w:hAnsi="Times New Roman"/>
          <w:sz w:val="24"/>
          <w:szCs w:val="24"/>
        </w:rPr>
      </w:pPr>
      <w:bookmarkStart w:id="25" w:name="_Hlk145600264"/>
      <w:r w:rsidRPr="008B1465">
        <w:rPr>
          <w:rFonts w:ascii="Times New Roman" w:eastAsia="Calibri" w:hAnsi="Times New Roman"/>
          <w:sz w:val="24"/>
          <w:szCs w:val="24"/>
        </w:rPr>
        <w:t>assess the influence of forensic accounting techniques on fund misappropriation among Federal Universities in Southwest, Nigeria;</w:t>
      </w:r>
    </w:p>
    <w:p w14:paraId="5BA93233" w14:textId="0AFDC533" w:rsidR="001616E5" w:rsidRPr="008B1465" w:rsidRDefault="003F05E3" w:rsidP="007541CB">
      <w:pPr>
        <w:pStyle w:val="ListParagraph"/>
        <w:numPr>
          <w:ilvl w:val="0"/>
          <w:numId w:val="1"/>
        </w:num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i</w:t>
      </w:r>
      <w:r w:rsidR="00541422" w:rsidRPr="008B1465">
        <w:rPr>
          <w:rFonts w:ascii="Times New Roman" w:eastAsia="Calibri" w:hAnsi="Times New Roman"/>
          <w:sz w:val="24"/>
          <w:szCs w:val="24"/>
        </w:rPr>
        <w:t>nvestigate</w:t>
      </w:r>
      <w:r w:rsidRPr="008B1465">
        <w:rPr>
          <w:rFonts w:ascii="Times New Roman" w:eastAsia="Calibri" w:hAnsi="Times New Roman"/>
          <w:sz w:val="24"/>
          <w:szCs w:val="24"/>
        </w:rPr>
        <w:t xml:space="preserve"> the </w:t>
      </w:r>
      <w:r w:rsidR="001A45E5">
        <w:rPr>
          <w:rFonts w:ascii="Times New Roman" w:eastAsia="Calibri" w:hAnsi="Times New Roman"/>
          <w:sz w:val="24"/>
          <w:szCs w:val="24"/>
        </w:rPr>
        <w:t>effect of</w:t>
      </w:r>
      <w:r w:rsidRPr="008B1465">
        <w:rPr>
          <w:rFonts w:ascii="Times New Roman" w:eastAsia="Calibri" w:hAnsi="Times New Roman"/>
          <w:sz w:val="24"/>
          <w:szCs w:val="24"/>
        </w:rPr>
        <w:t xml:space="preserve"> forensic accounting techniques </w:t>
      </w:r>
      <w:r w:rsidR="00EC35F2">
        <w:rPr>
          <w:rFonts w:ascii="Times New Roman" w:eastAsia="Calibri" w:hAnsi="Times New Roman"/>
          <w:sz w:val="24"/>
          <w:szCs w:val="24"/>
        </w:rPr>
        <w:t>on</w:t>
      </w:r>
      <w:r w:rsidRPr="008B1465">
        <w:rPr>
          <w:rFonts w:ascii="Times New Roman" w:eastAsia="Calibri" w:hAnsi="Times New Roman"/>
          <w:sz w:val="24"/>
          <w:szCs w:val="24"/>
        </w:rPr>
        <w:t xml:space="preserve"> value for money practices among Federal Universities in Southwest, Nigeria;</w:t>
      </w:r>
    </w:p>
    <w:p w14:paraId="04F7A646" w14:textId="77777777" w:rsidR="001616E5" w:rsidRPr="008B1465" w:rsidRDefault="003F05E3" w:rsidP="007541CB">
      <w:pPr>
        <w:pStyle w:val="ListParagraph"/>
        <w:numPr>
          <w:ilvl w:val="0"/>
          <w:numId w:val="1"/>
        </w:num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determine the impact of forensic accounting techniques on creative accounting practices among Federal Universities in Southwest, Nigeria; and</w:t>
      </w:r>
    </w:p>
    <w:p w14:paraId="2BB27371" w14:textId="46D02477" w:rsidR="001616E5" w:rsidRPr="008B1465" w:rsidRDefault="008449C7" w:rsidP="007541CB">
      <w:pPr>
        <w:pStyle w:val="ListParagraph"/>
        <w:numPr>
          <w:ilvl w:val="0"/>
          <w:numId w:val="1"/>
        </w:num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e</w:t>
      </w:r>
      <w:r w:rsidR="003F05E3" w:rsidRPr="008B1465">
        <w:rPr>
          <w:rFonts w:ascii="Times New Roman" w:eastAsia="Calibri" w:hAnsi="Times New Roman"/>
          <w:sz w:val="24"/>
          <w:szCs w:val="24"/>
        </w:rPr>
        <w:t xml:space="preserve">valuate the </w:t>
      </w:r>
      <w:r w:rsidR="001A45E5">
        <w:rPr>
          <w:rFonts w:ascii="Times New Roman" w:eastAsia="Calibri" w:hAnsi="Times New Roman"/>
          <w:sz w:val="24"/>
          <w:szCs w:val="24"/>
        </w:rPr>
        <w:t>effect of</w:t>
      </w:r>
      <w:r w:rsidR="003F05E3" w:rsidRPr="008B1465">
        <w:rPr>
          <w:rFonts w:ascii="Times New Roman" w:eastAsia="Calibri" w:hAnsi="Times New Roman"/>
          <w:sz w:val="24"/>
          <w:szCs w:val="24"/>
        </w:rPr>
        <w:t xml:space="preserve"> forensic accounting techniques </w:t>
      </w:r>
      <w:r w:rsidR="00EC35F2">
        <w:rPr>
          <w:rFonts w:ascii="Times New Roman" w:eastAsia="Calibri" w:hAnsi="Times New Roman"/>
          <w:sz w:val="24"/>
          <w:szCs w:val="24"/>
        </w:rPr>
        <w:t>on</w:t>
      </w:r>
      <w:r w:rsidR="003F05E3" w:rsidRPr="008B1465">
        <w:rPr>
          <w:rFonts w:ascii="Times New Roman" w:eastAsia="Calibri" w:hAnsi="Times New Roman"/>
          <w:sz w:val="24"/>
          <w:szCs w:val="24"/>
        </w:rPr>
        <w:t xml:space="preserve"> procurement practices among Federal Universities in Southwest, Nigeria.</w:t>
      </w:r>
    </w:p>
    <w:p w14:paraId="78038FBD" w14:textId="13B4BB29" w:rsidR="001616E5" w:rsidRPr="008B1465" w:rsidRDefault="003F05E3" w:rsidP="007541CB">
      <w:pPr>
        <w:pStyle w:val="Heading2"/>
        <w:spacing w:line="360" w:lineRule="auto"/>
        <w:rPr>
          <w:rFonts w:cs="Times New Roman"/>
          <w:sz w:val="24"/>
          <w:szCs w:val="24"/>
        </w:rPr>
      </w:pPr>
      <w:bookmarkStart w:id="26" w:name="_Toc145951073"/>
      <w:r w:rsidRPr="008B1465">
        <w:rPr>
          <w:rFonts w:cs="Times New Roman"/>
          <w:sz w:val="24"/>
          <w:szCs w:val="24"/>
        </w:rPr>
        <w:t>Research Questions</w:t>
      </w:r>
      <w:bookmarkEnd w:id="26"/>
    </w:p>
    <w:p w14:paraId="3BAE2FC2" w14:textId="4745C8F5" w:rsidR="001616E5" w:rsidRPr="008B1465" w:rsidRDefault="00967EB0" w:rsidP="007541CB">
      <w:pPr>
        <w:spacing w:after="0" w:line="360" w:lineRule="auto"/>
        <w:jc w:val="both"/>
        <w:rPr>
          <w:rFonts w:ascii="Times New Roman" w:eastAsia="Calibri" w:hAnsi="Times New Roman"/>
          <w:bCs/>
          <w:sz w:val="24"/>
          <w:szCs w:val="24"/>
        </w:rPr>
      </w:pPr>
      <w:r>
        <w:rPr>
          <w:rFonts w:ascii="Times New Roman" w:eastAsia="Calibri" w:hAnsi="Times New Roman"/>
          <w:bCs/>
          <w:sz w:val="24"/>
          <w:szCs w:val="24"/>
        </w:rPr>
        <w:t>T</w:t>
      </w:r>
      <w:r w:rsidR="003F05E3" w:rsidRPr="008B1465">
        <w:rPr>
          <w:rFonts w:ascii="Times New Roman" w:eastAsia="Calibri" w:hAnsi="Times New Roman"/>
          <w:bCs/>
          <w:sz w:val="24"/>
          <w:szCs w:val="24"/>
        </w:rPr>
        <w:t>he following research questions were</w:t>
      </w:r>
      <w:r>
        <w:rPr>
          <w:rFonts w:ascii="Times New Roman" w:eastAsia="Calibri" w:hAnsi="Times New Roman"/>
          <w:bCs/>
          <w:sz w:val="24"/>
          <w:szCs w:val="24"/>
        </w:rPr>
        <w:t xml:space="preserve"> answered in this study</w:t>
      </w:r>
      <w:r w:rsidR="003F05E3" w:rsidRPr="008B1465">
        <w:rPr>
          <w:rFonts w:ascii="Times New Roman" w:eastAsia="Calibri" w:hAnsi="Times New Roman"/>
          <w:bCs/>
          <w:sz w:val="24"/>
          <w:szCs w:val="24"/>
        </w:rPr>
        <w:t>:</w:t>
      </w:r>
    </w:p>
    <w:p w14:paraId="246B071C" w14:textId="77777777" w:rsidR="001616E5" w:rsidRPr="008B1465" w:rsidRDefault="00F23777" w:rsidP="007541CB">
      <w:pPr>
        <w:pStyle w:val="ListParagraph"/>
        <w:numPr>
          <w:ilvl w:val="0"/>
          <w:numId w:val="2"/>
        </w:num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What influence do</w:t>
      </w:r>
      <w:r w:rsidR="003F05E3" w:rsidRPr="008B1465">
        <w:rPr>
          <w:rFonts w:ascii="Times New Roman" w:eastAsia="Calibri" w:hAnsi="Times New Roman"/>
          <w:sz w:val="24"/>
          <w:szCs w:val="24"/>
        </w:rPr>
        <w:t xml:space="preserve"> forensic accounting technique</w:t>
      </w:r>
      <w:r w:rsidRPr="008B1465">
        <w:rPr>
          <w:rFonts w:ascii="Times New Roman" w:eastAsia="Calibri" w:hAnsi="Times New Roman"/>
          <w:sz w:val="24"/>
          <w:szCs w:val="24"/>
        </w:rPr>
        <w:t>s</w:t>
      </w:r>
      <w:r w:rsidR="003F05E3" w:rsidRPr="008B1465">
        <w:rPr>
          <w:rFonts w:ascii="Times New Roman" w:eastAsia="Calibri" w:hAnsi="Times New Roman"/>
          <w:sz w:val="24"/>
          <w:szCs w:val="24"/>
        </w:rPr>
        <w:t xml:space="preserve"> have on fund misappropriation among Federal Universities in Southwest, Nigeria?</w:t>
      </w:r>
    </w:p>
    <w:p w14:paraId="38FC8AA6" w14:textId="77777777" w:rsidR="001616E5" w:rsidRPr="008B1465" w:rsidRDefault="00F23777" w:rsidP="007541CB">
      <w:pPr>
        <w:pStyle w:val="ListParagraph"/>
        <w:numPr>
          <w:ilvl w:val="0"/>
          <w:numId w:val="2"/>
        </w:num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To what extent do</w:t>
      </w:r>
      <w:r w:rsidR="003F05E3" w:rsidRPr="008B1465">
        <w:rPr>
          <w:rFonts w:ascii="Times New Roman" w:eastAsia="Calibri" w:hAnsi="Times New Roman"/>
          <w:sz w:val="24"/>
          <w:szCs w:val="24"/>
        </w:rPr>
        <w:t xml:space="preserve"> fo</w:t>
      </w:r>
      <w:r w:rsidRPr="008B1465">
        <w:rPr>
          <w:rFonts w:ascii="Times New Roman" w:eastAsia="Calibri" w:hAnsi="Times New Roman"/>
          <w:sz w:val="24"/>
          <w:szCs w:val="24"/>
        </w:rPr>
        <w:t>rensic accounting techniques affect</w:t>
      </w:r>
      <w:r w:rsidR="003F05E3" w:rsidRPr="008B1465">
        <w:rPr>
          <w:rFonts w:ascii="Times New Roman" w:eastAsia="Calibri" w:hAnsi="Times New Roman"/>
          <w:sz w:val="24"/>
          <w:szCs w:val="24"/>
        </w:rPr>
        <w:t xml:space="preserve"> value for money practices among Federal Universities in Southwest, Nigeria?</w:t>
      </w:r>
    </w:p>
    <w:p w14:paraId="4B5FD51A" w14:textId="77777777" w:rsidR="001616E5" w:rsidRPr="008B1465" w:rsidRDefault="00F23777" w:rsidP="007541CB">
      <w:pPr>
        <w:pStyle w:val="ListParagraph"/>
        <w:numPr>
          <w:ilvl w:val="0"/>
          <w:numId w:val="2"/>
        </w:num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What impact do</w:t>
      </w:r>
      <w:r w:rsidR="003F05E3" w:rsidRPr="008B1465">
        <w:rPr>
          <w:rFonts w:ascii="Times New Roman" w:eastAsia="Calibri" w:hAnsi="Times New Roman"/>
          <w:sz w:val="24"/>
          <w:szCs w:val="24"/>
        </w:rPr>
        <w:t xml:space="preserve"> forensic accounting techniques have on creative accounting practices among Federal Universities in Southwest, Nigeria?</w:t>
      </w:r>
    </w:p>
    <w:p w14:paraId="367F1545" w14:textId="52CEABED" w:rsidR="001616E5" w:rsidRPr="008B1465" w:rsidRDefault="003F05E3" w:rsidP="007541CB">
      <w:pPr>
        <w:pStyle w:val="ListParagraph"/>
        <w:numPr>
          <w:ilvl w:val="0"/>
          <w:numId w:val="2"/>
        </w:num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What</w:t>
      </w:r>
      <w:r w:rsidR="005F2E78">
        <w:rPr>
          <w:rFonts w:ascii="Times New Roman" w:eastAsia="Calibri" w:hAnsi="Times New Roman"/>
          <w:sz w:val="24"/>
          <w:szCs w:val="24"/>
        </w:rPr>
        <w:t xml:space="preserve"> is</w:t>
      </w:r>
      <w:r w:rsidRPr="008B1465">
        <w:rPr>
          <w:rFonts w:ascii="Times New Roman" w:eastAsia="Calibri" w:hAnsi="Times New Roman"/>
          <w:sz w:val="24"/>
          <w:szCs w:val="24"/>
        </w:rPr>
        <w:t xml:space="preserve"> </w:t>
      </w:r>
      <w:r w:rsidR="00905CF1" w:rsidRPr="008B1465">
        <w:rPr>
          <w:rFonts w:ascii="Times New Roman" w:eastAsia="Calibri" w:hAnsi="Times New Roman"/>
          <w:sz w:val="24"/>
          <w:szCs w:val="24"/>
        </w:rPr>
        <w:t xml:space="preserve">the </w:t>
      </w:r>
      <w:r w:rsidR="00905CF1">
        <w:rPr>
          <w:rFonts w:ascii="Times New Roman" w:eastAsia="Calibri" w:hAnsi="Times New Roman"/>
          <w:sz w:val="24"/>
          <w:szCs w:val="24"/>
        </w:rPr>
        <w:t>effect of</w:t>
      </w:r>
      <w:r w:rsidR="00905CF1" w:rsidRPr="008B1465">
        <w:rPr>
          <w:rFonts w:ascii="Times New Roman" w:eastAsia="Calibri" w:hAnsi="Times New Roman"/>
          <w:sz w:val="24"/>
          <w:szCs w:val="24"/>
        </w:rPr>
        <w:t xml:space="preserve"> </w:t>
      </w:r>
      <w:r w:rsidRPr="008B1465">
        <w:rPr>
          <w:rFonts w:ascii="Times New Roman" w:eastAsia="Calibri" w:hAnsi="Times New Roman"/>
          <w:sz w:val="24"/>
          <w:szCs w:val="24"/>
        </w:rPr>
        <w:t xml:space="preserve">forensic accounting technique </w:t>
      </w:r>
      <w:r w:rsidR="005F2E78">
        <w:rPr>
          <w:rFonts w:ascii="Times New Roman" w:eastAsia="Calibri" w:hAnsi="Times New Roman"/>
          <w:sz w:val="24"/>
          <w:szCs w:val="24"/>
        </w:rPr>
        <w:t>on</w:t>
      </w:r>
      <w:r w:rsidRPr="008B1465">
        <w:rPr>
          <w:rFonts w:ascii="Times New Roman" w:eastAsia="Calibri" w:hAnsi="Times New Roman"/>
          <w:sz w:val="24"/>
          <w:szCs w:val="24"/>
        </w:rPr>
        <w:t xml:space="preserve"> procurement practices among Federal Universities in Southwest, Nigeria?</w:t>
      </w:r>
    </w:p>
    <w:p w14:paraId="2B82FD44" w14:textId="5C334987" w:rsidR="001616E5" w:rsidRPr="008B1465" w:rsidRDefault="003F05E3" w:rsidP="007541CB">
      <w:pPr>
        <w:pStyle w:val="Heading2"/>
        <w:spacing w:line="360" w:lineRule="auto"/>
        <w:rPr>
          <w:rFonts w:cs="Times New Roman"/>
          <w:sz w:val="24"/>
          <w:szCs w:val="24"/>
        </w:rPr>
      </w:pPr>
      <w:bookmarkStart w:id="27" w:name="_Toc145951074"/>
      <w:r w:rsidRPr="008B1465">
        <w:rPr>
          <w:rFonts w:cs="Times New Roman"/>
          <w:sz w:val="24"/>
          <w:szCs w:val="24"/>
        </w:rPr>
        <w:t>Research Hypotheses</w:t>
      </w:r>
      <w:bookmarkEnd w:id="27"/>
    </w:p>
    <w:p w14:paraId="5B3AD738" w14:textId="3E833746"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The following Null hypotheses were empirically formulated to guide the study</w:t>
      </w:r>
    </w:p>
    <w:p w14:paraId="7B5F5E0D" w14:textId="657385E0" w:rsidR="001616E5" w:rsidRPr="008B1465" w:rsidRDefault="003F05E3" w:rsidP="000424E3">
      <w:pPr>
        <w:spacing w:after="0" w:line="360" w:lineRule="auto"/>
        <w:ind w:left="630" w:hanging="360"/>
        <w:jc w:val="both"/>
        <w:rPr>
          <w:rFonts w:ascii="Times New Roman" w:eastAsia="Calibri" w:hAnsi="Times New Roman"/>
          <w:sz w:val="24"/>
          <w:szCs w:val="24"/>
        </w:rPr>
      </w:pPr>
      <w:r w:rsidRPr="008B1465">
        <w:rPr>
          <w:rFonts w:ascii="Times New Roman" w:eastAsia="Calibri" w:hAnsi="Times New Roman"/>
          <w:sz w:val="24"/>
          <w:szCs w:val="24"/>
        </w:rPr>
        <w:t>H</w:t>
      </w:r>
      <w:r w:rsidRPr="008B1465">
        <w:rPr>
          <w:rFonts w:ascii="Times New Roman" w:eastAsia="Calibri" w:hAnsi="Times New Roman"/>
          <w:sz w:val="24"/>
          <w:szCs w:val="24"/>
          <w:vertAlign w:val="subscript"/>
        </w:rPr>
        <w:t>o1</w:t>
      </w:r>
      <w:r w:rsidRPr="008B1465">
        <w:rPr>
          <w:rFonts w:ascii="Times New Roman" w:eastAsia="Calibri" w:hAnsi="Times New Roman"/>
          <w:sz w:val="24"/>
          <w:szCs w:val="24"/>
        </w:rPr>
        <w:t xml:space="preserve">: </w:t>
      </w:r>
      <w:r w:rsidR="006A42B8" w:rsidRPr="008B1465">
        <w:rPr>
          <w:rFonts w:ascii="Times New Roman" w:eastAsia="Calibri" w:hAnsi="Times New Roman"/>
          <w:sz w:val="24"/>
          <w:szCs w:val="24"/>
        </w:rPr>
        <w:t>T</w:t>
      </w:r>
      <w:r w:rsidRPr="008B1465">
        <w:rPr>
          <w:rFonts w:ascii="Times New Roman" w:eastAsia="Calibri" w:hAnsi="Times New Roman"/>
          <w:sz w:val="24"/>
          <w:szCs w:val="24"/>
        </w:rPr>
        <w:t xml:space="preserve">here is no significant influence of forensic accounting techniques on fund </w:t>
      </w:r>
      <w:r w:rsidRPr="008B1465">
        <w:rPr>
          <w:rFonts w:ascii="Times New Roman" w:eastAsia="Calibri" w:hAnsi="Times New Roman"/>
          <w:sz w:val="24"/>
          <w:szCs w:val="24"/>
        </w:rPr>
        <w:tab/>
        <w:t>misappropriation among Federal Universities in Southwest, Nigeria</w:t>
      </w:r>
    </w:p>
    <w:p w14:paraId="14A80958" w14:textId="00BCF1D5" w:rsidR="001616E5" w:rsidRPr="008B1465" w:rsidRDefault="003F05E3" w:rsidP="00B17853">
      <w:pPr>
        <w:spacing w:after="0" w:line="360" w:lineRule="auto"/>
        <w:ind w:left="720" w:hanging="450"/>
        <w:jc w:val="both"/>
        <w:rPr>
          <w:rFonts w:ascii="Times New Roman" w:eastAsia="Calibri" w:hAnsi="Times New Roman"/>
          <w:sz w:val="24"/>
          <w:szCs w:val="24"/>
        </w:rPr>
      </w:pPr>
      <w:r w:rsidRPr="008B1465">
        <w:rPr>
          <w:rFonts w:ascii="Times New Roman" w:eastAsia="Calibri" w:hAnsi="Times New Roman"/>
          <w:sz w:val="24"/>
          <w:szCs w:val="24"/>
        </w:rPr>
        <w:t>H</w:t>
      </w:r>
      <w:r w:rsidRPr="008B1465">
        <w:rPr>
          <w:rFonts w:ascii="Times New Roman" w:eastAsia="Calibri" w:hAnsi="Times New Roman"/>
          <w:sz w:val="24"/>
          <w:szCs w:val="24"/>
          <w:vertAlign w:val="subscript"/>
        </w:rPr>
        <w:t>o2</w:t>
      </w:r>
      <w:r w:rsidRPr="008B1465">
        <w:rPr>
          <w:rFonts w:ascii="Times New Roman" w:eastAsia="Calibri" w:hAnsi="Times New Roman"/>
          <w:sz w:val="24"/>
          <w:szCs w:val="24"/>
        </w:rPr>
        <w:t xml:space="preserve">: </w:t>
      </w:r>
      <w:r w:rsidR="006A42B8" w:rsidRPr="008B1465">
        <w:rPr>
          <w:rFonts w:ascii="Times New Roman" w:eastAsia="Calibri" w:hAnsi="Times New Roman"/>
          <w:sz w:val="24"/>
          <w:szCs w:val="24"/>
        </w:rPr>
        <w:t>T</w:t>
      </w:r>
      <w:r w:rsidRPr="008B1465">
        <w:rPr>
          <w:rFonts w:ascii="Times New Roman" w:eastAsia="Calibri" w:hAnsi="Times New Roman"/>
          <w:sz w:val="24"/>
          <w:szCs w:val="24"/>
        </w:rPr>
        <w:t>here is no significant</w:t>
      </w:r>
      <w:r w:rsidR="00A94EF7" w:rsidRPr="008B1465">
        <w:rPr>
          <w:rFonts w:ascii="Times New Roman" w:eastAsia="Calibri" w:hAnsi="Times New Roman"/>
          <w:sz w:val="24"/>
          <w:szCs w:val="24"/>
        </w:rPr>
        <w:t xml:space="preserve"> </w:t>
      </w:r>
      <w:r w:rsidR="00A94EF7">
        <w:rPr>
          <w:rFonts w:ascii="Times New Roman" w:eastAsia="Calibri" w:hAnsi="Times New Roman"/>
          <w:sz w:val="24"/>
          <w:szCs w:val="24"/>
        </w:rPr>
        <w:t>effect of</w:t>
      </w:r>
      <w:r w:rsidR="00A94EF7" w:rsidRPr="008B1465">
        <w:rPr>
          <w:rFonts w:ascii="Times New Roman" w:eastAsia="Calibri" w:hAnsi="Times New Roman"/>
          <w:sz w:val="24"/>
          <w:szCs w:val="24"/>
        </w:rPr>
        <w:t xml:space="preserve"> </w:t>
      </w:r>
      <w:r w:rsidRPr="008B1465">
        <w:rPr>
          <w:rFonts w:ascii="Times New Roman" w:eastAsia="Calibri" w:hAnsi="Times New Roman"/>
          <w:sz w:val="24"/>
          <w:szCs w:val="24"/>
        </w:rPr>
        <w:t xml:space="preserve">forensic accounting techniques </w:t>
      </w:r>
      <w:r w:rsidR="009C63C5">
        <w:rPr>
          <w:rFonts w:ascii="Times New Roman" w:eastAsia="Calibri" w:hAnsi="Times New Roman"/>
          <w:sz w:val="24"/>
          <w:szCs w:val="24"/>
        </w:rPr>
        <w:t>on</w:t>
      </w:r>
      <w:r w:rsidRPr="008B1465">
        <w:rPr>
          <w:rFonts w:ascii="Times New Roman" w:eastAsia="Calibri" w:hAnsi="Times New Roman"/>
          <w:sz w:val="24"/>
          <w:szCs w:val="24"/>
        </w:rPr>
        <w:t xml:space="preserve"> value </w:t>
      </w:r>
      <w:r w:rsidRPr="008B1465">
        <w:rPr>
          <w:rFonts w:ascii="Times New Roman" w:eastAsia="Calibri" w:hAnsi="Times New Roman"/>
          <w:sz w:val="24"/>
          <w:szCs w:val="24"/>
        </w:rPr>
        <w:tab/>
        <w:t>for money practices among Federal Universities in Southwest, Nigeria</w:t>
      </w:r>
    </w:p>
    <w:p w14:paraId="0D7B28BF" w14:textId="5CAAC9DF" w:rsidR="001616E5" w:rsidRPr="008B1465" w:rsidRDefault="003F05E3" w:rsidP="009666BF">
      <w:pPr>
        <w:tabs>
          <w:tab w:val="left" w:pos="90"/>
        </w:tabs>
        <w:spacing w:after="0" w:line="360" w:lineRule="auto"/>
        <w:ind w:left="630" w:hanging="360"/>
        <w:jc w:val="both"/>
        <w:rPr>
          <w:rFonts w:ascii="Times New Roman" w:eastAsia="Calibri" w:hAnsi="Times New Roman"/>
          <w:sz w:val="24"/>
          <w:szCs w:val="24"/>
        </w:rPr>
      </w:pPr>
      <w:r w:rsidRPr="008B1465">
        <w:rPr>
          <w:rFonts w:ascii="Times New Roman" w:eastAsia="Calibri" w:hAnsi="Times New Roman"/>
          <w:sz w:val="24"/>
          <w:szCs w:val="24"/>
        </w:rPr>
        <w:t>H</w:t>
      </w:r>
      <w:r w:rsidRPr="008B1465">
        <w:rPr>
          <w:rFonts w:ascii="Times New Roman" w:eastAsia="Calibri" w:hAnsi="Times New Roman"/>
          <w:sz w:val="24"/>
          <w:szCs w:val="24"/>
          <w:vertAlign w:val="subscript"/>
        </w:rPr>
        <w:t>o3</w:t>
      </w:r>
      <w:r w:rsidRPr="008B1465">
        <w:rPr>
          <w:rFonts w:ascii="Times New Roman" w:eastAsia="Calibri" w:hAnsi="Times New Roman"/>
          <w:sz w:val="24"/>
          <w:szCs w:val="24"/>
        </w:rPr>
        <w:t>:</w:t>
      </w:r>
      <w:r w:rsidR="009666BF">
        <w:rPr>
          <w:rFonts w:ascii="Times New Roman" w:eastAsia="Calibri" w:hAnsi="Times New Roman"/>
          <w:sz w:val="24"/>
          <w:szCs w:val="24"/>
        </w:rPr>
        <w:t xml:space="preserve"> </w:t>
      </w:r>
      <w:r w:rsidR="006A42B8" w:rsidRPr="008B1465">
        <w:rPr>
          <w:rFonts w:ascii="Times New Roman" w:eastAsia="Calibri" w:hAnsi="Times New Roman"/>
          <w:sz w:val="24"/>
          <w:szCs w:val="24"/>
        </w:rPr>
        <w:t>T</w:t>
      </w:r>
      <w:r w:rsidRPr="008B1465">
        <w:rPr>
          <w:rFonts w:ascii="Times New Roman" w:eastAsia="Calibri" w:hAnsi="Times New Roman"/>
          <w:sz w:val="24"/>
          <w:szCs w:val="24"/>
        </w:rPr>
        <w:t xml:space="preserve">here is no significant impact of forensic accounting techniques on creative </w:t>
      </w:r>
      <w:r w:rsidRPr="008B1465">
        <w:rPr>
          <w:rFonts w:ascii="Times New Roman" w:eastAsia="Calibri" w:hAnsi="Times New Roman"/>
          <w:sz w:val="24"/>
          <w:szCs w:val="24"/>
        </w:rPr>
        <w:tab/>
        <w:t>accounting practices among Federal Universities in Southwest, Nigeria</w:t>
      </w:r>
    </w:p>
    <w:bookmarkEnd w:id="25"/>
    <w:p w14:paraId="30490FF4" w14:textId="150DFECC" w:rsidR="000D0648" w:rsidRPr="008B1465" w:rsidRDefault="003F05E3" w:rsidP="00B7585E">
      <w:pPr>
        <w:spacing w:after="0" w:line="360" w:lineRule="auto"/>
        <w:ind w:left="720" w:hanging="450"/>
        <w:jc w:val="both"/>
        <w:rPr>
          <w:rFonts w:ascii="Times New Roman" w:eastAsia="Calibri" w:hAnsi="Times New Roman"/>
          <w:sz w:val="24"/>
          <w:szCs w:val="24"/>
        </w:rPr>
      </w:pPr>
      <w:r w:rsidRPr="008B1465">
        <w:rPr>
          <w:rFonts w:ascii="Times New Roman" w:eastAsia="Calibri" w:hAnsi="Times New Roman"/>
          <w:sz w:val="24"/>
          <w:szCs w:val="24"/>
        </w:rPr>
        <w:t>H</w:t>
      </w:r>
      <w:r w:rsidRPr="008B1465">
        <w:rPr>
          <w:rFonts w:ascii="Times New Roman" w:eastAsia="Calibri" w:hAnsi="Times New Roman"/>
          <w:sz w:val="24"/>
          <w:szCs w:val="24"/>
          <w:vertAlign w:val="subscript"/>
        </w:rPr>
        <w:t>o4</w:t>
      </w:r>
      <w:r w:rsidRPr="008B1465">
        <w:rPr>
          <w:rFonts w:ascii="Times New Roman" w:eastAsia="Calibri" w:hAnsi="Times New Roman"/>
          <w:sz w:val="24"/>
          <w:szCs w:val="24"/>
        </w:rPr>
        <w:t xml:space="preserve">: </w:t>
      </w:r>
      <w:r w:rsidR="006A42B8" w:rsidRPr="008B1465">
        <w:rPr>
          <w:rFonts w:ascii="Times New Roman" w:eastAsia="Calibri" w:hAnsi="Times New Roman"/>
          <w:sz w:val="24"/>
          <w:szCs w:val="24"/>
        </w:rPr>
        <w:t>T</w:t>
      </w:r>
      <w:r w:rsidRPr="008B1465">
        <w:rPr>
          <w:rFonts w:ascii="Times New Roman" w:eastAsia="Calibri" w:hAnsi="Times New Roman"/>
          <w:sz w:val="24"/>
          <w:szCs w:val="24"/>
        </w:rPr>
        <w:t xml:space="preserve">here is no significant </w:t>
      </w:r>
      <w:r w:rsidR="00B04B45">
        <w:rPr>
          <w:rFonts w:ascii="Times New Roman" w:eastAsia="Calibri" w:hAnsi="Times New Roman"/>
          <w:sz w:val="24"/>
          <w:szCs w:val="24"/>
        </w:rPr>
        <w:t>effect of</w:t>
      </w:r>
      <w:r w:rsidR="00B04B45" w:rsidRPr="008B1465">
        <w:rPr>
          <w:rFonts w:ascii="Times New Roman" w:eastAsia="Calibri" w:hAnsi="Times New Roman"/>
          <w:sz w:val="24"/>
          <w:szCs w:val="24"/>
        </w:rPr>
        <w:t xml:space="preserve"> </w:t>
      </w:r>
      <w:r w:rsidRPr="008B1465">
        <w:rPr>
          <w:rFonts w:ascii="Times New Roman" w:eastAsia="Calibri" w:hAnsi="Times New Roman"/>
          <w:sz w:val="24"/>
          <w:szCs w:val="24"/>
        </w:rPr>
        <w:t xml:space="preserve">forensic accounting techniques </w:t>
      </w:r>
      <w:r w:rsidR="00363B62">
        <w:rPr>
          <w:rFonts w:ascii="Times New Roman" w:eastAsia="Calibri" w:hAnsi="Times New Roman"/>
          <w:sz w:val="24"/>
          <w:szCs w:val="24"/>
        </w:rPr>
        <w:t>on</w:t>
      </w:r>
      <w:r w:rsidRPr="008B1465">
        <w:rPr>
          <w:rFonts w:ascii="Times New Roman" w:eastAsia="Calibri" w:hAnsi="Times New Roman"/>
          <w:sz w:val="24"/>
          <w:szCs w:val="24"/>
        </w:rPr>
        <w:t xml:space="preserve"> procurement practices among Federal Universities in Southwest, Nigeria</w:t>
      </w:r>
    </w:p>
    <w:p w14:paraId="788B1FF1" w14:textId="2F575E1B" w:rsidR="001616E5" w:rsidRPr="008B1465" w:rsidRDefault="003F05E3" w:rsidP="007541CB">
      <w:pPr>
        <w:pStyle w:val="Heading2"/>
        <w:spacing w:line="360" w:lineRule="auto"/>
        <w:rPr>
          <w:rFonts w:cs="Times New Roman"/>
          <w:sz w:val="24"/>
          <w:szCs w:val="24"/>
        </w:rPr>
      </w:pPr>
      <w:bookmarkStart w:id="28" w:name="_Toc145951075"/>
      <w:r w:rsidRPr="008B1465">
        <w:rPr>
          <w:rFonts w:cs="Times New Roman"/>
          <w:sz w:val="24"/>
          <w:szCs w:val="24"/>
        </w:rPr>
        <w:t>Scope of the Study</w:t>
      </w:r>
      <w:bookmarkEnd w:id="28"/>
    </w:p>
    <w:p w14:paraId="0C5556A4" w14:textId="4C5DAB6B" w:rsidR="001616E5" w:rsidRPr="008B1465" w:rsidRDefault="003F05E3" w:rsidP="007541CB">
      <w:pPr>
        <w:spacing w:after="0" w:line="360" w:lineRule="auto"/>
        <w:jc w:val="both"/>
        <w:rPr>
          <w:rFonts w:ascii="Times New Roman" w:hAnsi="Times New Roman"/>
          <w:sz w:val="24"/>
          <w:szCs w:val="24"/>
        </w:rPr>
      </w:pPr>
      <w:r w:rsidRPr="008B1465">
        <w:rPr>
          <w:rFonts w:ascii="Times New Roman" w:hAnsi="Times New Roman"/>
          <w:sz w:val="24"/>
          <w:szCs w:val="24"/>
        </w:rPr>
        <w:t xml:space="preserve">The subject matter </w:t>
      </w:r>
      <w:r w:rsidR="007C6241" w:rsidRPr="008B1465">
        <w:rPr>
          <w:rFonts w:ascii="Times New Roman" w:hAnsi="Times New Roman"/>
          <w:sz w:val="24"/>
          <w:szCs w:val="24"/>
        </w:rPr>
        <w:t>of the investigation assess</w:t>
      </w:r>
      <w:r w:rsidR="00C16573">
        <w:rPr>
          <w:rFonts w:ascii="Times New Roman" w:hAnsi="Times New Roman"/>
          <w:sz w:val="24"/>
          <w:szCs w:val="24"/>
        </w:rPr>
        <w:t>ed effect of</w:t>
      </w:r>
      <w:r w:rsidRPr="008B1465">
        <w:rPr>
          <w:rFonts w:ascii="Times New Roman" w:eastAsia="Calibri" w:hAnsi="Times New Roman"/>
          <w:bCs/>
          <w:sz w:val="24"/>
          <w:szCs w:val="24"/>
        </w:rPr>
        <w:t xml:space="preserve"> forensic accounting techniques </w:t>
      </w:r>
      <w:r w:rsidR="00C16573">
        <w:rPr>
          <w:rFonts w:ascii="Times New Roman" w:eastAsia="Calibri" w:hAnsi="Times New Roman"/>
          <w:bCs/>
          <w:sz w:val="24"/>
          <w:szCs w:val="24"/>
        </w:rPr>
        <w:t>on</w:t>
      </w:r>
      <w:r w:rsidRPr="008B1465">
        <w:rPr>
          <w:rFonts w:ascii="Times New Roman" w:eastAsia="Calibri" w:hAnsi="Times New Roman"/>
          <w:bCs/>
          <w:sz w:val="24"/>
          <w:szCs w:val="24"/>
        </w:rPr>
        <w:t xml:space="preserve"> financial misconduct among Federal Universities in Southwest, Nigeria. </w:t>
      </w:r>
      <w:r w:rsidR="003C71D3" w:rsidRPr="008B1465">
        <w:rPr>
          <w:rFonts w:ascii="Times New Roman" w:eastAsia="Calibri" w:hAnsi="Times New Roman"/>
          <w:bCs/>
          <w:sz w:val="24"/>
          <w:szCs w:val="24"/>
        </w:rPr>
        <w:t xml:space="preserve">The population of this study comprises all members of staff of bursary department, procurement </w:t>
      </w:r>
      <w:r w:rsidR="001218FC" w:rsidRPr="008B1465">
        <w:rPr>
          <w:rFonts w:ascii="Times New Roman" w:eastAsia="Calibri" w:hAnsi="Times New Roman"/>
          <w:bCs/>
          <w:sz w:val="24"/>
          <w:szCs w:val="24"/>
        </w:rPr>
        <w:t>department</w:t>
      </w:r>
      <w:r w:rsidR="003C71D3" w:rsidRPr="008B1465">
        <w:rPr>
          <w:rFonts w:ascii="Times New Roman" w:eastAsia="Calibri" w:hAnsi="Times New Roman"/>
          <w:bCs/>
          <w:sz w:val="24"/>
          <w:szCs w:val="24"/>
        </w:rPr>
        <w:t xml:space="preserve"> and internal audit </w:t>
      </w:r>
      <w:r w:rsidR="001218FC" w:rsidRPr="008B1465">
        <w:rPr>
          <w:rFonts w:ascii="Times New Roman" w:eastAsia="Calibri" w:hAnsi="Times New Roman"/>
          <w:bCs/>
          <w:sz w:val="24"/>
          <w:szCs w:val="24"/>
        </w:rPr>
        <w:t>dep</w:t>
      </w:r>
      <w:r w:rsidR="004811BA" w:rsidRPr="008B1465">
        <w:rPr>
          <w:rFonts w:ascii="Times New Roman" w:eastAsia="Calibri" w:hAnsi="Times New Roman"/>
          <w:bCs/>
          <w:sz w:val="24"/>
          <w:szCs w:val="24"/>
        </w:rPr>
        <w:t>a</w:t>
      </w:r>
      <w:r w:rsidR="001218FC" w:rsidRPr="008B1465">
        <w:rPr>
          <w:rFonts w:ascii="Times New Roman" w:eastAsia="Calibri" w:hAnsi="Times New Roman"/>
          <w:bCs/>
          <w:sz w:val="24"/>
          <w:szCs w:val="24"/>
        </w:rPr>
        <w:t>rtment</w:t>
      </w:r>
      <w:r w:rsidR="003C71D3" w:rsidRPr="008B1465">
        <w:rPr>
          <w:rFonts w:ascii="Times New Roman" w:eastAsia="Calibri" w:hAnsi="Times New Roman"/>
          <w:bCs/>
          <w:sz w:val="24"/>
          <w:szCs w:val="24"/>
        </w:rPr>
        <w:t xml:space="preserve"> from level </w:t>
      </w:r>
      <w:r w:rsidR="004811BA" w:rsidRPr="008B1465">
        <w:rPr>
          <w:rFonts w:ascii="Times New Roman" w:eastAsia="Calibri" w:hAnsi="Times New Roman"/>
          <w:bCs/>
          <w:sz w:val="24"/>
          <w:szCs w:val="24"/>
        </w:rPr>
        <w:t>s</w:t>
      </w:r>
      <w:r w:rsidR="006F3B50">
        <w:rPr>
          <w:rFonts w:ascii="Times New Roman" w:eastAsia="Calibri" w:hAnsi="Times New Roman"/>
          <w:bCs/>
          <w:sz w:val="24"/>
          <w:szCs w:val="24"/>
        </w:rPr>
        <w:t>even</w:t>
      </w:r>
      <w:r w:rsidR="004811BA" w:rsidRPr="008B1465">
        <w:rPr>
          <w:rFonts w:ascii="Times New Roman" w:eastAsia="Calibri" w:hAnsi="Times New Roman"/>
          <w:bCs/>
          <w:sz w:val="24"/>
          <w:szCs w:val="24"/>
        </w:rPr>
        <w:t xml:space="preserve"> (</w:t>
      </w:r>
      <w:r w:rsidR="006F3B50">
        <w:rPr>
          <w:rFonts w:ascii="Times New Roman" w:eastAsia="Calibri" w:hAnsi="Times New Roman"/>
          <w:bCs/>
          <w:sz w:val="24"/>
          <w:szCs w:val="24"/>
        </w:rPr>
        <w:t>7</w:t>
      </w:r>
      <w:r w:rsidR="004811BA" w:rsidRPr="008B1465">
        <w:rPr>
          <w:rFonts w:ascii="Times New Roman" w:eastAsia="Calibri" w:hAnsi="Times New Roman"/>
          <w:bCs/>
          <w:sz w:val="24"/>
          <w:szCs w:val="24"/>
        </w:rPr>
        <w:t>)</w:t>
      </w:r>
      <w:r w:rsidR="003C71D3" w:rsidRPr="008B1465">
        <w:rPr>
          <w:rFonts w:ascii="Times New Roman" w:eastAsia="Calibri" w:hAnsi="Times New Roman"/>
          <w:bCs/>
          <w:sz w:val="24"/>
          <w:szCs w:val="24"/>
        </w:rPr>
        <w:t xml:space="preserve"> and above from all the </w:t>
      </w:r>
      <w:r w:rsidR="007538E0">
        <w:rPr>
          <w:rFonts w:ascii="Times New Roman" w:eastAsia="Calibri" w:hAnsi="Times New Roman"/>
          <w:bCs/>
          <w:sz w:val="24"/>
          <w:szCs w:val="24"/>
        </w:rPr>
        <w:t>s</w:t>
      </w:r>
      <w:r w:rsidR="006F3B50">
        <w:rPr>
          <w:rFonts w:ascii="Times New Roman" w:eastAsia="Calibri" w:hAnsi="Times New Roman"/>
          <w:bCs/>
          <w:sz w:val="24"/>
          <w:szCs w:val="24"/>
        </w:rPr>
        <w:t>ix</w:t>
      </w:r>
      <w:r w:rsidR="001218FC" w:rsidRPr="008B1465">
        <w:rPr>
          <w:rFonts w:ascii="Times New Roman" w:eastAsia="Calibri" w:hAnsi="Times New Roman"/>
          <w:bCs/>
          <w:sz w:val="24"/>
          <w:szCs w:val="24"/>
        </w:rPr>
        <w:t xml:space="preserve"> (</w:t>
      </w:r>
      <w:r w:rsidR="006F3B50">
        <w:rPr>
          <w:rFonts w:ascii="Times New Roman" w:eastAsia="Calibri" w:hAnsi="Times New Roman"/>
          <w:bCs/>
          <w:sz w:val="24"/>
          <w:szCs w:val="24"/>
        </w:rPr>
        <w:t>6</w:t>
      </w:r>
      <w:r w:rsidR="001218FC" w:rsidRPr="008B1465">
        <w:rPr>
          <w:rFonts w:ascii="Times New Roman" w:eastAsia="Calibri" w:hAnsi="Times New Roman"/>
          <w:bCs/>
          <w:sz w:val="24"/>
          <w:szCs w:val="24"/>
        </w:rPr>
        <w:t>)</w:t>
      </w:r>
      <w:r w:rsidR="003C71D3" w:rsidRPr="008B1465">
        <w:rPr>
          <w:rFonts w:ascii="Times New Roman" w:eastAsia="Calibri" w:hAnsi="Times New Roman"/>
          <w:bCs/>
          <w:sz w:val="24"/>
          <w:szCs w:val="24"/>
        </w:rPr>
        <w:t xml:space="preserve"> </w:t>
      </w:r>
      <w:r w:rsidR="006A42B8" w:rsidRPr="008B1465">
        <w:rPr>
          <w:rFonts w:ascii="Times New Roman" w:eastAsia="Calibri" w:hAnsi="Times New Roman"/>
          <w:bCs/>
          <w:sz w:val="24"/>
          <w:szCs w:val="24"/>
        </w:rPr>
        <w:t>F</w:t>
      </w:r>
      <w:r w:rsidR="00184A32" w:rsidRPr="008B1465">
        <w:rPr>
          <w:rFonts w:ascii="Times New Roman" w:eastAsia="Calibri" w:hAnsi="Times New Roman"/>
          <w:bCs/>
          <w:sz w:val="24"/>
          <w:szCs w:val="24"/>
        </w:rPr>
        <w:t>e</w:t>
      </w:r>
      <w:r w:rsidR="003C71D3" w:rsidRPr="008B1465">
        <w:rPr>
          <w:rFonts w:ascii="Times New Roman" w:eastAsia="Calibri" w:hAnsi="Times New Roman"/>
          <w:bCs/>
          <w:sz w:val="24"/>
          <w:szCs w:val="24"/>
        </w:rPr>
        <w:t xml:space="preserve">deral </w:t>
      </w:r>
      <w:r w:rsidR="006A42B8" w:rsidRPr="008B1465">
        <w:rPr>
          <w:rFonts w:ascii="Times New Roman" w:eastAsia="Calibri" w:hAnsi="Times New Roman"/>
          <w:bCs/>
          <w:sz w:val="24"/>
          <w:szCs w:val="24"/>
        </w:rPr>
        <w:t>U</w:t>
      </w:r>
      <w:r w:rsidR="003C71D3" w:rsidRPr="008B1465">
        <w:rPr>
          <w:rFonts w:ascii="Times New Roman" w:eastAsia="Calibri" w:hAnsi="Times New Roman"/>
          <w:bCs/>
          <w:sz w:val="24"/>
          <w:szCs w:val="24"/>
        </w:rPr>
        <w:t>niversities in Southwest,</w:t>
      </w:r>
      <w:r w:rsidR="00042E31" w:rsidRPr="008B1465">
        <w:rPr>
          <w:rFonts w:ascii="Times New Roman" w:eastAsia="Calibri" w:hAnsi="Times New Roman"/>
          <w:bCs/>
          <w:sz w:val="24"/>
          <w:szCs w:val="24"/>
        </w:rPr>
        <w:t xml:space="preserve"> Nigeria</w:t>
      </w:r>
      <w:r w:rsidR="00BA6D27" w:rsidRPr="008B1465">
        <w:rPr>
          <w:rFonts w:ascii="Times New Roman" w:hAnsi="Times New Roman"/>
          <w:sz w:val="24"/>
          <w:szCs w:val="24"/>
        </w:rPr>
        <w:t xml:space="preserve">. </w:t>
      </w:r>
      <w:r w:rsidR="00DC5F3D">
        <w:rPr>
          <w:rFonts w:ascii="Times New Roman" w:hAnsi="Times New Roman"/>
          <w:sz w:val="24"/>
          <w:szCs w:val="24"/>
        </w:rPr>
        <w:t>Southwest, Nigeria was chosen because of high level of banditry and kidnapping in other parts of the country which make it very unsafe to visit such location.</w:t>
      </w:r>
      <w:r w:rsidR="00A659D8">
        <w:rPr>
          <w:rFonts w:ascii="Times New Roman" w:hAnsi="Times New Roman"/>
          <w:sz w:val="24"/>
          <w:szCs w:val="24"/>
        </w:rPr>
        <w:t xml:space="preserve"> Hence,</w:t>
      </w:r>
      <w:r w:rsidR="00DC5F3D">
        <w:rPr>
          <w:rFonts w:ascii="Times New Roman" w:hAnsi="Times New Roman"/>
          <w:sz w:val="24"/>
          <w:szCs w:val="24"/>
        </w:rPr>
        <w:t xml:space="preserve"> </w:t>
      </w:r>
      <w:r w:rsidRPr="008B1465">
        <w:rPr>
          <w:rFonts w:ascii="Times New Roman" w:hAnsi="Times New Roman"/>
          <w:sz w:val="24"/>
          <w:szCs w:val="24"/>
        </w:rPr>
        <w:t xml:space="preserve">the study was constrained by </w:t>
      </w:r>
      <w:r w:rsidR="002C3605">
        <w:rPr>
          <w:rFonts w:ascii="Times New Roman" w:hAnsi="Times New Roman"/>
          <w:sz w:val="24"/>
          <w:szCs w:val="24"/>
        </w:rPr>
        <w:t>security challenges</w:t>
      </w:r>
      <w:r w:rsidR="003D5451">
        <w:rPr>
          <w:rFonts w:ascii="Times New Roman" w:hAnsi="Times New Roman"/>
          <w:sz w:val="24"/>
          <w:szCs w:val="24"/>
        </w:rPr>
        <w:t xml:space="preserve"> in</w:t>
      </w:r>
      <w:r w:rsidRPr="008B1465">
        <w:rPr>
          <w:rFonts w:ascii="Times New Roman" w:hAnsi="Times New Roman"/>
          <w:sz w:val="24"/>
          <w:szCs w:val="24"/>
        </w:rPr>
        <w:t xml:space="preserve"> investigat</w:t>
      </w:r>
      <w:r w:rsidR="0044230C">
        <w:rPr>
          <w:rFonts w:ascii="Times New Roman" w:hAnsi="Times New Roman"/>
          <w:sz w:val="24"/>
          <w:szCs w:val="24"/>
        </w:rPr>
        <w:t>ing</w:t>
      </w:r>
      <w:r w:rsidRPr="008B1465">
        <w:rPr>
          <w:rFonts w:ascii="Times New Roman" w:hAnsi="Times New Roman"/>
          <w:sz w:val="24"/>
          <w:szCs w:val="24"/>
        </w:rPr>
        <w:t xml:space="preserve"> all federally owned </w:t>
      </w:r>
      <w:r w:rsidR="004811BA" w:rsidRPr="008B1465">
        <w:rPr>
          <w:rFonts w:ascii="Times New Roman" w:hAnsi="Times New Roman"/>
          <w:sz w:val="24"/>
          <w:szCs w:val="24"/>
        </w:rPr>
        <w:t>u</w:t>
      </w:r>
      <w:r w:rsidRPr="008B1465">
        <w:rPr>
          <w:rFonts w:ascii="Times New Roman" w:hAnsi="Times New Roman"/>
          <w:sz w:val="24"/>
          <w:szCs w:val="24"/>
        </w:rPr>
        <w:t>niversities</w:t>
      </w:r>
      <w:r w:rsidR="0044230C">
        <w:rPr>
          <w:rFonts w:ascii="Times New Roman" w:hAnsi="Times New Roman"/>
          <w:sz w:val="24"/>
          <w:szCs w:val="24"/>
        </w:rPr>
        <w:t xml:space="preserve"> in Nigeria</w:t>
      </w:r>
      <w:r w:rsidRPr="008B1465">
        <w:rPr>
          <w:rFonts w:ascii="Times New Roman" w:hAnsi="Times New Roman"/>
          <w:sz w:val="24"/>
          <w:szCs w:val="24"/>
        </w:rPr>
        <w:t>.</w:t>
      </w:r>
      <w:r w:rsidR="0044230C">
        <w:rPr>
          <w:rFonts w:ascii="Times New Roman" w:hAnsi="Times New Roman"/>
          <w:sz w:val="24"/>
          <w:szCs w:val="24"/>
        </w:rPr>
        <w:t xml:space="preserve"> Moreover</w:t>
      </w:r>
      <w:r w:rsidR="001E5CBE">
        <w:rPr>
          <w:rFonts w:ascii="Times New Roman" w:hAnsi="Times New Roman"/>
          <w:sz w:val="24"/>
          <w:szCs w:val="24"/>
        </w:rPr>
        <w:t>, over the years, t</w:t>
      </w:r>
      <w:r w:rsidRPr="008B1465">
        <w:rPr>
          <w:rFonts w:ascii="Times New Roman" w:hAnsi="Times New Roman"/>
          <w:sz w:val="24"/>
          <w:szCs w:val="24"/>
        </w:rPr>
        <w:t xml:space="preserve">he Southwest is known to be the most versatile educational </w:t>
      </w:r>
      <w:r w:rsidR="001E5CBE">
        <w:rPr>
          <w:rFonts w:ascii="Times New Roman" w:hAnsi="Times New Roman"/>
          <w:sz w:val="24"/>
          <w:szCs w:val="24"/>
        </w:rPr>
        <w:t>hub</w:t>
      </w:r>
      <w:r w:rsidRPr="008B1465">
        <w:rPr>
          <w:rFonts w:ascii="Times New Roman" w:hAnsi="Times New Roman"/>
          <w:sz w:val="24"/>
          <w:szCs w:val="24"/>
        </w:rPr>
        <w:t xml:space="preserve"> of the Nigerian economy. </w:t>
      </w:r>
    </w:p>
    <w:p w14:paraId="40E98F3F" w14:textId="7B49F8C4" w:rsidR="001616E5" w:rsidRPr="008B1465" w:rsidRDefault="003F05E3" w:rsidP="007541CB">
      <w:pPr>
        <w:spacing w:after="0" w:line="360" w:lineRule="auto"/>
        <w:jc w:val="both"/>
        <w:rPr>
          <w:rFonts w:ascii="Times New Roman" w:hAnsi="Times New Roman"/>
          <w:sz w:val="24"/>
          <w:szCs w:val="24"/>
        </w:rPr>
      </w:pPr>
      <w:r w:rsidRPr="008B1465">
        <w:rPr>
          <w:rFonts w:ascii="Times New Roman" w:hAnsi="Times New Roman"/>
          <w:sz w:val="24"/>
          <w:szCs w:val="24"/>
        </w:rPr>
        <w:t>This study adopt</w:t>
      </w:r>
      <w:r w:rsidR="00767C20" w:rsidRPr="008B1465">
        <w:rPr>
          <w:rFonts w:ascii="Times New Roman" w:hAnsi="Times New Roman"/>
          <w:sz w:val="24"/>
          <w:szCs w:val="24"/>
        </w:rPr>
        <w:t>ed</w:t>
      </w:r>
      <w:r w:rsidRPr="008B1465">
        <w:rPr>
          <w:rFonts w:ascii="Times New Roman" w:hAnsi="Times New Roman"/>
          <w:sz w:val="24"/>
          <w:szCs w:val="24"/>
        </w:rPr>
        <w:t xml:space="preserve"> primary data sourced through a</w:t>
      </w:r>
      <w:r w:rsidR="00767C20" w:rsidRPr="008B1465">
        <w:rPr>
          <w:rFonts w:ascii="Times New Roman" w:hAnsi="Times New Roman"/>
          <w:sz w:val="24"/>
          <w:szCs w:val="24"/>
        </w:rPr>
        <w:t xml:space="preserve"> </w:t>
      </w:r>
      <w:r w:rsidR="00BA6D27" w:rsidRPr="008B1465">
        <w:rPr>
          <w:rFonts w:ascii="Times New Roman" w:hAnsi="Times New Roman"/>
          <w:sz w:val="24"/>
          <w:szCs w:val="24"/>
        </w:rPr>
        <w:t>structured</w:t>
      </w:r>
      <w:r w:rsidRPr="008B1465">
        <w:rPr>
          <w:rFonts w:ascii="Times New Roman" w:hAnsi="Times New Roman"/>
          <w:sz w:val="24"/>
          <w:szCs w:val="24"/>
        </w:rPr>
        <w:t xml:space="preserve"> questionnaire to explore </w:t>
      </w:r>
      <w:r w:rsidR="00095DF8">
        <w:rPr>
          <w:rFonts w:ascii="Times New Roman" w:hAnsi="Times New Roman"/>
          <w:sz w:val="24"/>
          <w:szCs w:val="24"/>
        </w:rPr>
        <w:t>the effect</w:t>
      </w:r>
      <w:r w:rsidR="002E4110">
        <w:rPr>
          <w:rFonts w:ascii="Times New Roman" w:hAnsi="Times New Roman"/>
          <w:sz w:val="24"/>
          <w:szCs w:val="24"/>
        </w:rPr>
        <w:t xml:space="preserve"> of </w:t>
      </w:r>
      <w:r w:rsidRPr="008B1465">
        <w:rPr>
          <w:rFonts w:ascii="Times New Roman" w:hAnsi="Times New Roman"/>
          <w:sz w:val="24"/>
          <w:szCs w:val="24"/>
        </w:rPr>
        <w:t xml:space="preserve">forensic accounting techniques </w:t>
      </w:r>
      <w:r w:rsidR="002E4110">
        <w:rPr>
          <w:rFonts w:ascii="Times New Roman" w:hAnsi="Times New Roman"/>
          <w:sz w:val="24"/>
          <w:szCs w:val="24"/>
        </w:rPr>
        <w:t>on</w:t>
      </w:r>
      <w:r w:rsidRPr="008B1465">
        <w:rPr>
          <w:rFonts w:ascii="Times New Roman" w:hAnsi="Times New Roman"/>
          <w:sz w:val="24"/>
          <w:szCs w:val="24"/>
        </w:rPr>
        <w:t xml:space="preserve"> financial misconduct among </w:t>
      </w:r>
      <w:r w:rsidR="00DB27BB" w:rsidRPr="008B1465">
        <w:rPr>
          <w:rFonts w:ascii="Times New Roman" w:hAnsi="Times New Roman"/>
          <w:sz w:val="24"/>
          <w:szCs w:val="24"/>
        </w:rPr>
        <w:t>f</w:t>
      </w:r>
      <w:r w:rsidRPr="008B1465">
        <w:rPr>
          <w:rFonts w:ascii="Times New Roman" w:hAnsi="Times New Roman"/>
          <w:sz w:val="24"/>
          <w:szCs w:val="24"/>
        </w:rPr>
        <w:t xml:space="preserve">ederal </w:t>
      </w:r>
      <w:r w:rsidR="00DB27BB" w:rsidRPr="008B1465">
        <w:rPr>
          <w:rFonts w:ascii="Times New Roman" w:hAnsi="Times New Roman"/>
          <w:sz w:val="24"/>
          <w:szCs w:val="24"/>
        </w:rPr>
        <w:t>u</w:t>
      </w:r>
      <w:r w:rsidRPr="008B1465">
        <w:rPr>
          <w:rFonts w:ascii="Times New Roman" w:hAnsi="Times New Roman"/>
          <w:sz w:val="24"/>
          <w:szCs w:val="24"/>
        </w:rPr>
        <w:t xml:space="preserve">niversities in Southwest, Nigeria. The primary source of data collection enhances originality, opinions and perceptions of respondents under study. </w:t>
      </w:r>
      <w:r w:rsidR="00767C20" w:rsidRPr="008B1465">
        <w:rPr>
          <w:rFonts w:ascii="Times New Roman" w:hAnsi="Times New Roman"/>
          <w:sz w:val="24"/>
          <w:szCs w:val="24"/>
        </w:rPr>
        <w:t xml:space="preserve">Copies of questionnaire </w:t>
      </w:r>
      <w:r w:rsidR="00976B00" w:rsidRPr="008B1465">
        <w:rPr>
          <w:rFonts w:ascii="Times New Roman" w:hAnsi="Times New Roman"/>
          <w:sz w:val="24"/>
          <w:szCs w:val="24"/>
        </w:rPr>
        <w:t>w</w:t>
      </w:r>
      <w:r w:rsidR="00081ED0">
        <w:rPr>
          <w:rFonts w:ascii="Times New Roman" w:hAnsi="Times New Roman"/>
          <w:sz w:val="24"/>
          <w:szCs w:val="24"/>
        </w:rPr>
        <w:t>ere</w:t>
      </w:r>
      <w:r w:rsidRPr="008B1465">
        <w:rPr>
          <w:rFonts w:ascii="Times New Roman" w:hAnsi="Times New Roman"/>
          <w:sz w:val="24"/>
          <w:szCs w:val="24"/>
        </w:rPr>
        <w:t xml:space="preserve"> administered to the </w:t>
      </w:r>
      <w:r w:rsidR="00976B00" w:rsidRPr="008B1465">
        <w:rPr>
          <w:rFonts w:ascii="Times New Roman" w:hAnsi="Times New Roman"/>
          <w:sz w:val="24"/>
          <w:szCs w:val="24"/>
        </w:rPr>
        <w:t xml:space="preserve">identified staff </w:t>
      </w:r>
      <w:r w:rsidR="00736C0F" w:rsidRPr="008B1465">
        <w:rPr>
          <w:rFonts w:ascii="Times New Roman" w:hAnsi="Times New Roman"/>
          <w:sz w:val="24"/>
          <w:szCs w:val="24"/>
        </w:rPr>
        <w:t>members</w:t>
      </w:r>
      <w:r w:rsidRPr="008B1465">
        <w:rPr>
          <w:rFonts w:ascii="Times New Roman" w:hAnsi="Times New Roman"/>
          <w:sz w:val="24"/>
          <w:szCs w:val="24"/>
        </w:rPr>
        <w:t xml:space="preserve"> of the selected departments/units of </w:t>
      </w:r>
      <w:r w:rsidR="001447F0" w:rsidRPr="008B1465">
        <w:rPr>
          <w:rFonts w:ascii="Times New Roman" w:hAnsi="Times New Roman"/>
          <w:sz w:val="24"/>
          <w:szCs w:val="24"/>
        </w:rPr>
        <w:t>f</w:t>
      </w:r>
      <w:r w:rsidRPr="008B1465">
        <w:rPr>
          <w:rFonts w:ascii="Times New Roman" w:hAnsi="Times New Roman"/>
          <w:sz w:val="24"/>
          <w:szCs w:val="24"/>
        </w:rPr>
        <w:t xml:space="preserve">ederal </w:t>
      </w:r>
      <w:r w:rsidR="001447F0" w:rsidRPr="008B1465">
        <w:rPr>
          <w:rFonts w:ascii="Times New Roman" w:hAnsi="Times New Roman"/>
          <w:sz w:val="24"/>
          <w:szCs w:val="24"/>
        </w:rPr>
        <w:t>u</w:t>
      </w:r>
      <w:r w:rsidRPr="008B1465">
        <w:rPr>
          <w:rFonts w:ascii="Times New Roman" w:hAnsi="Times New Roman"/>
          <w:sz w:val="24"/>
          <w:szCs w:val="24"/>
        </w:rPr>
        <w:t>niversities</w:t>
      </w:r>
      <w:r w:rsidR="00736C0F" w:rsidRPr="008B1465">
        <w:rPr>
          <w:rFonts w:ascii="Times New Roman" w:hAnsi="Times New Roman"/>
          <w:sz w:val="24"/>
          <w:szCs w:val="24"/>
        </w:rPr>
        <w:t xml:space="preserve"> in southwest</w:t>
      </w:r>
      <w:r w:rsidR="00677B4A" w:rsidRPr="008B1465">
        <w:rPr>
          <w:rFonts w:ascii="Times New Roman" w:hAnsi="Times New Roman"/>
          <w:sz w:val="24"/>
          <w:szCs w:val="24"/>
        </w:rPr>
        <w:t>,</w:t>
      </w:r>
      <w:r w:rsidR="00736C0F" w:rsidRPr="008B1465">
        <w:rPr>
          <w:rFonts w:ascii="Times New Roman" w:hAnsi="Times New Roman"/>
          <w:sz w:val="24"/>
          <w:szCs w:val="24"/>
        </w:rPr>
        <w:t xml:space="preserve"> Nigeria</w:t>
      </w:r>
      <w:r w:rsidRPr="008B1465">
        <w:rPr>
          <w:rFonts w:ascii="Times New Roman" w:hAnsi="Times New Roman"/>
          <w:sz w:val="24"/>
          <w:szCs w:val="24"/>
        </w:rPr>
        <w:t xml:space="preserve">. The questions </w:t>
      </w:r>
      <w:r w:rsidR="00677B4A" w:rsidRPr="008B1465">
        <w:rPr>
          <w:rFonts w:ascii="Times New Roman" w:hAnsi="Times New Roman"/>
          <w:sz w:val="24"/>
          <w:szCs w:val="24"/>
        </w:rPr>
        <w:t>were</w:t>
      </w:r>
      <w:r w:rsidRPr="008B1465">
        <w:rPr>
          <w:rFonts w:ascii="Times New Roman" w:hAnsi="Times New Roman"/>
          <w:sz w:val="24"/>
          <w:szCs w:val="24"/>
        </w:rPr>
        <w:t xml:space="preserve"> drawn on a five-point Likert scale, with a choice of strongly agree, agree, undecided, disagree and strongly disagree. </w:t>
      </w:r>
    </w:p>
    <w:p w14:paraId="5B292A2B" w14:textId="5452976B" w:rsidR="001616E5" w:rsidRPr="008B1465" w:rsidRDefault="003F05E3" w:rsidP="007541CB">
      <w:pPr>
        <w:pStyle w:val="Heading2"/>
        <w:spacing w:line="360" w:lineRule="auto"/>
        <w:rPr>
          <w:rFonts w:cs="Times New Roman"/>
          <w:sz w:val="24"/>
          <w:szCs w:val="24"/>
        </w:rPr>
      </w:pPr>
      <w:bookmarkStart w:id="29" w:name="_Toc145951076"/>
      <w:r w:rsidRPr="008B1465">
        <w:rPr>
          <w:rFonts w:cs="Times New Roman"/>
          <w:sz w:val="24"/>
          <w:szCs w:val="24"/>
        </w:rPr>
        <w:t xml:space="preserve">Justification for the </w:t>
      </w:r>
      <w:r w:rsidR="00BD0FBF" w:rsidRPr="008B1465">
        <w:rPr>
          <w:rFonts w:cs="Times New Roman"/>
          <w:sz w:val="24"/>
          <w:szCs w:val="24"/>
        </w:rPr>
        <w:t>Study</w:t>
      </w:r>
      <w:bookmarkEnd w:id="29"/>
      <w:r w:rsidR="00BD0FBF" w:rsidRPr="008B1465">
        <w:rPr>
          <w:rFonts w:cs="Times New Roman"/>
          <w:sz w:val="24"/>
          <w:szCs w:val="24"/>
        </w:rPr>
        <w:t xml:space="preserve"> </w:t>
      </w:r>
    </w:p>
    <w:p w14:paraId="717C1545" w14:textId="0A0EC8BD" w:rsidR="002B45D3" w:rsidRPr="008B1465" w:rsidRDefault="002B45D3" w:rsidP="002B45D3">
      <w:pPr>
        <w:pStyle w:val="NormalWeb"/>
        <w:spacing w:line="360" w:lineRule="auto"/>
        <w:jc w:val="both"/>
      </w:pPr>
      <w:r w:rsidRPr="008B1465">
        <w:t>Lawlessness is seemly a natural identity of every Nigerian</w:t>
      </w:r>
      <w:r w:rsidR="008F4722" w:rsidRPr="008B1465">
        <w:t xml:space="preserve"> (</w:t>
      </w:r>
      <w:r w:rsidR="008F4722" w:rsidRPr="008B1465">
        <w:rPr>
          <w:color w:val="222222"/>
          <w:shd w:val="clear" w:color="auto" w:fill="FFFFFF"/>
        </w:rPr>
        <w:t>Abdullah, Ismail &amp; Smith, 2018)</w:t>
      </w:r>
      <w:r w:rsidRPr="008B1465">
        <w:t>. This conclusion is reached based on my experience in my first international trip to Ghana in 200</w:t>
      </w:r>
      <w:r w:rsidR="001D11A6" w:rsidRPr="008B1465">
        <w:t>8</w:t>
      </w:r>
      <w:r w:rsidRPr="008B1465">
        <w:t xml:space="preserve">. At our arrival at a traffic light control spot, with no other vehicle in sight, aside the one I boarded, as a true Nigerian, I charged the </w:t>
      </w:r>
      <w:r w:rsidR="00465AEA" w:rsidRPr="008B1465">
        <w:t>Chauffeur</w:t>
      </w:r>
      <w:r w:rsidRPr="008B1465">
        <w:t xml:space="preserve"> to move on, since no one was watching and there was no vehicle in sight</w:t>
      </w:r>
      <w:r w:rsidR="006314BE" w:rsidRPr="008B1465">
        <w:t xml:space="preserve">. </w:t>
      </w:r>
      <w:r w:rsidRPr="008B1465">
        <w:t>"This is Ghana" he retorted! This baffled me so much, that I vouched within me never to go against law and orders again.</w:t>
      </w:r>
      <w:r w:rsidR="001D11A6" w:rsidRPr="008B1465">
        <w:t xml:space="preserve"> </w:t>
      </w:r>
      <w:r w:rsidRPr="008B1465">
        <w:t xml:space="preserve">The experience I relayed above </w:t>
      </w:r>
      <w:r w:rsidR="009A59A1">
        <w:t>was</w:t>
      </w:r>
      <w:r w:rsidRPr="008B1465">
        <w:t xml:space="preserve"> in direct proportion with</w:t>
      </w:r>
      <w:r w:rsidR="003E7B58" w:rsidRPr="008B1465">
        <w:t xml:space="preserve"> </w:t>
      </w:r>
      <w:r w:rsidR="00C9785A" w:rsidRPr="008B1465">
        <w:t>f</w:t>
      </w:r>
      <w:r w:rsidR="003E7B58" w:rsidRPr="008B1465">
        <w:t>orensic accounting techniques and</w:t>
      </w:r>
      <w:r w:rsidR="00A33FC0" w:rsidRPr="008B1465">
        <w:t xml:space="preserve"> financial</w:t>
      </w:r>
      <w:r w:rsidR="006678FE" w:rsidRPr="008B1465">
        <w:t xml:space="preserve"> misconduct among</w:t>
      </w:r>
      <w:r w:rsidR="003E7B58" w:rsidRPr="008B1465">
        <w:t xml:space="preserve"> federal universit</w:t>
      </w:r>
      <w:r w:rsidR="006678FE" w:rsidRPr="008B1465">
        <w:t>ies</w:t>
      </w:r>
      <w:r w:rsidR="003E7B58" w:rsidRPr="008B1465">
        <w:t xml:space="preserve"> </w:t>
      </w:r>
      <w:r w:rsidR="005E08B1" w:rsidRPr="008B1465">
        <w:t>in Sou</w:t>
      </w:r>
      <w:r w:rsidR="001D3261" w:rsidRPr="008B1465">
        <w:t>thwest, Nigeria</w:t>
      </w:r>
      <w:r w:rsidRPr="008B1465">
        <w:t>.</w:t>
      </w:r>
      <w:r w:rsidR="006804F2" w:rsidRPr="008B1465">
        <w:t xml:space="preserve"> </w:t>
      </w:r>
      <w:r w:rsidRPr="008B1465">
        <w:t xml:space="preserve">This </w:t>
      </w:r>
      <w:r w:rsidR="009A59A1">
        <w:t>was</w:t>
      </w:r>
      <w:r w:rsidRPr="008B1465">
        <w:t xml:space="preserve"> because f</w:t>
      </w:r>
      <w:r w:rsidR="000857BC" w:rsidRPr="008B1465">
        <w:t>inancial malfeasance</w:t>
      </w:r>
      <w:r w:rsidRPr="008B1465">
        <w:t xml:space="preserve"> is a glorified form of moral decadence. Consequently, this becomes the bedrock of my interest to dig deep into the root cause of people's engagement in fraudulent activities and to seek out possible ways to nip these at the bud.</w:t>
      </w:r>
    </w:p>
    <w:p w14:paraId="7164637F" w14:textId="77777777" w:rsidR="00C857AA" w:rsidRPr="008B1465" w:rsidRDefault="00BA6D27" w:rsidP="007541CB">
      <w:pPr>
        <w:pStyle w:val="NormalWeb"/>
        <w:spacing w:line="360" w:lineRule="auto"/>
        <w:jc w:val="both"/>
        <w:rPr>
          <w:color w:val="000000" w:themeColor="text1"/>
        </w:rPr>
      </w:pPr>
      <w:r w:rsidRPr="008B1465">
        <w:t>This study is motivated by continuous increase in</w:t>
      </w:r>
      <w:r w:rsidR="009F0906" w:rsidRPr="008B1465">
        <w:t xml:space="preserve"> reported incidences of various forms of financial irregularities in the Nigerian university system, particularly in Southwest</w:t>
      </w:r>
      <w:r w:rsidR="00A86A92" w:rsidRPr="008B1465">
        <w:t>,</w:t>
      </w:r>
      <w:r w:rsidR="009F0906" w:rsidRPr="008B1465">
        <w:t xml:space="preserve"> Nigeria. This development has significantly impacted the growth of federal universities, in particular, and the national economy as a whole. </w:t>
      </w:r>
      <w:r w:rsidR="001C4AC9" w:rsidRPr="008B1465">
        <w:t xml:space="preserve">Although a number of </w:t>
      </w:r>
      <w:r w:rsidR="00E04246" w:rsidRPr="008B1465">
        <w:t>scholars</w:t>
      </w:r>
      <w:r w:rsidR="001C4AC9" w:rsidRPr="008B1465">
        <w:t xml:space="preserve"> have attempted to study this p</w:t>
      </w:r>
      <w:r w:rsidR="006078E0" w:rsidRPr="008B1465">
        <w:t>henomenon</w:t>
      </w:r>
      <w:r w:rsidR="001C4AC9" w:rsidRPr="008B1465">
        <w:t xml:space="preserve">, the previous studies have largely been focused on internal audit characteristics and effectiveness in the banking sector, stock exchange market, local government, and public health institutions, with reported conflicting results ranging from positive to negative and indifferent </w:t>
      </w:r>
      <w:r w:rsidR="00E773C3" w:rsidRPr="008B1465">
        <w:t>(</w:t>
      </w:r>
      <w:r w:rsidR="00E773C3" w:rsidRPr="008B1465">
        <w:rPr>
          <w:shd w:val="clear" w:color="auto" w:fill="FFFFFF"/>
        </w:rPr>
        <w:t xml:space="preserve">Akhor &amp; Oseghale, 2017; </w:t>
      </w:r>
      <w:r w:rsidR="00E773C3" w:rsidRPr="008B1465">
        <w:t>Oseni, 2021)</w:t>
      </w:r>
      <w:r w:rsidR="00E773C3" w:rsidRPr="008B1465">
        <w:rPr>
          <w:shd w:val="clear" w:color="auto" w:fill="FFFFFF"/>
        </w:rPr>
        <w:t>.</w:t>
      </w:r>
      <w:r w:rsidR="00C857AA" w:rsidRPr="008B1465">
        <w:t xml:space="preserve"> </w:t>
      </w:r>
      <w:r w:rsidR="00025A72" w:rsidRPr="008B1465">
        <w:rPr>
          <w:color w:val="000000" w:themeColor="text1"/>
        </w:rPr>
        <w:t>Research</w:t>
      </w:r>
      <w:r w:rsidR="00E773C3" w:rsidRPr="008B1465">
        <w:rPr>
          <w:color w:val="000000" w:themeColor="text1"/>
        </w:rPr>
        <w:t xml:space="preserve"> on the suitability of forensic accounting techniques to tackle financial misconduct among </w:t>
      </w:r>
      <w:r w:rsidR="004C7F34" w:rsidRPr="008B1465">
        <w:rPr>
          <w:color w:val="000000" w:themeColor="text1"/>
        </w:rPr>
        <w:t>F</w:t>
      </w:r>
      <w:r w:rsidR="00E773C3" w:rsidRPr="008B1465">
        <w:rPr>
          <w:color w:val="000000" w:themeColor="text1"/>
        </w:rPr>
        <w:t xml:space="preserve">ederal </w:t>
      </w:r>
      <w:r w:rsidR="004C7F34" w:rsidRPr="008B1465">
        <w:rPr>
          <w:color w:val="000000" w:themeColor="text1"/>
        </w:rPr>
        <w:t>U</w:t>
      </w:r>
      <w:r w:rsidR="00E773C3" w:rsidRPr="008B1465">
        <w:rPr>
          <w:color w:val="000000" w:themeColor="text1"/>
        </w:rPr>
        <w:t xml:space="preserve">niversities in Southwest Nigeria have not been properly </w:t>
      </w:r>
      <w:r w:rsidR="00025A72" w:rsidRPr="008B1465">
        <w:rPr>
          <w:color w:val="000000" w:themeColor="text1"/>
        </w:rPr>
        <w:t>addressed</w:t>
      </w:r>
      <w:r w:rsidR="00E773C3" w:rsidRPr="008B1465">
        <w:rPr>
          <w:color w:val="000000" w:themeColor="text1"/>
        </w:rPr>
        <w:t xml:space="preserve">. </w:t>
      </w:r>
    </w:p>
    <w:p w14:paraId="1DC46074" w14:textId="1069E3F2" w:rsidR="00003046" w:rsidRPr="008B1465" w:rsidRDefault="000C7D4B" w:rsidP="007541CB">
      <w:pPr>
        <w:pStyle w:val="NormalWeb"/>
        <w:spacing w:line="360" w:lineRule="auto"/>
        <w:jc w:val="both"/>
      </w:pPr>
      <w:r w:rsidRPr="008B1465">
        <w:rPr>
          <w:shd w:val="clear" w:color="auto" w:fill="FFFFFF"/>
        </w:rPr>
        <w:t>P</w:t>
      </w:r>
      <w:r w:rsidR="00003046" w:rsidRPr="008B1465">
        <w:rPr>
          <w:shd w:val="clear" w:color="auto" w:fill="FFFFFF"/>
        </w:rPr>
        <w:t>ast studies on forensic accounting at the Nigerian University had examined only</w:t>
      </w:r>
      <w:r w:rsidR="002535D7" w:rsidRPr="008B1465">
        <w:rPr>
          <w:shd w:val="clear" w:color="auto" w:fill="FFFFFF"/>
        </w:rPr>
        <w:t xml:space="preserve"> either one or</w:t>
      </w:r>
      <w:r w:rsidR="00003046" w:rsidRPr="008B1465">
        <w:rPr>
          <w:shd w:val="clear" w:color="auto" w:fill="FFFFFF"/>
        </w:rPr>
        <w:t xml:space="preserve"> two proxies in their investigations, limiting the reliability of the findings. Thus, this study consider</w:t>
      </w:r>
      <w:r w:rsidR="000D6655" w:rsidRPr="008B1465">
        <w:rPr>
          <w:shd w:val="clear" w:color="auto" w:fill="FFFFFF"/>
        </w:rPr>
        <w:t>ed</w:t>
      </w:r>
      <w:r w:rsidR="00003046" w:rsidRPr="008B1465">
        <w:rPr>
          <w:shd w:val="clear" w:color="auto" w:fill="FFFFFF"/>
        </w:rPr>
        <w:t xml:space="preserve"> four proxies, including "Investigation of Fraud" (IF), "Litigation Services" (LS), "Surprise Cash Count Practices" (SCCP), and "Accounting and Digital Environment" (ADE), which are adjudged to be a veritable approach in fraud detection and control, to be able to draw a holistic conclusion on how forensic accounting techniques can tackle financial misconduct (Akinbowale, Klingelhöfer &amp; Zerihun, 2020).</w:t>
      </w:r>
      <w:r w:rsidR="00003046" w:rsidRPr="008B1465">
        <w:t xml:space="preserve"> </w:t>
      </w:r>
    </w:p>
    <w:p w14:paraId="11B4FB50" w14:textId="669C0489" w:rsidR="00336CD7" w:rsidRPr="008B1465" w:rsidRDefault="0089051C" w:rsidP="007541CB">
      <w:pPr>
        <w:pStyle w:val="NormalWeb"/>
        <w:spacing w:line="360" w:lineRule="auto"/>
        <w:jc w:val="both"/>
      </w:pPr>
      <w:r w:rsidRPr="008B1465">
        <w:t xml:space="preserve">This study </w:t>
      </w:r>
      <w:r w:rsidR="00F31410" w:rsidRPr="008B1465">
        <w:t>offer</w:t>
      </w:r>
      <w:r w:rsidR="000C54FC" w:rsidRPr="008B1465">
        <w:t>ed</w:t>
      </w:r>
      <w:r w:rsidR="00F31410" w:rsidRPr="008B1465">
        <w:t xml:space="preserve"> empirical proof o</w:t>
      </w:r>
      <w:r w:rsidR="00CF4A2B" w:rsidRPr="008B1465">
        <w:t>f</w:t>
      </w:r>
      <w:r w:rsidR="00F31410" w:rsidRPr="008B1465">
        <w:t xml:space="preserve"> the use of forensic accounting methods and financial </w:t>
      </w:r>
      <w:r w:rsidR="00315C0C" w:rsidRPr="008B1465">
        <w:t>misconduct</w:t>
      </w:r>
      <w:r w:rsidR="00F31410" w:rsidRPr="008B1465">
        <w:t xml:space="preserve"> across Federal Universities in Southwest</w:t>
      </w:r>
      <w:r w:rsidR="004649FE" w:rsidRPr="008B1465">
        <w:t>,</w:t>
      </w:r>
      <w:r w:rsidR="00F31410" w:rsidRPr="008B1465">
        <w:t xml:space="preserve"> Nigeria for the first time. The results of this study </w:t>
      </w:r>
      <w:r w:rsidR="000C54FC" w:rsidRPr="008B1465">
        <w:t>gave</w:t>
      </w:r>
      <w:r w:rsidR="00F31410" w:rsidRPr="008B1465">
        <w:t xml:space="preserve"> policymakers, management, and academia the push need</w:t>
      </w:r>
      <w:r w:rsidR="000C54FC" w:rsidRPr="008B1465">
        <w:t>ed</w:t>
      </w:r>
      <w:r w:rsidR="00F31410" w:rsidRPr="008B1465">
        <w:t xml:space="preserve"> to run Nigeria's university system successfully</w:t>
      </w:r>
      <w:r w:rsidR="00E773C3" w:rsidRPr="008B1465">
        <w:t>. It contribute</w:t>
      </w:r>
      <w:r w:rsidR="001D2E5C" w:rsidRPr="008B1465">
        <w:t>d</w:t>
      </w:r>
      <w:r w:rsidR="00E773C3" w:rsidRPr="008B1465">
        <w:t xml:space="preserve"> to the body of reference for future researchers in the area of assessing the influence of forensic accounting techniques on fund misappropriation in the university system. This study offer</w:t>
      </w:r>
      <w:r w:rsidR="001D2E5C" w:rsidRPr="008B1465">
        <w:t>ed</w:t>
      </w:r>
      <w:r w:rsidR="00E773C3" w:rsidRPr="008B1465">
        <w:t xml:space="preserve"> useful information to the university’s management regarding the identification of the relationship that exists between forensic accounting techniques and value-for-money practices in order to improve the effectiveness of the procurement unit of the university. </w:t>
      </w:r>
    </w:p>
    <w:p w14:paraId="6A1E00F3" w14:textId="45B8F52B" w:rsidR="00A2318C" w:rsidRPr="008B1465" w:rsidRDefault="00582657" w:rsidP="007541CB">
      <w:pPr>
        <w:pStyle w:val="NormalWeb"/>
        <w:spacing w:line="360" w:lineRule="auto"/>
        <w:jc w:val="both"/>
      </w:pPr>
      <w:r w:rsidRPr="008B1465">
        <w:t>Several</w:t>
      </w:r>
      <w:r w:rsidR="00A2318C" w:rsidRPr="008B1465">
        <w:t xml:space="preserve"> studies have been carried out on forensic accounting techniques in the manufacturing industries such as those of Okoye and Ndah (2019); Osunwole, Adeyemi and Dunsin (2020) who investigated forensic accounting practices and fraud prevention in Nigerian manufacturing companies.  Osunwole, Adeyemi and Dunsin (2020) investigated effect of forensic accounting techniques and fraud prevention in manufacturing companies in Nigeria. Also, Bassey (2018) evaluated forensic accounting and how it has influenced fraud management in microfinance banks in Cross River State. </w:t>
      </w:r>
      <w:r w:rsidR="000E70AC" w:rsidRPr="008B1465">
        <w:t xml:space="preserve"> However,</w:t>
      </w:r>
      <w:r w:rsidR="00A2318C" w:rsidRPr="008B1465">
        <w:t xml:space="preserve"> Adesina (2020) investigated the significance of using forensic audit to control financial frauds that threaten the stability of Deposit Money Banks (DMBs) in Nigeria. In addition, Dada and Jimoh (2020) assessed forensic accounting practices and procurement practices in Federal Universities in Nigeria. </w:t>
      </w:r>
      <w:r w:rsidR="00C40963" w:rsidRPr="008B1465">
        <w:t>Meanwhile,</w:t>
      </w:r>
      <w:r w:rsidR="00A2318C" w:rsidRPr="008B1465">
        <w:t xml:space="preserve"> Eze (2005), examined forensic accounting influence on value for money audit in the public sector. However, there is relatively few studies on forensic accounting techniques and financial misconduct among Federal Universities in Nigeria. Hence, this study examine</w:t>
      </w:r>
      <w:r w:rsidR="00360046" w:rsidRPr="008B1465">
        <w:t>d the</w:t>
      </w:r>
      <w:r w:rsidR="00A2318C" w:rsidRPr="008B1465">
        <w:t xml:space="preserve"> </w:t>
      </w:r>
      <w:r w:rsidR="00D07F69">
        <w:t xml:space="preserve">effect of </w:t>
      </w:r>
      <w:r w:rsidR="00A2318C" w:rsidRPr="008B1465">
        <w:t xml:space="preserve">forensic accounting techniques </w:t>
      </w:r>
      <w:r w:rsidR="0087601B">
        <w:t>on</w:t>
      </w:r>
      <w:r w:rsidR="00A2318C" w:rsidRPr="008B1465">
        <w:t xml:space="preserve"> financial misconduct among Federal Universities in Southwest, Nigeria. Therefore, this </w:t>
      </w:r>
      <w:r w:rsidR="00D02CCF" w:rsidRPr="008B1465">
        <w:t>study provided</w:t>
      </w:r>
      <w:r w:rsidR="00360046" w:rsidRPr="008B1465">
        <w:t xml:space="preserve"> </w:t>
      </w:r>
      <w:r w:rsidR="00A2318C" w:rsidRPr="008B1465">
        <w:t>additional literature on forensic accounting techniques and financial misconduct</w:t>
      </w:r>
      <w:r w:rsidR="00360046" w:rsidRPr="008B1465">
        <w:t>.</w:t>
      </w:r>
    </w:p>
    <w:p w14:paraId="6719F63D" w14:textId="2A50CDBB" w:rsidR="001616E5" w:rsidRPr="008B1465" w:rsidRDefault="003F05E3" w:rsidP="007541CB">
      <w:pPr>
        <w:pStyle w:val="Heading2"/>
        <w:spacing w:line="360" w:lineRule="auto"/>
        <w:rPr>
          <w:rFonts w:cs="Times New Roman"/>
          <w:sz w:val="24"/>
          <w:szCs w:val="24"/>
        </w:rPr>
      </w:pPr>
      <w:bookmarkStart w:id="30" w:name="_Toc145951077"/>
      <w:r w:rsidRPr="008B1465">
        <w:rPr>
          <w:rFonts w:cs="Times New Roman"/>
          <w:sz w:val="24"/>
          <w:szCs w:val="24"/>
        </w:rPr>
        <w:t>Significance of the Study</w:t>
      </w:r>
      <w:bookmarkEnd w:id="30"/>
    </w:p>
    <w:p w14:paraId="6A087B9E" w14:textId="48863505" w:rsidR="001616E5" w:rsidRPr="008B1465" w:rsidRDefault="00933529" w:rsidP="005E47A0">
      <w:pPr>
        <w:pStyle w:val="NormalWeb"/>
        <w:spacing w:line="360" w:lineRule="auto"/>
        <w:jc w:val="both"/>
      </w:pPr>
      <w:r w:rsidRPr="008B1465">
        <w:t xml:space="preserve">The study </w:t>
      </w:r>
      <w:r w:rsidR="006841A4" w:rsidRPr="008B1465">
        <w:t>is</w:t>
      </w:r>
      <w:r w:rsidRPr="008B1465">
        <w:t xml:space="preserve"> of immense benefit not only to future researchers for research work by way </w:t>
      </w:r>
      <w:r w:rsidR="00EA0BE2" w:rsidRPr="008B1465">
        <w:t>of literature</w:t>
      </w:r>
      <w:r w:rsidRPr="008B1465">
        <w:t xml:space="preserve"> review but also to society because government properties and funds belong to all and government officials </w:t>
      </w:r>
      <w:r w:rsidR="006841A4" w:rsidRPr="008B1465">
        <w:t xml:space="preserve">are </w:t>
      </w:r>
      <w:r w:rsidRPr="008B1465">
        <w:t>voted or employed into power or office by the citizens to act in the public interest.</w:t>
      </w:r>
      <w:r w:rsidR="005E47A0" w:rsidRPr="008B1465">
        <w:t xml:space="preserve"> </w:t>
      </w:r>
      <w:r w:rsidR="00C11720" w:rsidRPr="008B1465">
        <w:t>Therefore, those at federal universities need to give an account of the resources</w:t>
      </w:r>
      <w:r w:rsidR="00D710E5" w:rsidRPr="008B1465">
        <w:t xml:space="preserve"> entrusted to them with transparenc</w:t>
      </w:r>
      <w:r w:rsidR="00C414E5">
        <w:t>y</w:t>
      </w:r>
      <w:r w:rsidR="00D02B2D">
        <w:t xml:space="preserve"> and accountability</w:t>
      </w:r>
      <w:r w:rsidR="00C11720" w:rsidRPr="008B1465">
        <w:t>. As a result, the current study assist</w:t>
      </w:r>
      <w:r w:rsidR="00D710E5" w:rsidRPr="008B1465">
        <w:t xml:space="preserve">ed </w:t>
      </w:r>
      <w:r w:rsidR="00C11720" w:rsidRPr="008B1465">
        <w:t>the general public in verifying an auditor's report and educating the general public on what to expect from federal universit</w:t>
      </w:r>
      <w:r w:rsidR="000451DC">
        <w:t>ies</w:t>
      </w:r>
      <w:r w:rsidR="00C11720" w:rsidRPr="008B1465">
        <w:t xml:space="preserve"> </w:t>
      </w:r>
      <w:r w:rsidR="000451DC">
        <w:t>B</w:t>
      </w:r>
      <w:r w:rsidR="00C11720" w:rsidRPr="008B1465">
        <w:t xml:space="preserve">ursaries, </w:t>
      </w:r>
      <w:r w:rsidR="000451DC">
        <w:t>I</w:t>
      </w:r>
      <w:r w:rsidR="00C11720" w:rsidRPr="008B1465">
        <w:t xml:space="preserve">nternal audit, and </w:t>
      </w:r>
      <w:r w:rsidR="000451DC">
        <w:t>P</w:t>
      </w:r>
      <w:r w:rsidR="00C11720" w:rsidRPr="008B1465">
        <w:t xml:space="preserve">rocurement </w:t>
      </w:r>
      <w:r w:rsidR="00382D98" w:rsidRPr="008B1465">
        <w:t>departments/</w:t>
      </w:r>
      <w:r w:rsidR="00C11720" w:rsidRPr="008B1465">
        <w:t>units in the Southwest Corridor and how to hold them accountable.</w:t>
      </w:r>
    </w:p>
    <w:p w14:paraId="627B4718" w14:textId="1DDAFCCD" w:rsidR="001616E5" w:rsidRPr="008B1465" w:rsidRDefault="003F05E3" w:rsidP="007541CB">
      <w:pPr>
        <w:spacing w:after="0" w:line="360" w:lineRule="auto"/>
        <w:jc w:val="both"/>
        <w:rPr>
          <w:rFonts w:ascii="Times New Roman" w:hAnsi="Times New Roman"/>
          <w:sz w:val="24"/>
          <w:szCs w:val="24"/>
        </w:rPr>
      </w:pPr>
      <w:r w:rsidRPr="008B1465">
        <w:rPr>
          <w:rFonts w:ascii="Times New Roman" w:hAnsi="Times New Roman"/>
          <w:sz w:val="24"/>
          <w:szCs w:val="24"/>
        </w:rPr>
        <w:t xml:space="preserve">The foreign </w:t>
      </w:r>
      <w:r w:rsidR="00316D84">
        <w:rPr>
          <w:rFonts w:ascii="Times New Roman" w:hAnsi="Times New Roman"/>
          <w:sz w:val="24"/>
          <w:szCs w:val="24"/>
        </w:rPr>
        <w:t>investor</w:t>
      </w:r>
      <w:r w:rsidR="00F557E4">
        <w:rPr>
          <w:rFonts w:ascii="Times New Roman" w:hAnsi="Times New Roman"/>
          <w:sz w:val="24"/>
          <w:szCs w:val="24"/>
        </w:rPr>
        <w:t>s</w:t>
      </w:r>
      <w:r w:rsidRPr="008B1465">
        <w:rPr>
          <w:rFonts w:ascii="Times New Roman" w:hAnsi="Times New Roman"/>
          <w:sz w:val="24"/>
          <w:szCs w:val="24"/>
        </w:rPr>
        <w:t xml:space="preserve"> would not be left</w:t>
      </w:r>
      <w:r w:rsidR="0010660C" w:rsidRPr="008B1465">
        <w:rPr>
          <w:rFonts w:ascii="Times New Roman" w:hAnsi="Times New Roman"/>
          <w:sz w:val="24"/>
          <w:szCs w:val="24"/>
        </w:rPr>
        <w:t xml:space="preserve"> among the beneficiaries of this study</w:t>
      </w:r>
      <w:r w:rsidRPr="008B1465">
        <w:rPr>
          <w:rFonts w:ascii="Times New Roman" w:hAnsi="Times New Roman"/>
          <w:sz w:val="24"/>
          <w:szCs w:val="24"/>
        </w:rPr>
        <w:t>. The foreign communities will appreciate the implementation of forensic accounting techniques in Nigeria federal universities as it will give confidence to grants, Foreign Direct Investment (FDI) due to the fact that measures are put in place to curb fraudulent actions. The practices which started in developed countries have supported the transparency and accountability of property and fund management.</w:t>
      </w:r>
    </w:p>
    <w:p w14:paraId="2E6356BC" w14:textId="493FDAAF" w:rsidR="00B06F99" w:rsidRPr="008B1465" w:rsidRDefault="00B06F99" w:rsidP="00B06F99">
      <w:pPr>
        <w:pStyle w:val="NormalWeb"/>
        <w:spacing w:line="360" w:lineRule="auto"/>
        <w:jc w:val="both"/>
      </w:pPr>
      <w:r w:rsidRPr="008B1465">
        <w:t>Employees of the government would also benefit from this study. It</w:t>
      </w:r>
      <w:r w:rsidR="00C117B3">
        <w:t xml:space="preserve"> would</w:t>
      </w:r>
      <w:r w:rsidRPr="008B1465">
        <w:t xml:space="preserve"> make them more accountable and also enlightens them about forensic accounting practice</w:t>
      </w:r>
      <w:r w:rsidR="00DC2D6F" w:rsidRPr="008B1465">
        <w:t>s</w:t>
      </w:r>
      <w:r w:rsidRPr="008B1465">
        <w:t xml:space="preserve">. If corruption is not checked in due time in the federal universities, public funds will continue to be diverted to private funds, and to check the embezzlement of public funds by public office holders, a thorough review of </w:t>
      </w:r>
      <w:r w:rsidR="00196368">
        <w:t>B</w:t>
      </w:r>
      <w:r w:rsidRPr="008B1465">
        <w:t xml:space="preserve">ursary departments, </w:t>
      </w:r>
      <w:r w:rsidR="00196368">
        <w:t>I</w:t>
      </w:r>
      <w:r w:rsidRPr="008B1465">
        <w:t xml:space="preserve">nternal audit units, and </w:t>
      </w:r>
      <w:r w:rsidR="00196368">
        <w:t>P</w:t>
      </w:r>
      <w:r w:rsidRPr="008B1465">
        <w:t xml:space="preserve">rocurement units will need to be done. Forensic accounting techniques should be used </w:t>
      </w:r>
      <w:r w:rsidR="00BD0C87" w:rsidRPr="008B1465">
        <w:t>at</w:t>
      </w:r>
      <w:r w:rsidRPr="008B1465">
        <w:t xml:space="preserve"> federal universities for th</w:t>
      </w:r>
      <w:r w:rsidR="00196368">
        <w:t>i</w:t>
      </w:r>
      <w:r w:rsidRPr="008B1465">
        <w:t>s reason. </w:t>
      </w:r>
    </w:p>
    <w:p w14:paraId="34033D2B" w14:textId="0B305BE3" w:rsidR="0089051C" w:rsidRPr="008B1465" w:rsidRDefault="00C8257F" w:rsidP="00B06F99">
      <w:pPr>
        <w:pStyle w:val="NormalWeb"/>
        <w:spacing w:line="360" w:lineRule="auto"/>
        <w:jc w:val="both"/>
      </w:pPr>
      <w:r w:rsidRPr="008B1465">
        <w:t xml:space="preserve">Finally, this study </w:t>
      </w:r>
      <w:r w:rsidR="0089051C" w:rsidRPr="008B1465">
        <w:t>support</w:t>
      </w:r>
      <w:r w:rsidR="00DD1189" w:rsidRPr="008B1465">
        <w:t xml:space="preserve">ed </w:t>
      </w:r>
      <w:r w:rsidR="0089051C" w:rsidRPr="008B1465">
        <w:t>the management in determining the impact of forensic accounting techniques on creative accounting practices. In the end, the study will help regulators like the National University Commission (NUC), the Committee of Heads of Internal Audit Departments or Units in Nigerian Universities (CHIADUNU), the Institute of Chartered Accountants of Nigeria (ICAN), the Association of National Accountants of Nigeria (ANAN), and other relevant stakeholders like the Accountant General and Auditor General for the Federal and State government</w:t>
      </w:r>
      <w:r w:rsidR="005C5620" w:rsidRPr="008B1465">
        <w:t>s make policies and decisions. </w:t>
      </w:r>
    </w:p>
    <w:p w14:paraId="6CEE2430" w14:textId="30248FB2" w:rsidR="001616E5" w:rsidRPr="008B1465" w:rsidRDefault="003F05E3" w:rsidP="007541CB">
      <w:pPr>
        <w:pStyle w:val="Heading2"/>
        <w:spacing w:line="360" w:lineRule="auto"/>
        <w:rPr>
          <w:rFonts w:cs="Times New Roman"/>
          <w:sz w:val="24"/>
          <w:szCs w:val="24"/>
        </w:rPr>
      </w:pPr>
      <w:bookmarkStart w:id="31" w:name="_Toc145951078"/>
      <w:r w:rsidRPr="008B1465">
        <w:rPr>
          <w:rFonts w:cs="Times New Roman"/>
          <w:sz w:val="24"/>
          <w:szCs w:val="24"/>
        </w:rPr>
        <w:t>Definition of Key Terms</w:t>
      </w:r>
      <w:bookmarkEnd w:id="31"/>
    </w:p>
    <w:p w14:paraId="06EF2859" w14:textId="77777777" w:rsidR="0007694E" w:rsidRPr="008B1465" w:rsidRDefault="003F05E3" w:rsidP="0007694E">
      <w:pPr>
        <w:pStyle w:val="NormalWeb"/>
        <w:spacing w:line="360" w:lineRule="auto"/>
        <w:jc w:val="both"/>
      </w:pPr>
      <w:r w:rsidRPr="00564949">
        <w:rPr>
          <w:rFonts w:eastAsia="Calibri"/>
          <w:b/>
        </w:rPr>
        <w:t>Fund Misappropriation (FM):</w:t>
      </w:r>
      <w:r w:rsidRPr="008B1465">
        <w:rPr>
          <w:rFonts w:eastAsia="Calibri"/>
          <w:b/>
        </w:rPr>
        <w:t xml:space="preserve"> </w:t>
      </w:r>
      <w:r w:rsidR="0007694E" w:rsidRPr="008B1465">
        <w:t>Misappropriation is described in the law as "the unauthorized, improper, or unlawful use of funds or other property for purposes other than those intended." Misappropriation is often used to describe situations where the person who did wrong has to take on more responsibility, like when a public official does something wrong. </w:t>
      </w:r>
    </w:p>
    <w:p w14:paraId="1FEB88D2" w14:textId="77777777" w:rsidR="001616E5" w:rsidRPr="008B1465" w:rsidRDefault="003F05E3" w:rsidP="007541CB">
      <w:pPr>
        <w:spacing w:after="0" w:line="360" w:lineRule="auto"/>
        <w:jc w:val="both"/>
        <w:rPr>
          <w:rFonts w:ascii="Times New Roman" w:eastAsia="Calibri" w:hAnsi="Times New Roman"/>
          <w:b/>
          <w:sz w:val="24"/>
          <w:szCs w:val="24"/>
        </w:rPr>
      </w:pPr>
      <w:r w:rsidRPr="00564949">
        <w:rPr>
          <w:rFonts w:ascii="Times New Roman" w:eastAsia="Calibri" w:hAnsi="Times New Roman"/>
          <w:b/>
          <w:sz w:val="24"/>
          <w:szCs w:val="24"/>
        </w:rPr>
        <w:t>Value for Money</w:t>
      </w:r>
      <w:r w:rsidR="00833E08" w:rsidRPr="00564949">
        <w:rPr>
          <w:rFonts w:ascii="Times New Roman" w:eastAsia="Calibri" w:hAnsi="Times New Roman"/>
          <w:b/>
          <w:sz w:val="24"/>
          <w:szCs w:val="24"/>
        </w:rPr>
        <w:t xml:space="preserve"> Practices</w:t>
      </w:r>
      <w:r w:rsidRPr="00564949">
        <w:rPr>
          <w:rFonts w:ascii="Times New Roman" w:eastAsia="Calibri" w:hAnsi="Times New Roman"/>
          <w:b/>
          <w:sz w:val="24"/>
          <w:szCs w:val="24"/>
        </w:rPr>
        <w:t xml:space="preserve"> (VM</w:t>
      </w:r>
      <w:r w:rsidR="00833E08" w:rsidRPr="00564949">
        <w:rPr>
          <w:rFonts w:ascii="Times New Roman" w:eastAsia="Calibri" w:hAnsi="Times New Roman"/>
          <w:b/>
          <w:sz w:val="24"/>
          <w:szCs w:val="24"/>
        </w:rPr>
        <w:t>P</w:t>
      </w:r>
      <w:r w:rsidRPr="00564949">
        <w:rPr>
          <w:rFonts w:ascii="Times New Roman" w:eastAsia="Calibri" w:hAnsi="Times New Roman"/>
          <w:b/>
          <w:sz w:val="24"/>
          <w:szCs w:val="24"/>
        </w:rPr>
        <w:t>):</w:t>
      </w:r>
      <w:r w:rsidRPr="008B1465">
        <w:rPr>
          <w:rFonts w:ascii="Times New Roman" w:eastAsia="Calibri" w:hAnsi="Times New Roman"/>
          <w:b/>
          <w:sz w:val="24"/>
          <w:szCs w:val="24"/>
        </w:rPr>
        <w:t xml:space="preserve"> </w:t>
      </w:r>
      <w:r w:rsidRPr="008B1465">
        <w:rPr>
          <w:rFonts w:ascii="Times New Roman" w:eastAsia="Calibri" w:hAnsi="Times New Roman"/>
          <w:bCs/>
          <w:sz w:val="24"/>
          <w:szCs w:val="24"/>
        </w:rPr>
        <w:t>A Value for Money Audit is a financial analysis project that seeks to assess whether resources (financial, human, or physical) are being used in the most cost-effective, efficient, and effective manner possible. A procuring organization must justify a procurement outcome against the value for money test.</w:t>
      </w:r>
    </w:p>
    <w:p w14:paraId="29EC9364" w14:textId="62FEA141" w:rsidR="001616E5" w:rsidRPr="008B1465" w:rsidRDefault="003F05E3" w:rsidP="007541CB">
      <w:pPr>
        <w:spacing w:after="0" w:line="360" w:lineRule="auto"/>
        <w:jc w:val="both"/>
        <w:rPr>
          <w:rFonts w:ascii="Times New Roman" w:eastAsia="Calibri" w:hAnsi="Times New Roman"/>
          <w:b/>
          <w:sz w:val="24"/>
          <w:szCs w:val="24"/>
        </w:rPr>
      </w:pPr>
      <w:r w:rsidRPr="00564949">
        <w:rPr>
          <w:rFonts w:ascii="Times New Roman" w:eastAsia="Calibri" w:hAnsi="Times New Roman"/>
          <w:b/>
          <w:sz w:val="24"/>
          <w:szCs w:val="24"/>
        </w:rPr>
        <w:t>Creative Accounting Practices (CAP):</w:t>
      </w:r>
      <w:r w:rsidRPr="008B1465">
        <w:rPr>
          <w:rFonts w:ascii="Times New Roman" w:eastAsia="Calibri" w:hAnsi="Times New Roman"/>
          <w:b/>
          <w:sz w:val="24"/>
          <w:szCs w:val="24"/>
        </w:rPr>
        <w:t xml:space="preserve"> </w:t>
      </w:r>
      <w:r w:rsidRPr="008B1465">
        <w:rPr>
          <w:rFonts w:ascii="Times New Roman" w:eastAsia="Calibri" w:hAnsi="Times New Roman"/>
          <w:bCs/>
          <w:sz w:val="24"/>
          <w:szCs w:val="24"/>
        </w:rPr>
        <w:t>Accounting procedures that satisfy needed rules and regulations but stray from what those standards attempt to accomplish are referred to as creative a</w:t>
      </w:r>
      <w:r w:rsidR="000937A9" w:rsidRPr="008B1465">
        <w:rPr>
          <w:rFonts w:ascii="Times New Roman" w:eastAsia="Calibri" w:hAnsi="Times New Roman"/>
          <w:bCs/>
          <w:sz w:val="24"/>
          <w:szCs w:val="24"/>
        </w:rPr>
        <w:t>ccounting. Creative accounting m</w:t>
      </w:r>
      <w:r w:rsidRPr="008B1465">
        <w:rPr>
          <w:rFonts w:ascii="Times New Roman" w:eastAsia="Calibri" w:hAnsi="Times New Roman"/>
          <w:bCs/>
          <w:sz w:val="24"/>
          <w:szCs w:val="24"/>
        </w:rPr>
        <w:t>akes use of gaps in accounting regulations to falsely create a better image of the organization.</w:t>
      </w:r>
    </w:p>
    <w:p w14:paraId="73DF3885" w14:textId="77777777" w:rsidR="001616E5" w:rsidRPr="008B1465" w:rsidRDefault="003F05E3" w:rsidP="007541CB">
      <w:pPr>
        <w:spacing w:after="0" w:line="360" w:lineRule="auto"/>
        <w:jc w:val="both"/>
        <w:rPr>
          <w:rFonts w:ascii="Times New Roman" w:eastAsia="Calibri" w:hAnsi="Times New Roman"/>
          <w:bCs/>
          <w:sz w:val="24"/>
          <w:szCs w:val="24"/>
        </w:rPr>
      </w:pPr>
      <w:r w:rsidRPr="00564949">
        <w:rPr>
          <w:rFonts w:ascii="Times New Roman" w:eastAsia="Calibri" w:hAnsi="Times New Roman"/>
          <w:b/>
          <w:sz w:val="24"/>
          <w:szCs w:val="24"/>
        </w:rPr>
        <w:t>Procurement Practices (PP):</w:t>
      </w:r>
      <w:r w:rsidRPr="008B1465">
        <w:rPr>
          <w:rFonts w:ascii="Times New Roman" w:eastAsia="Calibri" w:hAnsi="Times New Roman"/>
          <w:b/>
          <w:sz w:val="24"/>
          <w:szCs w:val="24"/>
        </w:rPr>
        <w:t xml:space="preserve"> </w:t>
      </w:r>
      <w:r w:rsidRPr="008B1465">
        <w:rPr>
          <w:rFonts w:ascii="Times New Roman" w:eastAsia="Calibri" w:hAnsi="Times New Roman"/>
          <w:bCs/>
          <w:sz w:val="24"/>
          <w:szCs w:val="24"/>
        </w:rPr>
        <w:t>Procurement encompasses all activities involved in getting the goods and services required to support a company's everyday operations, including sourcing, negotiating terms, purchasing items, receiving and inspecting goods as needed, and keeping records of all phases in the process.</w:t>
      </w:r>
    </w:p>
    <w:p w14:paraId="5588344F" w14:textId="77777777" w:rsidR="001616E5" w:rsidRPr="008B1465" w:rsidRDefault="003F05E3" w:rsidP="007541CB">
      <w:pPr>
        <w:spacing w:after="0" w:line="360" w:lineRule="auto"/>
        <w:jc w:val="both"/>
        <w:rPr>
          <w:rFonts w:ascii="Times New Roman" w:eastAsia="Calibri" w:hAnsi="Times New Roman"/>
          <w:sz w:val="24"/>
          <w:szCs w:val="24"/>
        </w:rPr>
      </w:pPr>
      <w:r w:rsidRPr="00564949">
        <w:rPr>
          <w:rFonts w:ascii="Times New Roman" w:eastAsia="Calibri" w:hAnsi="Times New Roman"/>
          <w:b/>
          <w:sz w:val="24"/>
          <w:szCs w:val="24"/>
        </w:rPr>
        <w:t xml:space="preserve">Forensic Accounting Techniques (FAT): </w:t>
      </w:r>
      <w:r w:rsidRPr="008B1465">
        <w:rPr>
          <w:rFonts w:ascii="Times New Roman" w:eastAsia="Calibri" w:hAnsi="Times New Roman"/>
          <w:sz w:val="24"/>
          <w:szCs w:val="24"/>
        </w:rPr>
        <w:t>Forensic accounting is a sort of accounting that examines financial data for possible evidence of criminal activity. Forensic accountants utilize their accounting, auditing, and investigation abilities to determine if a person or business has engaged in financial malfeasance, such as embezzlement or fraud.</w:t>
      </w:r>
    </w:p>
    <w:p w14:paraId="654BAD6A" w14:textId="77777777" w:rsidR="001616E5" w:rsidRPr="008B1465" w:rsidRDefault="003F05E3" w:rsidP="007541CB">
      <w:pPr>
        <w:spacing w:after="0" w:line="360" w:lineRule="auto"/>
        <w:jc w:val="both"/>
        <w:rPr>
          <w:rFonts w:ascii="Times New Roman" w:eastAsia="Calibri" w:hAnsi="Times New Roman"/>
          <w:sz w:val="24"/>
          <w:szCs w:val="24"/>
        </w:rPr>
      </w:pPr>
      <w:r w:rsidRPr="00564949">
        <w:rPr>
          <w:rFonts w:ascii="Times New Roman" w:eastAsia="Calibri" w:hAnsi="Times New Roman"/>
          <w:b/>
          <w:bCs/>
          <w:sz w:val="24"/>
          <w:szCs w:val="24"/>
        </w:rPr>
        <w:t>Surprise Cash Count Practices (SCCP):</w:t>
      </w:r>
      <w:r w:rsidRPr="008B1465">
        <w:rPr>
          <w:rFonts w:ascii="Times New Roman" w:eastAsia="Calibri" w:hAnsi="Times New Roman"/>
          <w:b/>
          <w:bCs/>
          <w:sz w:val="24"/>
          <w:szCs w:val="24"/>
        </w:rPr>
        <w:t xml:space="preserve"> </w:t>
      </w:r>
      <w:r w:rsidRPr="008B1465">
        <w:rPr>
          <w:rFonts w:ascii="Times New Roman" w:eastAsia="Calibri" w:hAnsi="Times New Roman"/>
          <w:sz w:val="24"/>
          <w:szCs w:val="24"/>
        </w:rPr>
        <w:t>The routine cash audit is a vital tool, but the random surprise audit adds enough unpredictability to help keep sticky fingers out of the till and petty cash even more. This included unusual audit procedures.</w:t>
      </w:r>
    </w:p>
    <w:p w14:paraId="234898DF" w14:textId="77777777" w:rsidR="001616E5" w:rsidRPr="008B1465" w:rsidRDefault="003F05E3" w:rsidP="007541CB">
      <w:pPr>
        <w:spacing w:after="0" w:line="360" w:lineRule="auto"/>
        <w:jc w:val="both"/>
        <w:rPr>
          <w:rFonts w:ascii="Times New Roman" w:hAnsi="Times New Roman"/>
          <w:sz w:val="24"/>
          <w:szCs w:val="24"/>
          <w:shd w:val="clear" w:color="auto" w:fill="FFFFFF"/>
        </w:rPr>
      </w:pPr>
      <w:r w:rsidRPr="005F1A67">
        <w:rPr>
          <w:rFonts w:ascii="Times New Roman" w:hAnsi="Times New Roman"/>
          <w:b/>
          <w:bCs/>
          <w:sz w:val="24"/>
          <w:szCs w:val="24"/>
          <w:shd w:val="clear" w:color="auto" w:fill="FFFFFF"/>
        </w:rPr>
        <w:t>Digital Environment:</w:t>
      </w:r>
      <w:r w:rsidRPr="008B1465">
        <w:rPr>
          <w:rFonts w:ascii="Times New Roman" w:hAnsi="Times New Roman"/>
          <w:b/>
          <w:bCs/>
          <w:sz w:val="24"/>
          <w:szCs w:val="24"/>
          <w:shd w:val="clear" w:color="auto" w:fill="FFFFFF"/>
        </w:rPr>
        <w:t xml:space="preserve"> </w:t>
      </w:r>
      <w:r w:rsidRPr="008B1465">
        <w:rPr>
          <w:rFonts w:ascii="Times New Roman" w:hAnsi="Times New Roman"/>
          <w:sz w:val="24"/>
          <w:szCs w:val="24"/>
          <w:shd w:val="clear" w:color="auto" w:fill="FFFFFF"/>
        </w:rPr>
        <w:t>A digital environment is a communications environment in which digital devices communicate and manage content and activities. The concept is built on integrated and implemented digital electronics systems for a worldwide community. Websites, cloud servers, search engines, social media outlets, mobile apps, audio and video, and other web-based services are common components of a digital world.</w:t>
      </w:r>
    </w:p>
    <w:p w14:paraId="331D62ED" w14:textId="77777777" w:rsidR="001616E5" w:rsidRPr="008B1465" w:rsidRDefault="003F05E3" w:rsidP="007541CB">
      <w:pPr>
        <w:spacing w:after="0" w:line="360" w:lineRule="auto"/>
        <w:jc w:val="both"/>
        <w:rPr>
          <w:rFonts w:ascii="Times New Roman" w:eastAsia="Calibri" w:hAnsi="Times New Roman"/>
          <w:sz w:val="24"/>
          <w:szCs w:val="24"/>
        </w:rPr>
      </w:pPr>
      <w:r w:rsidRPr="005F1A67">
        <w:rPr>
          <w:rFonts w:ascii="Times New Roman" w:eastAsia="Calibri" w:hAnsi="Times New Roman"/>
          <w:b/>
          <w:bCs/>
          <w:sz w:val="24"/>
          <w:szCs w:val="24"/>
        </w:rPr>
        <w:t>Litigation Services (LS):</w:t>
      </w:r>
      <w:r w:rsidRPr="008B1465">
        <w:rPr>
          <w:rFonts w:ascii="Times New Roman" w:eastAsia="Calibri" w:hAnsi="Times New Roman"/>
          <w:b/>
          <w:bCs/>
          <w:sz w:val="24"/>
          <w:szCs w:val="24"/>
        </w:rPr>
        <w:t xml:space="preserve"> </w:t>
      </w:r>
      <w:r w:rsidRPr="008B1465">
        <w:rPr>
          <w:rFonts w:ascii="Times New Roman" w:eastAsia="Calibri" w:hAnsi="Times New Roman"/>
          <w:sz w:val="24"/>
          <w:szCs w:val="24"/>
        </w:rPr>
        <w:t>Litigation services are legal representation in court and tribunal procedures given by legal aid commissions, contingent upon an applicant's eligibility for legal assistance. It refers to the procedures and rules employed by the legal system to settle disputes.</w:t>
      </w:r>
    </w:p>
    <w:p w14:paraId="0968F59E" w14:textId="77777777" w:rsidR="001616E5" w:rsidRPr="008B1465" w:rsidRDefault="003F05E3" w:rsidP="007541CB">
      <w:pPr>
        <w:spacing w:after="0" w:line="360" w:lineRule="auto"/>
        <w:jc w:val="both"/>
        <w:rPr>
          <w:rFonts w:ascii="Times New Roman" w:eastAsia="Calibri" w:hAnsi="Times New Roman"/>
          <w:sz w:val="24"/>
          <w:szCs w:val="24"/>
        </w:rPr>
      </w:pPr>
      <w:r w:rsidRPr="005F1A67">
        <w:rPr>
          <w:rFonts w:ascii="Times New Roman" w:eastAsia="Calibri" w:hAnsi="Times New Roman"/>
          <w:b/>
          <w:bCs/>
          <w:sz w:val="24"/>
          <w:szCs w:val="24"/>
        </w:rPr>
        <w:t>Investigation of Fraud (IF):</w:t>
      </w:r>
      <w:r w:rsidRPr="008B1465">
        <w:rPr>
          <w:rFonts w:ascii="Times New Roman" w:eastAsia="Calibri" w:hAnsi="Times New Roman"/>
          <w:sz w:val="24"/>
          <w:szCs w:val="24"/>
        </w:rPr>
        <w:t xml:space="preserve"> An investigation is a step-by-step inquiry as well as a systematic fact-finding and reporting process that necessitates an inquisitive mind as well as attention to detail. Fraud investigation is a branch of activity that analyzes frauds committed in response to requests made by corporate management or owners, as well as existent possibilities of accounting manipulation.</w:t>
      </w:r>
    </w:p>
    <w:p w14:paraId="1AA367DF" w14:textId="296F23D2" w:rsidR="001616E5" w:rsidRPr="008B1465" w:rsidRDefault="003F05E3" w:rsidP="007541CB">
      <w:pPr>
        <w:spacing w:after="0" w:line="360" w:lineRule="auto"/>
        <w:jc w:val="both"/>
        <w:rPr>
          <w:rFonts w:ascii="Times New Roman" w:eastAsia="Calibri" w:hAnsi="Times New Roman"/>
          <w:sz w:val="24"/>
          <w:szCs w:val="24"/>
        </w:rPr>
      </w:pPr>
      <w:r w:rsidRPr="005F1A67">
        <w:rPr>
          <w:rFonts w:ascii="Times New Roman" w:eastAsia="Calibri" w:hAnsi="Times New Roman"/>
          <w:b/>
          <w:bCs/>
          <w:sz w:val="24"/>
          <w:szCs w:val="24"/>
        </w:rPr>
        <w:t>Accounting and Digital Environment (ADE):</w:t>
      </w:r>
      <w:r w:rsidR="00245447" w:rsidRPr="008B1465">
        <w:rPr>
          <w:rFonts w:ascii="Times New Roman" w:eastAsia="Calibri" w:hAnsi="Times New Roman"/>
          <w:b/>
          <w:bCs/>
          <w:sz w:val="24"/>
          <w:szCs w:val="24"/>
        </w:rPr>
        <w:t xml:space="preserve"> </w:t>
      </w:r>
      <w:r w:rsidRPr="008B1465">
        <w:rPr>
          <w:rFonts w:ascii="Times New Roman" w:eastAsia="Calibri" w:hAnsi="Times New Roman"/>
          <w:sz w:val="24"/>
          <w:szCs w:val="24"/>
        </w:rPr>
        <w:t>It refers to the electronic creation, representation, and transfer of financial information. All accounting transactions are now done electronically rather than on paper.</w:t>
      </w:r>
    </w:p>
    <w:p w14:paraId="334E3533" w14:textId="3EA51AD7" w:rsidR="001616E5" w:rsidRPr="008B1465" w:rsidRDefault="001616E5" w:rsidP="007541CB">
      <w:pPr>
        <w:spacing w:after="0" w:line="360" w:lineRule="auto"/>
        <w:jc w:val="both"/>
        <w:rPr>
          <w:rFonts w:ascii="Times New Roman" w:eastAsia="Calibri" w:hAnsi="Times New Roman"/>
          <w:b/>
          <w:sz w:val="2"/>
          <w:szCs w:val="2"/>
        </w:rPr>
      </w:pPr>
    </w:p>
    <w:p w14:paraId="704EFD22" w14:textId="77777777" w:rsidR="008C0D44" w:rsidRPr="008B1465" w:rsidRDefault="008C0D44" w:rsidP="008C0D44">
      <w:pPr>
        <w:pStyle w:val="Heading2"/>
        <w:spacing w:line="360" w:lineRule="auto"/>
        <w:rPr>
          <w:rFonts w:cs="Times New Roman"/>
          <w:bCs/>
          <w:sz w:val="24"/>
          <w:szCs w:val="24"/>
        </w:rPr>
      </w:pPr>
      <w:bookmarkStart w:id="32" w:name="_Toc145951079"/>
      <w:bookmarkStart w:id="33" w:name="_Hlk122280679"/>
      <w:r w:rsidRPr="008B1465">
        <w:rPr>
          <w:rFonts w:cs="Times New Roman"/>
          <w:sz w:val="24"/>
          <w:szCs w:val="24"/>
        </w:rPr>
        <w:t>Operationalization of Variables</w:t>
      </w:r>
      <w:bookmarkEnd w:id="32"/>
      <w:r w:rsidRPr="008B1465">
        <w:rPr>
          <w:rFonts w:cs="Times New Roman"/>
          <w:sz w:val="24"/>
          <w:szCs w:val="24"/>
        </w:rPr>
        <w:t xml:space="preserve"> </w:t>
      </w:r>
    </w:p>
    <w:p w14:paraId="2151E3E2" w14:textId="5352F54A" w:rsidR="008C0D44" w:rsidRPr="008B1465" w:rsidRDefault="008C0D44" w:rsidP="008C0D44">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The study contains two major variables namely, dependent and independent variables. The dependent variable is financial misconduct while the independent variable is forensic accounting techniques. The proxies for independent variable (forensic accounting techniques) are Investigation of Fraud (IF), Litigation Services (</w:t>
      </w:r>
      <w:r w:rsidR="00060C8B" w:rsidRPr="008B1465">
        <w:rPr>
          <w:rFonts w:ascii="Times New Roman" w:eastAsia="Calibri" w:hAnsi="Times New Roman"/>
          <w:bCs/>
          <w:sz w:val="24"/>
          <w:szCs w:val="24"/>
        </w:rPr>
        <w:t>L</w:t>
      </w:r>
      <w:r w:rsidRPr="008B1465">
        <w:rPr>
          <w:rFonts w:ascii="Times New Roman" w:eastAsia="Calibri" w:hAnsi="Times New Roman"/>
          <w:bCs/>
          <w:sz w:val="24"/>
          <w:szCs w:val="24"/>
        </w:rPr>
        <w:t xml:space="preserve">S), Surprised Cash Count Practices (SCCP) and Accounting and Digital Environment (ADE) while Dependent variable surrogates are Fund Misappropriation (FM), Value for Money Practices (VMP), Creative Accounting Practices (CAP) and Procurement Practices (PP) </w:t>
      </w:r>
    </w:p>
    <w:p w14:paraId="5DA0298B" w14:textId="77777777" w:rsidR="008C0D44" w:rsidRPr="008B1465" w:rsidRDefault="008C0D44" w:rsidP="008C0D44">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Therefore, Y =f(X)</w:t>
      </w:r>
    </w:p>
    <w:p w14:paraId="6466AE88" w14:textId="77777777" w:rsidR="008C0D44" w:rsidRPr="008B1465" w:rsidRDefault="008C0D44" w:rsidP="008C0D44">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Y =f(y</w:t>
      </w:r>
      <w:r w:rsidRPr="008B1465">
        <w:rPr>
          <w:rFonts w:ascii="Times New Roman" w:eastAsia="Calibri" w:hAnsi="Times New Roman"/>
          <w:bCs/>
          <w:sz w:val="24"/>
          <w:szCs w:val="24"/>
          <w:vertAlign w:val="subscript"/>
        </w:rPr>
        <w:t>1</w:t>
      </w:r>
      <w:r w:rsidRPr="008B1465">
        <w:rPr>
          <w:rFonts w:ascii="Times New Roman" w:eastAsia="Calibri" w:hAnsi="Times New Roman"/>
          <w:bCs/>
          <w:sz w:val="24"/>
          <w:szCs w:val="24"/>
        </w:rPr>
        <w:t>, y</w:t>
      </w:r>
      <w:r w:rsidRPr="008B1465">
        <w:rPr>
          <w:rFonts w:ascii="Times New Roman" w:eastAsia="Calibri" w:hAnsi="Times New Roman"/>
          <w:bCs/>
          <w:sz w:val="24"/>
          <w:szCs w:val="24"/>
          <w:vertAlign w:val="subscript"/>
        </w:rPr>
        <w:t>2</w:t>
      </w:r>
      <w:r w:rsidRPr="008B1465">
        <w:rPr>
          <w:rFonts w:ascii="Times New Roman" w:eastAsia="Calibri" w:hAnsi="Times New Roman"/>
          <w:bCs/>
          <w:sz w:val="24"/>
          <w:szCs w:val="24"/>
        </w:rPr>
        <w:t>, y</w:t>
      </w:r>
      <w:r w:rsidRPr="008B1465">
        <w:rPr>
          <w:rFonts w:ascii="Times New Roman" w:eastAsia="Calibri" w:hAnsi="Times New Roman"/>
          <w:bCs/>
          <w:sz w:val="24"/>
          <w:szCs w:val="24"/>
          <w:vertAlign w:val="subscript"/>
        </w:rPr>
        <w:t>3,</w:t>
      </w:r>
      <w:r w:rsidRPr="008B1465">
        <w:rPr>
          <w:rFonts w:ascii="Times New Roman" w:eastAsia="Calibri" w:hAnsi="Times New Roman"/>
          <w:bCs/>
          <w:sz w:val="24"/>
          <w:szCs w:val="24"/>
        </w:rPr>
        <w:t xml:space="preserve"> y</w:t>
      </w:r>
      <w:r w:rsidRPr="008B1465">
        <w:rPr>
          <w:rFonts w:ascii="Times New Roman" w:eastAsia="Calibri" w:hAnsi="Times New Roman"/>
          <w:bCs/>
          <w:sz w:val="24"/>
          <w:szCs w:val="24"/>
          <w:vertAlign w:val="subscript"/>
        </w:rPr>
        <w:t>4</w:t>
      </w:r>
      <w:r w:rsidRPr="008B1465">
        <w:rPr>
          <w:rFonts w:ascii="Times New Roman" w:eastAsia="Calibri" w:hAnsi="Times New Roman"/>
          <w:bCs/>
          <w:sz w:val="24"/>
          <w:szCs w:val="24"/>
        </w:rPr>
        <w:t>)</w:t>
      </w:r>
    </w:p>
    <w:p w14:paraId="52428CF8" w14:textId="77777777" w:rsidR="008C0D44" w:rsidRPr="008B1465" w:rsidRDefault="008C0D44" w:rsidP="008C0D44">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X = (x</w:t>
      </w:r>
      <w:r w:rsidRPr="008B1465">
        <w:rPr>
          <w:rFonts w:ascii="Times New Roman" w:eastAsia="Calibri" w:hAnsi="Times New Roman"/>
          <w:bCs/>
          <w:sz w:val="24"/>
          <w:szCs w:val="24"/>
          <w:vertAlign w:val="subscript"/>
        </w:rPr>
        <w:t>1</w:t>
      </w:r>
      <w:r w:rsidRPr="008B1465">
        <w:rPr>
          <w:rFonts w:ascii="Times New Roman" w:eastAsia="Calibri" w:hAnsi="Times New Roman"/>
          <w:bCs/>
          <w:sz w:val="24"/>
          <w:szCs w:val="24"/>
        </w:rPr>
        <w:t>, x</w:t>
      </w:r>
      <w:r w:rsidRPr="008B1465">
        <w:rPr>
          <w:rFonts w:ascii="Times New Roman" w:eastAsia="Calibri" w:hAnsi="Times New Roman"/>
          <w:bCs/>
          <w:sz w:val="24"/>
          <w:szCs w:val="24"/>
          <w:vertAlign w:val="subscript"/>
        </w:rPr>
        <w:t>2</w:t>
      </w:r>
      <w:r w:rsidRPr="008B1465">
        <w:rPr>
          <w:rFonts w:ascii="Times New Roman" w:eastAsia="Calibri" w:hAnsi="Times New Roman"/>
          <w:bCs/>
          <w:sz w:val="24"/>
          <w:szCs w:val="24"/>
        </w:rPr>
        <w:t>, x</w:t>
      </w:r>
      <w:r w:rsidRPr="008B1465">
        <w:rPr>
          <w:rFonts w:ascii="Times New Roman" w:eastAsia="Calibri" w:hAnsi="Times New Roman"/>
          <w:bCs/>
          <w:sz w:val="24"/>
          <w:szCs w:val="24"/>
          <w:vertAlign w:val="subscript"/>
        </w:rPr>
        <w:t>3</w:t>
      </w:r>
      <w:r w:rsidRPr="008B1465">
        <w:rPr>
          <w:rFonts w:ascii="Times New Roman" w:eastAsia="Calibri" w:hAnsi="Times New Roman"/>
          <w:bCs/>
          <w:sz w:val="24"/>
          <w:szCs w:val="24"/>
        </w:rPr>
        <w:t>, x</w:t>
      </w:r>
      <w:r w:rsidRPr="008B1465">
        <w:rPr>
          <w:rFonts w:ascii="Times New Roman" w:eastAsia="Calibri" w:hAnsi="Times New Roman"/>
          <w:bCs/>
          <w:sz w:val="24"/>
          <w:szCs w:val="24"/>
          <w:vertAlign w:val="subscript"/>
        </w:rPr>
        <w:t>4</w:t>
      </w:r>
      <w:r w:rsidRPr="008B1465">
        <w:rPr>
          <w:rFonts w:ascii="Times New Roman" w:eastAsia="Calibri" w:hAnsi="Times New Roman"/>
          <w:bCs/>
          <w:sz w:val="24"/>
          <w:szCs w:val="24"/>
        </w:rPr>
        <w:t>)</w:t>
      </w:r>
    </w:p>
    <w:p w14:paraId="5E26DFB5" w14:textId="77777777" w:rsidR="008C0D44" w:rsidRPr="008B1465" w:rsidRDefault="008C0D44" w:rsidP="003B4D2B">
      <w:pPr>
        <w:spacing w:after="0" w:line="360" w:lineRule="auto"/>
        <w:ind w:firstLine="270"/>
        <w:jc w:val="both"/>
        <w:rPr>
          <w:rFonts w:ascii="Times New Roman" w:eastAsia="Calibri" w:hAnsi="Times New Roman"/>
          <w:bCs/>
          <w:sz w:val="24"/>
          <w:szCs w:val="24"/>
        </w:rPr>
      </w:pPr>
      <w:r w:rsidRPr="008B1465">
        <w:rPr>
          <w:rFonts w:ascii="Times New Roman" w:eastAsia="Calibri" w:hAnsi="Times New Roman"/>
          <w:bCs/>
          <w:sz w:val="24"/>
          <w:szCs w:val="24"/>
        </w:rPr>
        <w:t>y</w:t>
      </w:r>
      <w:r w:rsidRPr="008B1465">
        <w:rPr>
          <w:rFonts w:ascii="Times New Roman" w:eastAsia="Calibri" w:hAnsi="Times New Roman"/>
          <w:bCs/>
          <w:sz w:val="24"/>
          <w:szCs w:val="24"/>
          <w:vertAlign w:val="subscript"/>
        </w:rPr>
        <w:t>1</w:t>
      </w:r>
      <w:r w:rsidRPr="008B1465">
        <w:rPr>
          <w:rFonts w:ascii="Times New Roman" w:eastAsia="Calibri" w:hAnsi="Times New Roman"/>
          <w:b/>
          <w:sz w:val="24"/>
          <w:szCs w:val="24"/>
        </w:rPr>
        <w:t xml:space="preserve">= </w:t>
      </w:r>
      <w:r w:rsidRPr="008B1465">
        <w:rPr>
          <w:rFonts w:ascii="Times New Roman" w:eastAsia="Calibri" w:hAnsi="Times New Roman"/>
          <w:bCs/>
          <w:sz w:val="24"/>
          <w:szCs w:val="24"/>
        </w:rPr>
        <w:t>Fund Misappropriation (FM)</w:t>
      </w:r>
    </w:p>
    <w:p w14:paraId="146105E3" w14:textId="77777777" w:rsidR="008C0D44" w:rsidRPr="008B1465" w:rsidRDefault="008C0D44" w:rsidP="008C0D44">
      <w:pPr>
        <w:spacing w:after="0" w:line="360" w:lineRule="auto"/>
        <w:ind w:firstLine="270"/>
        <w:jc w:val="both"/>
        <w:rPr>
          <w:rFonts w:ascii="Times New Roman" w:eastAsia="Calibri" w:hAnsi="Times New Roman"/>
          <w:bCs/>
          <w:sz w:val="24"/>
          <w:szCs w:val="24"/>
        </w:rPr>
      </w:pPr>
      <w:r w:rsidRPr="008B1465">
        <w:rPr>
          <w:rFonts w:ascii="Times New Roman" w:eastAsia="Calibri" w:hAnsi="Times New Roman"/>
          <w:bCs/>
          <w:sz w:val="24"/>
          <w:szCs w:val="24"/>
        </w:rPr>
        <w:t>y</w:t>
      </w:r>
      <w:r w:rsidRPr="008B1465">
        <w:rPr>
          <w:rFonts w:ascii="Times New Roman" w:eastAsia="Calibri" w:hAnsi="Times New Roman"/>
          <w:bCs/>
          <w:sz w:val="24"/>
          <w:szCs w:val="24"/>
          <w:vertAlign w:val="subscript"/>
        </w:rPr>
        <w:t>2</w:t>
      </w:r>
      <w:r w:rsidRPr="008B1465">
        <w:rPr>
          <w:rFonts w:ascii="Times New Roman" w:eastAsia="Calibri" w:hAnsi="Times New Roman"/>
          <w:bCs/>
          <w:sz w:val="24"/>
          <w:szCs w:val="24"/>
        </w:rPr>
        <w:t>= Value for Money Practices (VMP)</w:t>
      </w:r>
    </w:p>
    <w:p w14:paraId="692B94DA" w14:textId="77777777" w:rsidR="008C0D44" w:rsidRPr="008B1465" w:rsidRDefault="008C0D44" w:rsidP="008C0D44">
      <w:pPr>
        <w:spacing w:after="0" w:line="360" w:lineRule="auto"/>
        <w:ind w:firstLine="270"/>
        <w:jc w:val="both"/>
        <w:rPr>
          <w:rFonts w:ascii="Times New Roman" w:eastAsia="Calibri" w:hAnsi="Times New Roman"/>
          <w:bCs/>
          <w:sz w:val="24"/>
          <w:szCs w:val="24"/>
        </w:rPr>
      </w:pPr>
      <w:r w:rsidRPr="008B1465">
        <w:rPr>
          <w:rFonts w:ascii="Times New Roman" w:eastAsia="Calibri" w:hAnsi="Times New Roman"/>
          <w:bCs/>
          <w:sz w:val="24"/>
          <w:szCs w:val="24"/>
        </w:rPr>
        <w:t>y</w:t>
      </w:r>
      <w:r w:rsidRPr="008B1465">
        <w:rPr>
          <w:rFonts w:ascii="Times New Roman" w:eastAsia="Calibri" w:hAnsi="Times New Roman"/>
          <w:bCs/>
          <w:sz w:val="24"/>
          <w:szCs w:val="24"/>
          <w:vertAlign w:val="subscript"/>
        </w:rPr>
        <w:t>3</w:t>
      </w:r>
      <w:r w:rsidRPr="008B1465">
        <w:rPr>
          <w:rFonts w:ascii="Times New Roman" w:eastAsia="Calibri" w:hAnsi="Times New Roman"/>
          <w:bCs/>
          <w:sz w:val="24"/>
          <w:szCs w:val="24"/>
        </w:rPr>
        <w:t xml:space="preserve"> = Creative Accounting Practices (CAP)</w:t>
      </w:r>
    </w:p>
    <w:p w14:paraId="47FA62A9" w14:textId="77777777" w:rsidR="008C0D44" w:rsidRPr="008B1465" w:rsidRDefault="008C0D44" w:rsidP="008C0D44">
      <w:pPr>
        <w:spacing w:after="0" w:line="360" w:lineRule="auto"/>
        <w:ind w:firstLine="270"/>
        <w:jc w:val="both"/>
        <w:rPr>
          <w:rFonts w:ascii="Times New Roman" w:eastAsia="Calibri" w:hAnsi="Times New Roman"/>
          <w:bCs/>
          <w:sz w:val="24"/>
          <w:szCs w:val="24"/>
        </w:rPr>
      </w:pPr>
      <w:r w:rsidRPr="008B1465">
        <w:rPr>
          <w:rFonts w:ascii="Times New Roman" w:eastAsia="Calibri" w:hAnsi="Times New Roman"/>
          <w:bCs/>
          <w:sz w:val="24"/>
          <w:szCs w:val="24"/>
        </w:rPr>
        <w:t>y</w:t>
      </w:r>
      <w:r w:rsidRPr="008B1465">
        <w:rPr>
          <w:rFonts w:ascii="Times New Roman" w:eastAsia="Calibri" w:hAnsi="Times New Roman"/>
          <w:bCs/>
          <w:sz w:val="24"/>
          <w:szCs w:val="24"/>
          <w:vertAlign w:val="subscript"/>
        </w:rPr>
        <w:t>4</w:t>
      </w:r>
      <w:r w:rsidRPr="008B1465">
        <w:rPr>
          <w:rFonts w:ascii="Times New Roman" w:eastAsia="Calibri" w:hAnsi="Times New Roman"/>
          <w:bCs/>
          <w:sz w:val="24"/>
          <w:szCs w:val="24"/>
        </w:rPr>
        <w:t xml:space="preserve"> = Procurement Practices (PP)</w:t>
      </w:r>
    </w:p>
    <w:p w14:paraId="6BA7C3B6" w14:textId="77777777" w:rsidR="008C0D44" w:rsidRPr="008B1465" w:rsidRDefault="008C0D44" w:rsidP="008C0D44">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X = (x</w:t>
      </w:r>
      <w:r w:rsidRPr="008B1465">
        <w:rPr>
          <w:rFonts w:ascii="Times New Roman" w:eastAsia="Calibri" w:hAnsi="Times New Roman"/>
          <w:bCs/>
          <w:sz w:val="24"/>
          <w:szCs w:val="24"/>
          <w:vertAlign w:val="subscript"/>
        </w:rPr>
        <w:t>1</w:t>
      </w:r>
      <w:r w:rsidRPr="008B1465">
        <w:rPr>
          <w:rFonts w:ascii="Times New Roman" w:eastAsia="Calibri" w:hAnsi="Times New Roman"/>
          <w:bCs/>
          <w:sz w:val="24"/>
          <w:szCs w:val="24"/>
        </w:rPr>
        <w:t>, x</w:t>
      </w:r>
      <w:r w:rsidRPr="008B1465">
        <w:rPr>
          <w:rFonts w:ascii="Times New Roman" w:eastAsia="Calibri" w:hAnsi="Times New Roman"/>
          <w:bCs/>
          <w:sz w:val="24"/>
          <w:szCs w:val="24"/>
          <w:vertAlign w:val="subscript"/>
        </w:rPr>
        <w:t>2</w:t>
      </w:r>
      <w:r w:rsidRPr="008B1465">
        <w:rPr>
          <w:rFonts w:ascii="Times New Roman" w:eastAsia="Calibri" w:hAnsi="Times New Roman"/>
          <w:bCs/>
          <w:sz w:val="24"/>
          <w:szCs w:val="24"/>
        </w:rPr>
        <w:t>, x</w:t>
      </w:r>
      <w:r w:rsidRPr="008B1465">
        <w:rPr>
          <w:rFonts w:ascii="Times New Roman" w:eastAsia="Calibri" w:hAnsi="Times New Roman"/>
          <w:bCs/>
          <w:sz w:val="24"/>
          <w:szCs w:val="24"/>
          <w:vertAlign w:val="subscript"/>
        </w:rPr>
        <w:t>3</w:t>
      </w:r>
      <w:r w:rsidRPr="008B1465">
        <w:rPr>
          <w:rFonts w:ascii="Times New Roman" w:eastAsia="Calibri" w:hAnsi="Times New Roman"/>
          <w:bCs/>
          <w:sz w:val="24"/>
          <w:szCs w:val="24"/>
        </w:rPr>
        <w:t>, x</w:t>
      </w:r>
      <w:r w:rsidRPr="008B1465">
        <w:rPr>
          <w:rFonts w:ascii="Times New Roman" w:eastAsia="Calibri" w:hAnsi="Times New Roman"/>
          <w:bCs/>
          <w:sz w:val="24"/>
          <w:szCs w:val="24"/>
          <w:vertAlign w:val="subscript"/>
        </w:rPr>
        <w:t>4</w:t>
      </w:r>
      <w:r w:rsidRPr="008B1465">
        <w:rPr>
          <w:rFonts w:ascii="Times New Roman" w:eastAsia="Calibri" w:hAnsi="Times New Roman"/>
          <w:bCs/>
          <w:sz w:val="24"/>
          <w:szCs w:val="24"/>
        </w:rPr>
        <w:t>)</w:t>
      </w:r>
    </w:p>
    <w:p w14:paraId="1E0C008D" w14:textId="77777777" w:rsidR="008C0D44" w:rsidRPr="008B1465" w:rsidRDefault="008C0D44" w:rsidP="008C0D44">
      <w:pPr>
        <w:spacing w:after="0" w:line="360" w:lineRule="auto"/>
        <w:ind w:firstLine="270"/>
        <w:jc w:val="both"/>
        <w:rPr>
          <w:rFonts w:ascii="Times New Roman" w:eastAsia="Calibri" w:hAnsi="Times New Roman"/>
          <w:bCs/>
          <w:sz w:val="24"/>
          <w:szCs w:val="24"/>
        </w:rPr>
      </w:pPr>
      <w:r w:rsidRPr="008B1465">
        <w:rPr>
          <w:rFonts w:ascii="Times New Roman" w:eastAsia="Calibri" w:hAnsi="Times New Roman"/>
          <w:bCs/>
          <w:sz w:val="24"/>
          <w:szCs w:val="24"/>
        </w:rPr>
        <w:t>x</w:t>
      </w:r>
      <w:r w:rsidRPr="008B1465">
        <w:rPr>
          <w:rFonts w:ascii="Times New Roman" w:eastAsia="Calibri" w:hAnsi="Times New Roman"/>
          <w:bCs/>
          <w:sz w:val="24"/>
          <w:szCs w:val="24"/>
          <w:vertAlign w:val="subscript"/>
        </w:rPr>
        <w:t>1</w:t>
      </w:r>
      <w:r w:rsidRPr="008B1465">
        <w:rPr>
          <w:rFonts w:ascii="Times New Roman" w:eastAsia="Calibri" w:hAnsi="Times New Roman"/>
          <w:bCs/>
          <w:sz w:val="24"/>
          <w:szCs w:val="24"/>
        </w:rPr>
        <w:t>= Investigation of Fraud (IF)</w:t>
      </w:r>
    </w:p>
    <w:p w14:paraId="4D7DD632" w14:textId="77777777" w:rsidR="008C0D44" w:rsidRPr="008B1465" w:rsidRDefault="008C0D44" w:rsidP="008C0D44">
      <w:pPr>
        <w:spacing w:after="0" w:line="360" w:lineRule="auto"/>
        <w:ind w:firstLine="270"/>
        <w:jc w:val="both"/>
        <w:rPr>
          <w:rFonts w:ascii="Times New Roman" w:eastAsia="Calibri" w:hAnsi="Times New Roman"/>
          <w:bCs/>
          <w:sz w:val="24"/>
          <w:szCs w:val="24"/>
        </w:rPr>
      </w:pPr>
      <w:r w:rsidRPr="008B1465">
        <w:rPr>
          <w:rFonts w:ascii="Times New Roman" w:eastAsia="Calibri" w:hAnsi="Times New Roman"/>
          <w:bCs/>
          <w:sz w:val="24"/>
          <w:szCs w:val="24"/>
        </w:rPr>
        <w:t>x</w:t>
      </w:r>
      <w:r w:rsidRPr="008B1465">
        <w:rPr>
          <w:rFonts w:ascii="Times New Roman" w:eastAsia="Calibri" w:hAnsi="Times New Roman"/>
          <w:bCs/>
          <w:sz w:val="24"/>
          <w:szCs w:val="24"/>
          <w:vertAlign w:val="subscript"/>
        </w:rPr>
        <w:t>2</w:t>
      </w:r>
      <w:r w:rsidRPr="008B1465">
        <w:rPr>
          <w:rFonts w:ascii="Times New Roman" w:eastAsia="Calibri" w:hAnsi="Times New Roman"/>
          <w:bCs/>
          <w:sz w:val="24"/>
          <w:szCs w:val="24"/>
        </w:rPr>
        <w:t>= Litigation Services (LS)</w:t>
      </w:r>
    </w:p>
    <w:p w14:paraId="6F8F261C" w14:textId="37F86ABF" w:rsidR="008C0D44" w:rsidRPr="008B1465" w:rsidRDefault="003B4D2B" w:rsidP="003B4D2B">
      <w:pPr>
        <w:spacing w:after="0" w:line="360" w:lineRule="auto"/>
        <w:jc w:val="both"/>
        <w:rPr>
          <w:rFonts w:ascii="Times New Roman" w:eastAsia="Calibri" w:hAnsi="Times New Roman"/>
          <w:bCs/>
          <w:sz w:val="24"/>
          <w:szCs w:val="24"/>
        </w:rPr>
      </w:pPr>
      <w:r>
        <w:rPr>
          <w:rFonts w:ascii="Times New Roman" w:eastAsia="Calibri" w:hAnsi="Times New Roman"/>
          <w:bCs/>
          <w:sz w:val="24"/>
          <w:szCs w:val="24"/>
        </w:rPr>
        <w:t xml:space="preserve">     </w:t>
      </w:r>
      <w:r w:rsidR="008C0D44" w:rsidRPr="008B1465">
        <w:rPr>
          <w:rFonts w:ascii="Times New Roman" w:eastAsia="Calibri" w:hAnsi="Times New Roman"/>
          <w:bCs/>
          <w:sz w:val="24"/>
          <w:szCs w:val="24"/>
        </w:rPr>
        <w:t>x</w:t>
      </w:r>
      <w:r w:rsidR="008C0D44" w:rsidRPr="008B1465">
        <w:rPr>
          <w:rFonts w:ascii="Times New Roman" w:eastAsia="Calibri" w:hAnsi="Times New Roman"/>
          <w:bCs/>
          <w:sz w:val="24"/>
          <w:szCs w:val="24"/>
          <w:vertAlign w:val="subscript"/>
        </w:rPr>
        <w:t>3</w:t>
      </w:r>
      <w:r w:rsidR="008C0D44" w:rsidRPr="008B1465">
        <w:rPr>
          <w:rFonts w:ascii="Times New Roman" w:eastAsia="Calibri" w:hAnsi="Times New Roman"/>
          <w:bCs/>
          <w:sz w:val="24"/>
          <w:szCs w:val="24"/>
        </w:rPr>
        <w:t>= Surprised Cash Count Practices (SCCP)</w:t>
      </w:r>
    </w:p>
    <w:p w14:paraId="61B5FA3A" w14:textId="77777777" w:rsidR="008C0D44" w:rsidRPr="008B1465" w:rsidRDefault="008C0D44" w:rsidP="008C0D44">
      <w:pPr>
        <w:spacing w:after="0" w:line="360" w:lineRule="auto"/>
        <w:ind w:firstLine="360"/>
        <w:jc w:val="both"/>
        <w:rPr>
          <w:rFonts w:ascii="Times New Roman" w:eastAsia="Calibri" w:hAnsi="Times New Roman"/>
          <w:bCs/>
          <w:sz w:val="24"/>
          <w:szCs w:val="24"/>
        </w:rPr>
      </w:pPr>
      <w:r w:rsidRPr="008B1465">
        <w:rPr>
          <w:rFonts w:ascii="Times New Roman" w:eastAsia="Calibri" w:hAnsi="Times New Roman"/>
          <w:bCs/>
          <w:sz w:val="24"/>
          <w:szCs w:val="24"/>
        </w:rPr>
        <w:t>x</w:t>
      </w:r>
      <w:r w:rsidRPr="008B1465">
        <w:rPr>
          <w:rFonts w:ascii="Times New Roman" w:eastAsia="Calibri" w:hAnsi="Times New Roman"/>
          <w:bCs/>
          <w:sz w:val="24"/>
          <w:szCs w:val="24"/>
          <w:vertAlign w:val="subscript"/>
        </w:rPr>
        <w:t>4</w:t>
      </w:r>
      <w:r w:rsidRPr="008B1465">
        <w:rPr>
          <w:rFonts w:ascii="Times New Roman" w:eastAsia="Calibri" w:hAnsi="Times New Roman"/>
          <w:bCs/>
          <w:sz w:val="24"/>
          <w:szCs w:val="24"/>
        </w:rPr>
        <w:t>= Accounting and Digital Environment (ADE)</w:t>
      </w:r>
    </w:p>
    <w:p w14:paraId="1D4D7F3B" w14:textId="77777777" w:rsidR="008C0D44" w:rsidRPr="008B1465" w:rsidRDefault="008C0D44" w:rsidP="008C0D44">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Functional Relationship</w:t>
      </w:r>
    </w:p>
    <w:p w14:paraId="4116AD16" w14:textId="77777777" w:rsidR="008C0D44" w:rsidRPr="008B1465" w:rsidRDefault="008C0D44" w:rsidP="008C0D44">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Y = (y</w:t>
      </w:r>
      <w:r w:rsidRPr="008B1465">
        <w:rPr>
          <w:rFonts w:ascii="Times New Roman" w:eastAsia="Calibri" w:hAnsi="Times New Roman"/>
          <w:bCs/>
          <w:sz w:val="24"/>
          <w:szCs w:val="24"/>
          <w:vertAlign w:val="subscript"/>
        </w:rPr>
        <w:t>1</w:t>
      </w:r>
      <w:r w:rsidRPr="008B1465">
        <w:rPr>
          <w:rFonts w:ascii="Times New Roman" w:eastAsia="Calibri" w:hAnsi="Times New Roman"/>
          <w:bCs/>
          <w:sz w:val="24"/>
          <w:szCs w:val="24"/>
        </w:rPr>
        <w:t>, y</w:t>
      </w:r>
      <w:r w:rsidRPr="008B1465">
        <w:rPr>
          <w:rFonts w:ascii="Times New Roman" w:eastAsia="Calibri" w:hAnsi="Times New Roman"/>
          <w:bCs/>
          <w:sz w:val="24"/>
          <w:szCs w:val="24"/>
          <w:vertAlign w:val="subscript"/>
        </w:rPr>
        <w:t>2</w:t>
      </w:r>
      <w:r w:rsidRPr="008B1465">
        <w:rPr>
          <w:rFonts w:ascii="Times New Roman" w:eastAsia="Calibri" w:hAnsi="Times New Roman"/>
          <w:bCs/>
          <w:sz w:val="24"/>
          <w:szCs w:val="24"/>
        </w:rPr>
        <w:t>, y</w:t>
      </w:r>
      <w:r w:rsidRPr="008B1465">
        <w:rPr>
          <w:rFonts w:ascii="Times New Roman" w:eastAsia="Calibri" w:hAnsi="Times New Roman"/>
          <w:bCs/>
          <w:sz w:val="24"/>
          <w:szCs w:val="24"/>
          <w:vertAlign w:val="subscript"/>
        </w:rPr>
        <w:t>3,</w:t>
      </w:r>
      <w:r w:rsidRPr="008B1465">
        <w:rPr>
          <w:rFonts w:ascii="Times New Roman" w:eastAsia="Calibri" w:hAnsi="Times New Roman"/>
          <w:bCs/>
          <w:sz w:val="24"/>
          <w:szCs w:val="24"/>
        </w:rPr>
        <w:t xml:space="preserve"> y</w:t>
      </w:r>
      <w:r w:rsidRPr="008B1465">
        <w:rPr>
          <w:rFonts w:ascii="Times New Roman" w:eastAsia="Calibri" w:hAnsi="Times New Roman"/>
          <w:bCs/>
          <w:sz w:val="24"/>
          <w:szCs w:val="24"/>
          <w:vertAlign w:val="subscript"/>
        </w:rPr>
        <w:t>4</w:t>
      </w:r>
      <w:r w:rsidRPr="008B1465">
        <w:rPr>
          <w:rFonts w:ascii="Times New Roman" w:eastAsia="Calibri" w:hAnsi="Times New Roman"/>
          <w:bCs/>
          <w:sz w:val="24"/>
          <w:szCs w:val="24"/>
        </w:rPr>
        <w:t>)</w:t>
      </w:r>
    </w:p>
    <w:p w14:paraId="1DFAF6BE" w14:textId="77777777" w:rsidR="008C0D44" w:rsidRPr="008B1465" w:rsidRDefault="008C0D44" w:rsidP="008C0D44">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X= (x</w:t>
      </w:r>
      <w:r w:rsidRPr="008B1465">
        <w:rPr>
          <w:rFonts w:ascii="Times New Roman" w:eastAsia="Calibri" w:hAnsi="Times New Roman"/>
          <w:bCs/>
          <w:sz w:val="24"/>
          <w:szCs w:val="24"/>
          <w:vertAlign w:val="subscript"/>
        </w:rPr>
        <w:t>1</w:t>
      </w:r>
      <w:r w:rsidRPr="008B1465">
        <w:rPr>
          <w:rFonts w:ascii="Times New Roman" w:eastAsia="Calibri" w:hAnsi="Times New Roman"/>
          <w:bCs/>
          <w:sz w:val="24"/>
          <w:szCs w:val="24"/>
        </w:rPr>
        <w:t>, x</w:t>
      </w:r>
      <w:r w:rsidRPr="008B1465">
        <w:rPr>
          <w:rFonts w:ascii="Times New Roman" w:eastAsia="Calibri" w:hAnsi="Times New Roman"/>
          <w:bCs/>
          <w:sz w:val="24"/>
          <w:szCs w:val="24"/>
          <w:vertAlign w:val="subscript"/>
        </w:rPr>
        <w:t>2</w:t>
      </w:r>
      <w:r w:rsidRPr="008B1465">
        <w:rPr>
          <w:rFonts w:ascii="Times New Roman" w:eastAsia="Calibri" w:hAnsi="Times New Roman"/>
          <w:bCs/>
          <w:sz w:val="24"/>
          <w:szCs w:val="24"/>
        </w:rPr>
        <w:t>, x</w:t>
      </w:r>
      <w:r w:rsidRPr="008B1465">
        <w:rPr>
          <w:rFonts w:ascii="Times New Roman" w:eastAsia="Calibri" w:hAnsi="Times New Roman"/>
          <w:bCs/>
          <w:sz w:val="24"/>
          <w:szCs w:val="24"/>
          <w:vertAlign w:val="subscript"/>
        </w:rPr>
        <w:t>3</w:t>
      </w:r>
      <w:r w:rsidRPr="008B1465">
        <w:rPr>
          <w:rFonts w:ascii="Times New Roman" w:eastAsia="Calibri" w:hAnsi="Times New Roman"/>
          <w:bCs/>
          <w:sz w:val="24"/>
          <w:szCs w:val="24"/>
        </w:rPr>
        <w:t>, x</w:t>
      </w:r>
      <w:r w:rsidRPr="008B1465">
        <w:rPr>
          <w:rFonts w:ascii="Times New Roman" w:eastAsia="Calibri" w:hAnsi="Times New Roman"/>
          <w:bCs/>
          <w:sz w:val="24"/>
          <w:szCs w:val="24"/>
          <w:vertAlign w:val="subscript"/>
        </w:rPr>
        <w:t>4</w:t>
      </w:r>
      <w:r w:rsidRPr="008B1465">
        <w:rPr>
          <w:rFonts w:ascii="Times New Roman" w:eastAsia="Calibri" w:hAnsi="Times New Roman"/>
          <w:bCs/>
          <w:sz w:val="24"/>
          <w:szCs w:val="24"/>
        </w:rPr>
        <w:t>)</w:t>
      </w:r>
    </w:p>
    <w:p w14:paraId="3FD89105" w14:textId="3DCFF9E5" w:rsidR="008C0D44" w:rsidRPr="008B1465" w:rsidRDefault="00441285" w:rsidP="00441285">
      <w:pPr>
        <w:spacing w:after="0" w:line="360" w:lineRule="auto"/>
        <w:jc w:val="both"/>
        <w:rPr>
          <w:rFonts w:ascii="Times New Roman" w:eastAsia="Calibri" w:hAnsi="Times New Roman"/>
          <w:bCs/>
          <w:sz w:val="24"/>
          <w:szCs w:val="24"/>
        </w:rPr>
      </w:pPr>
      <w:r>
        <w:rPr>
          <w:rFonts w:ascii="Times New Roman" w:eastAsia="Calibri" w:hAnsi="Times New Roman"/>
          <w:bCs/>
          <w:sz w:val="24"/>
          <w:szCs w:val="24"/>
        </w:rPr>
        <w:t xml:space="preserve">   </w:t>
      </w:r>
      <w:r w:rsidR="003B4D2B">
        <w:rPr>
          <w:rFonts w:ascii="Times New Roman" w:eastAsia="Calibri" w:hAnsi="Times New Roman"/>
          <w:bCs/>
          <w:sz w:val="24"/>
          <w:szCs w:val="24"/>
        </w:rPr>
        <w:t xml:space="preserve"> </w:t>
      </w:r>
      <w:r w:rsidR="008C0D44" w:rsidRPr="008B1465">
        <w:rPr>
          <w:rFonts w:ascii="Times New Roman" w:eastAsia="Calibri" w:hAnsi="Times New Roman"/>
          <w:bCs/>
          <w:sz w:val="24"/>
          <w:szCs w:val="24"/>
        </w:rPr>
        <w:t xml:space="preserve"> y</w:t>
      </w:r>
      <w:r w:rsidR="008C0D44" w:rsidRPr="008B1465">
        <w:rPr>
          <w:rFonts w:ascii="Times New Roman" w:eastAsia="Calibri" w:hAnsi="Times New Roman"/>
          <w:bCs/>
          <w:sz w:val="24"/>
          <w:szCs w:val="24"/>
          <w:vertAlign w:val="subscript"/>
        </w:rPr>
        <w:t>1</w:t>
      </w:r>
      <w:r w:rsidR="008C0D44" w:rsidRPr="008B1465">
        <w:rPr>
          <w:rFonts w:ascii="Times New Roman" w:eastAsia="Calibri" w:hAnsi="Times New Roman"/>
          <w:bCs/>
          <w:sz w:val="24"/>
          <w:szCs w:val="24"/>
        </w:rPr>
        <w:t xml:space="preserve"> =f (x</w:t>
      </w:r>
      <w:r w:rsidR="008C0D44" w:rsidRPr="008B1465">
        <w:rPr>
          <w:rFonts w:ascii="Times New Roman" w:eastAsia="Calibri" w:hAnsi="Times New Roman"/>
          <w:bCs/>
          <w:sz w:val="24"/>
          <w:szCs w:val="24"/>
          <w:vertAlign w:val="subscript"/>
        </w:rPr>
        <w:t>1</w:t>
      </w:r>
      <w:r w:rsidR="008C0D44" w:rsidRPr="008B1465">
        <w:rPr>
          <w:rFonts w:ascii="Times New Roman" w:eastAsia="Calibri" w:hAnsi="Times New Roman"/>
          <w:bCs/>
          <w:sz w:val="24"/>
          <w:szCs w:val="24"/>
        </w:rPr>
        <w:t>, x</w:t>
      </w:r>
      <w:r w:rsidR="008C0D44" w:rsidRPr="008B1465">
        <w:rPr>
          <w:rFonts w:ascii="Times New Roman" w:eastAsia="Calibri" w:hAnsi="Times New Roman"/>
          <w:bCs/>
          <w:sz w:val="24"/>
          <w:szCs w:val="24"/>
          <w:vertAlign w:val="subscript"/>
        </w:rPr>
        <w:t>2</w:t>
      </w:r>
      <w:r w:rsidR="008C0D44" w:rsidRPr="008B1465">
        <w:rPr>
          <w:rFonts w:ascii="Times New Roman" w:eastAsia="Calibri" w:hAnsi="Times New Roman"/>
          <w:bCs/>
          <w:sz w:val="24"/>
          <w:szCs w:val="24"/>
        </w:rPr>
        <w:t>, x</w:t>
      </w:r>
      <w:r w:rsidR="008C0D44" w:rsidRPr="008B1465">
        <w:rPr>
          <w:rFonts w:ascii="Times New Roman" w:eastAsia="Calibri" w:hAnsi="Times New Roman"/>
          <w:bCs/>
          <w:sz w:val="24"/>
          <w:szCs w:val="24"/>
          <w:vertAlign w:val="subscript"/>
        </w:rPr>
        <w:t>3</w:t>
      </w:r>
      <w:r w:rsidR="008C0D44" w:rsidRPr="008B1465">
        <w:rPr>
          <w:rFonts w:ascii="Times New Roman" w:eastAsia="Calibri" w:hAnsi="Times New Roman"/>
          <w:bCs/>
          <w:sz w:val="24"/>
          <w:szCs w:val="24"/>
        </w:rPr>
        <w:t>, x</w:t>
      </w:r>
      <w:r w:rsidR="008C0D44" w:rsidRPr="008B1465">
        <w:rPr>
          <w:rFonts w:ascii="Times New Roman" w:eastAsia="Calibri" w:hAnsi="Times New Roman"/>
          <w:bCs/>
          <w:sz w:val="24"/>
          <w:szCs w:val="24"/>
          <w:vertAlign w:val="subscript"/>
        </w:rPr>
        <w:t>4</w:t>
      </w:r>
      <w:r w:rsidR="008C0D44" w:rsidRPr="008B1465">
        <w:rPr>
          <w:rFonts w:ascii="Times New Roman" w:eastAsia="Calibri" w:hAnsi="Times New Roman"/>
          <w:bCs/>
          <w:sz w:val="24"/>
          <w:szCs w:val="24"/>
        </w:rPr>
        <w:t>)..…………………………………………………………equation 1</w:t>
      </w:r>
    </w:p>
    <w:p w14:paraId="724036EB" w14:textId="3F636AD5" w:rsidR="008C0D44" w:rsidRPr="008B1465" w:rsidRDefault="008C0D44" w:rsidP="008C0D44">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 </w:t>
      </w:r>
      <w:r w:rsidR="003B4D2B">
        <w:rPr>
          <w:rFonts w:ascii="Times New Roman" w:eastAsia="Calibri" w:hAnsi="Times New Roman"/>
          <w:bCs/>
          <w:sz w:val="24"/>
          <w:szCs w:val="24"/>
        </w:rPr>
        <w:t xml:space="preserve">    </w:t>
      </w:r>
      <w:r w:rsidRPr="008B1465">
        <w:rPr>
          <w:rFonts w:ascii="Times New Roman" w:eastAsia="Calibri" w:hAnsi="Times New Roman"/>
          <w:bCs/>
          <w:sz w:val="24"/>
          <w:szCs w:val="24"/>
        </w:rPr>
        <w:t>y</w:t>
      </w:r>
      <w:r w:rsidRPr="008B1465">
        <w:rPr>
          <w:rFonts w:ascii="Times New Roman" w:eastAsia="Calibri" w:hAnsi="Times New Roman"/>
          <w:bCs/>
          <w:sz w:val="24"/>
          <w:szCs w:val="24"/>
          <w:vertAlign w:val="subscript"/>
        </w:rPr>
        <w:t>2</w:t>
      </w:r>
      <w:r w:rsidRPr="008B1465">
        <w:rPr>
          <w:rFonts w:ascii="Times New Roman" w:eastAsia="Calibri" w:hAnsi="Times New Roman"/>
          <w:bCs/>
          <w:sz w:val="24"/>
          <w:szCs w:val="24"/>
        </w:rPr>
        <w:t xml:space="preserve"> =f (x</w:t>
      </w:r>
      <w:r w:rsidRPr="008B1465">
        <w:rPr>
          <w:rFonts w:ascii="Times New Roman" w:eastAsia="Calibri" w:hAnsi="Times New Roman"/>
          <w:bCs/>
          <w:sz w:val="24"/>
          <w:szCs w:val="24"/>
          <w:vertAlign w:val="subscript"/>
        </w:rPr>
        <w:t>1</w:t>
      </w:r>
      <w:r w:rsidRPr="008B1465">
        <w:rPr>
          <w:rFonts w:ascii="Times New Roman" w:eastAsia="Calibri" w:hAnsi="Times New Roman"/>
          <w:bCs/>
          <w:sz w:val="24"/>
          <w:szCs w:val="24"/>
        </w:rPr>
        <w:t>, x</w:t>
      </w:r>
      <w:r w:rsidRPr="008B1465">
        <w:rPr>
          <w:rFonts w:ascii="Times New Roman" w:eastAsia="Calibri" w:hAnsi="Times New Roman"/>
          <w:bCs/>
          <w:sz w:val="24"/>
          <w:szCs w:val="24"/>
          <w:vertAlign w:val="subscript"/>
        </w:rPr>
        <w:t>2</w:t>
      </w:r>
      <w:r w:rsidRPr="008B1465">
        <w:rPr>
          <w:rFonts w:ascii="Times New Roman" w:eastAsia="Calibri" w:hAnsi="Times New Roman"/>
          <w:bCs/>
          <w:sz w:val="24"/>
          <w:szCs w:val="24"/>
        </w:rPr>
        <w:t>, x</w:t>
      </w:r>
      <w:r w:rsidRPr="008B1465">
        <w:rPr>
          <w:rFonts w:ascii="Times New Roman" w:eastAsia="Calibri" w:hAnsi="Times New Roman"/>
          <w:bCs/>
          <w:sz w:val="24"/>
          <w:szCs w:val="24"/>
          <w:vertAlign w:val="subscript"/>
        </w:rPr>
        <w:t>3</w:t>
      </w:r>
      <w:r w:rsidRPr="008B1465">
        <w:rPr>
          <w:rFonts w:ascii="Times New Roman" w:eastAsia="Calibri" w:hAnsi="Times New Roman"/>
          <w:bCs/>
          <w:sz w:val="24"/>
          <w:szCs w:val="24"/>
        </w:rPr>
        <w:t>, x</w:t>
      </w:r>
      <w:r w:rsidRPr="008B1465">
        <w:rPr>
          <w:rFonts w:ascii="Times New Roman" w:eastAsia="Calibri" w:hAnsi="Times New Roman"/>
          <w:bCs/>
          <w:sz w:val="24"/>
          <w:szCs w:val="24"/>
          <w:vertAlign w:val="subscript"/>
        </w:rPr>
        <w:t>4</w:t>
      </w:r>
      <w:r w:rsidRPr="008B1465">
        <w:rPr>
          <w:rFonts w:ascii="Times New Roman" w:eastAsia="Calibri" w:hAnsi="Times New Roman"/>
          <w:bCs/>
          <w:sz w:val="24"/>
          <w:szCs w:val="24"/>
        </w:rPr>
        <w:t>)…………………………………………………………..equation 2</w:t>
      </w:r>
    </w:p>
    <w:p w14:paraId="2487C7DD" w14:textId="7D4BA78A" w:rsidR="008C0D44" w:rsidRPr="008B1465" w:rsidRDefault="008C0D44" w:rsidP="008C0D44">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 </w:t>
      </w:r>
      <w:r w:rsidR="003B4D2B">
        <w:rPr>
          <w:rFonts w:ascii="Times New Roman" w:eastAsia="Calibri" w:hAnsi="Times New Roman"/>
          <w:bCs/>
          <w:sz w:val="24"/>
          <w:szCs w:val="24"/>
        </w:rPr>
        <w:t xml:space="preserve">    </w:t>
      </w:r>
      <w:r w:rsidRPr="008B1465">
        <w:rPr>
          <w:rFonts w:ascii="Times New Roman" w:eastAsia="Calibri" w:hAnsi="Times New Roman"/>
          <w:bCs/>
          <w:sz w:val="24"/>
          <w:szCs w:val="24"/>
        </w:rPr>
        <w:t>y</w:t>
      </w:r>
      <w:r w:rsidRPr="008B1465">
        <w:rPr>
          <w:rFonts w:ascii="Times New Roman" w:eastAsia="Calibri" w:hAnsi="Times New Roman"/>
          <w:bCs/>
          <w:sz w:val="24"/>
          <w:szCs w:val="24"/>
          <w:vertAlign w:val="subscript"/>
        </w:rPr>
        <w:t>3</w:t>
      </w:r>
      <w:r w:rsidRPr="008B1465">
        <w:rPr>
          <w:rFonts w:ascii="Times New Roman" w:eastAsia="Calibri" w:hAnsi="Times New Roman"/>
          <w:bCs/>
          <w:sz w:val="24"/>
          <w:szCs w:val="24"/>
        </w:rPr>
        <w:t>=f (x</w:t>
      </w:r>
      <w:r w:rsidRPr="008B1465">
        <w:rPr>
          <w:rFonts w:ascii="Times New Roman" w:eastAsia="Calibri" w:hAnsi="Times New Roman"/>
          <w:bCs/>
          <w:sz w:val="24"/>
          <w:szCs w:val="24"/>
          <w:vertAlign w:val="subscript"/>
        </w:rPr>
        <w:t>1</w:t>
      </w:r>
      <w:r w:rsidRPr="008B1465">
        <w:rPr>
          <w:rFonts w:ascii="Times New Roman" w:eastAsia="Calibri" w:hAnsi="Times New Roman"/>
          <w:bCs/>
          <w:sz w:val="24"/>
          <w:szCs w:val="24"/>
        </w:rPr>
        <w:t>, x</w:t>
      </w:r>
      <w:r w:rsidRPr="008B1465">
        <w:rPr>
          <w:rFonts w:ascii="Times New Roman" w:eastAsia="Calibri" w:hAnsi="Times New Roman"/>
          <w:bCs/>
          <w:sz w:val="24"/>
          <w:szCs w:val="24"/>
          <w:vertAlign w:val="subscript"/>
        </w:rPr>
        <w:t>2</w:t>
      </w:r>
      <w:r w:rsidRPr="008B1465">
        <w:rPr>
          <w:rFonts w:ascii="Times New Roman" w:eastAsia="Calibri" w:hAnsi="Times New Roman"/>
          <w:bCs/>
          <w:sz w:val="24"/>
          <w:szCs w:val="24"/>
        </w:rPr>
        <w:t>, x</w:t>
      </w:r>
      <w:r w:rsidRPr="008B1465">
        <w:rPr>
          <w:rFonts w:ascii="Times New Roman" w:eastAsia="Calibri" w:hAnsi="Times New Roman"/>
          <w:bCs/>
          <w:sz w:val="24"/>
          <w:szCs w:val="24"/>
          <w:vertAlign w:val="subscript"/>
        </w:rPr>
        <w:t>3</w:t>
      </w:r>
      <w:r w:rsidRPr="008B1465">
        <w:rPr>
          <w:rFonts w:ascii="Times New Roman" w:eastAsia="Calibri" w:hAnsi="Times New Roman"/>
          <w:bCs/>
          <w:sz w:val="24"/>
          <w:szCs w:val="24"/>
        </w:rPr>
        <w:t>, x</w:t>
      </w:r>
      <w:r w:rsidRPr="008B1465">
        <w:rPr>
          <w:rFonts w:ascii="Times New Roman" w:eastAsia="Calibri" w:hAnsi="Times New Roman"/>
          <w:bCs/>
          <w:sz w:val="24"/>
          <w:szCs w:val="24"/>
          <w:vertAlign w:val="subscript"/>
        </w:rPr>
        <w:t xml:space="preserve">4 </w:t>
      </w:r>
      <w:r w:rsidRPr="008B1465">
        <w:rPr>
          <w:rFonts w:ascii="Times New Roman" w:eastAsia="Calibri" w:hAnsi="Times New Roman"/>
          <w:bCs/>
          <w:sz w:val="24"/>
          <w:szCs w:val="24"/>
        </w:rPr>
        <w:t>)…………………………………………………………...equation 3</w:t>
      </w:r>
    </w:p>
    <w:p w14:paraId="080B31BF" w14:textId="6152D58F" w:rsidR="008C0D44" w:rsidRDefault="008C0D44" w:rsidP="008C0D44">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 </w:t>
      </w:r>
      <w:r w:rsidR="0056113A">
        <w:rPr>
          <w:rFonts w:ascii="Times New Roman" w:eastAsia="Calibri" w:hAnsi="Times New Roman"/>
          <w:bCs/>
          <w:sz w:val="24"/>
          <w:szCs w:val="24"/>
        </w:rPr>
        <w:t xml:space="preserve">    </w:t>
      </w:r>
      <w:r w:rsidRPr="008B1465">
        <w:rPr>
          <w:rFonts w:ascii="Times New Roman" w:eastAsia="Calibri" w:hAnsi="Times New Roman"/>
          <w:bCs/>
          <w:sz w:val="24"/>
          <w:szCs w:val="24"/>
        </w:rPr>
        <w:t>y</w:t>
      </w:r>
      <w:r w:rsidRPr="008B1465">
        <w:rPr>
          <w:rFonts w:ascii="Times New Roman" w:eastAsia="Calibri" w:hAnsi="Times New Roman"/>
          <w:bCs/>
          <w:sz w:val="24"/>
          <w:szCs w:val="24"/>
          <w:vertAlign w:val="subscript"/>
        </w:rPr>
        <w:t>4</w:t>
      </w:r>
      <w:r w:rsidRPr="008B1465">
        <w:rPr>
          <w:rFonts w:ascii="Times New Roman" w:eastAsia="Calibri" w:hAnsi="Times New Roman"/>
          <w:bCs/>
          <w:sz w:val="24"/>
          <w:szCs w:val="24"/>
        </w:rPr>
        <w:t xml:space="preserve"> =f (x</w:t>
      </w:r>
      <w:r w:rsidRPr="008B1465">
        <w:rPr>
          <w:rFonts w:ascii="Times New Roman" w:eastAsia="Calibri" w:hAnsi="Times New Roman"/>
          <w:bCs/>
          <w:sz w:val="24"/>
          <w:szCs w:val="24"/>
          <w:vertAlign w:val="subscript"/>
        </w:rPr>
        <w:t>1</w:t>
      </w:r>
      <w:r w:rsidRPr="008B1465">
        <w:rPr>
          <w:rFonts w:ascii="Times New Roman" w:eastAsia="Calibri" w:hAnsi="Times New Roman"/>
          <w:bCs/>
          <w:sz w:val="24"/>
          <w:szCs w:val="24"/>
        </w:rPr>
        <w:t>, x</w:t>
      </w:r>
      <w:r w:rsidRPr="008B1465">
        <w:rPr>
          <w:rFonts w:ascii="Times New Roman" w:eastAsia="Calibri" w:hAnsi="Times New Roman"/>
          <w:bCs/>
          <w:sz w:val="24"/>
          <w:szCs w:val="24"/>
          <w:vertAlign w:val="subscript"/>
        </w:rPr>
        <w:t>2</w:t>
      </w:r>
      <w:r w:rsidRPr="008B1465">
        <w:rPr>
          <w:rFonts w:ascii="Times New Roman" w:eastAsia="Calibri" w:hAnsi="Times New Roman"/>
          <w:bCs/>
          <w:sz w:val="24"/>
          <w:szCs w:val="24"/>
        </w:rPr>
        <w:t>, x</w:t>
      </w:r>
      <w:r w:rsidRPr="008B1465">
        <w:rPr>
          <w:rFonts w:ascii="Times New Roman" w:eastAsia="Calibri" w:hAnsi="Times New Roman"/>
          <w:bCs/>
          <w:sz w:val="24"/>
          <w:szCs w:val="24"/>
          <w:vertAlign w:val="subscript"/>
        </w:rPr>
        <w:t>3</w:t>
      </w:r>
      <w:r w:rsidRPr="008B1465">
        <w:rPr>
          <w:rFonts w:ascii="Times New Roman" w:eastAsia="Calibri" w:hAnsi="Times New Roman"/>
          <w:bCs/>
          <w:sz w:val="24"/>
          <w:szCs w:val="24"/>
        </w:rPr>
        <w:t>, x</w:t>
      </w:r>
      <w:r w:rsidRPr="008B1465">
        <w:rPr>
          <w:rFonts w:ascii="Times New Roman" w:eastAsia="Calibri" w:hAnsi="Times New Roman"/>
          <w:bCs/>
          <w:sz w:val="24"/>
          <w:szCs w:val="24"/>
          <w:vertAlign w:val="subscript"/>
        </w:rPr>
        <w:t>4</w:t>
      </w:r>
      <w:r w:rsidRPr="008B1465">
        <w:rPr>
          <w:rFonts w:ascii="Times New Roman" w:eastAsia="Calibri" w:hAnsi="Times New Roman"/>
          <w:bCs/>
          <w:sz w:val="24"/>
          <w:szCs w:val="24"/>
        </w:rPr>
        <w:t>)…………………………………………………………...equation 4</w:t>
      </w:r>
    </w:p>
    <w:p w14:paraId="41D7BC0C" w14:textId="0C55DDD2" w:rsidR="00AF55F5" w:rsidRDefault="00AF55F5" w:rsidP="008C0D44">
      <w:pPr>
        <w:spacing w:after="0" w:line="360" w:lineRule="auto"/>
        <w:jc w:val="both"/>
        <w:rPr>
          <w:rFonts w:ascii="Times New Roman" w:eastAsia="Calibri" w:hAnsi="Times New Roman"/>
          <w:bCs/>
          <w:sz w:val="24"/>
          <w:szCs w:val="24"/>
        </w:rPr>
      </w:pPr>
    </w:p>
    <w:p w14:paraId="4827924A" w14:textId="7A177970" w:rsidR="00BF4409" w:rsidRPr="008B1465" w:rsidRDefault="00BF4409" w:rsidP="00D01599">
      <w:pPr>
        <w:pStyle w:val="NoSpacing"/>
        <w:spacing w:line="360" w:lineRule="auto"/>
        <w:ind w:left="360"/>
        <w:rPr>
          <w:rFonts w:ascii="Times New Roman" w:eastAsia="DengXian" w:hAnsi="Times New Roman"/>
          <w:sz w:val="24"/>
          <w:szCs w:val="24"/>
        </w:rPr>
      </w:pPr>
      <w:r w:rsidRPr="008B1465">
        <w:rPr>
          <w:rFonts w:ascii="Times New Roman" w:eastAsia="DengXian" w:hAnsi="Times New Roman"/>
          <w:sz w:val="24"/>
          <w:szCs w:val="24"/>
        </w:rPr>
        <w:t>FM</w:t>
      </w:r>
      <w:r w:rsidR="00DA4235">
        <w:rPr>
          <w:rFonts w:ascii="Times New Roman" w:eastAsia="DengXian" w:hAnsi="Times New Roman"/>
          <w:sz w:val="24"/>
          <w:szCs w:val="24"/>
        </w:rPr>
        <w:t xml:space="preserve"> </w:t>
      </w:r>
      <w:r w:rsidRPr="008B1465">
        <w:rPr>
          <w:rFonts w:ascii="Times New Roman" w:eastAsia="DengXian" w:hAnsi="Times New Roman"/>
          <w:sz w:val="24"/>
          <w:szCs w:val="24"/>
        </w:rPr>
        <w:t xml:space="preserve">= </w:t>
      </w:r>
      <w:r w:rsidR="00DA4235">
        <w:rPr>
          <w:rFonts w:ascii="Times New Roman" w:eastAsia="DengXian" w:hAnsi="Times New Roman"/>
          <w:bCs/>
          <w:sz w:val="24"/>
          <w:szCs w:val="24"/>
        </w:rPr>
        <w:t>f(</w:t>
      </w:r>
      <w:r w:rsidR="00DA4235" w:rsidRPr="008B1465">
        <w:rPr>
          <w:rFonts w:ascii="Times New Roman" w:eastAsia="DengXian" w:hAnsi="Times New Roman"/>
          <w:sz w:val="24"/>
          <w:szCs w:val="24"/>
        </w:rPr>
        <w:t>IF</w:t>
      </w:r>
      <w:r w:rsidR="00DA4235">
        <w:rPr>
          <w:rFonts w:ascii="Times New Roman" w:eastAsia="DengXian" w:hAnsi="Times New Roman"/>
          <w:sz w:val="24"/>
          <w:szCs w:val="24"/>
          <w:vertAlign w:val="subscript"/>
        </w:rPr>
        <w:t xml:space="preserve">, </w:t>
      </w:r>
      <w:r w:rsidR="00DA4235" w:rsidRPr="008B1465">
        <w:rPr>
          <w:rFonts w:ascii="Times New Roman" w:eastAsia="DengXian" w:hAnsi="Times New Roman"/>
          <w:sz w:val="24"/>
          <w:szCs w:val="24"/>
        </w:rPr>
        <w:t>LS</w:t>
      </w:r>
      <w:r w:rsidR="00DA4235">
        <w:rPr>
          <w:rFonts w:ascii="Times New Roman" w:eastAsia="DengXian" w:hAnsi="Times New Roman"/>
          <w:sz w:val="24"/>
          <w:szCs w:val="24"/>
          <w:vertAlign w:val="subscript"/>
        </w:rPr>
        <w:t xml:space="preserve">, </w:t>
      </w:r>
      <w:r w:rsidR="00DA4235" w:rsidRPr="008B1465">
        <w:rPr>
          <w:rFonts w:ascii="Times New Roman" w:eastAsia="DengXian" w:hAnsi="Times New Roman"/>
          <w:sz w:val="24"/>
          <w:szCs w:val="24"/>
        </w:rPr>
        <w:t>SCCP</w:t>
      </w:r>
      <w:r w:rsidR="00DA4235">
        <w:rPr>
          <w:rFonts w:ascii="Times New Roman" w:eastAsia="DengXian" w:hAnsi="Times New Roman"/>
          <w:sz w:val="24"/>
          <w:szCs w:val="24"/>
          <w:vertAlign w:val="subscript"/>
        </w:rPr>
        <w:t xml:space="preserve">, </w:t>
      </w:r>
      <w:r w:rsidR="00DA4235" w:rsidRPr="008B1465">
        <w:rPr>
          <w:rFonts w:ascii="Times New Roman" w:eastAsia="DengXian" w:hAnsi="Times New Roman"/>
          <w:sz w:val="24"/>
          <w:szCs w:val="24"/>
        </w:rPr>
        <w:t>ADE</w:t>
      </w:r>
      <w:r w:rsidR="00DA4235">
        <w:rPr>
          <w:rFonts w:ascii="Times New Roman" w:eastAsia="DengXian" w:hAnsi="Times New Roman"/>
          <w:sz w:val="24"/>
          <w:szCs w:val="24"/>
        </w:rPr>
        <w:t>)</w:t>
      </w:r>
      <w:r w:rsidR="00C22B7A">
        <w:rPr>
          <w:rFonts w:ascii="Times New Roman" w:eastAsia="DengXian" w:hAnsi="Times New Roman"/>
          <w:sz w:val="24"/>
          <w:szCs w:val="24"/>
        </w:rPr>
        <w:t>..</w:t>
      </w:r>
      <w:r w:rsidRPr="008B1465">
        <w:rPr>
          <w:rFonts w:ascii="Times New Roman" w:eastAsia="DengXian" w:hAnsi="Times New Roman"/>
          <w:sz w:val="24"/>
          <w:szCs w:val="24"/>
        </w:rPr>
        <w:t>….………………....</w:t>
      </w:r>
      <w:r w:rsidR="001A01DA">
        <w:rPr>
          <w:rFonts w:ascii="Times New Roman" w:eastAsia="DengXian" w:hAnsi="Times New Roman"/>
          <w:sz w:val="24"/>
          <w:szCs w:val="24"/>
        </w:rPr>
        <w:t>........................................</w:t>
      </w:r>
      <w:r w:rsidRPr="008B1465">
        <w:rPr>
          <w:rFonts w:ascii="Times New Roman" w:eastAsia="DengXian" w:hAnsi="Times New Roman"/>
          <w:sz w:val="24"/>
          <w:szCs w:val="24"/>
        </w:rPr>
        <w:t xml:space="preserve"> </w:t>
      </w:r>
      <w:r>
        <w:rPr>
          <w:rFonts w:ascii="Times New Roman" w:eastAsia="DengXian" w:hAnsi="Times New Roman"/>
          <w:sz w:val="24"/>
          <w:szCs w:val="24"/>
        </w:rPr>
        <w:t>Equation</w:t>
      </w:r>
      <w:r w:rsidRPr="008B1465">
        <w:rPr>
          <w:rFonts w:ascii="Times New Roman" w:eastAsia="DengXian" w:hAnsi="Times New Roman"/>
          <w:sz w:val="24"/>
          <w:szCs w:val="24"/>
        </w:rPr>
        <w:t xml:space="preserve"> 1</w:t>
      </w:r>
    </w:p>
    <w:p w14:paraId="3123EC7D" w14:textId="731B5FCA" w:rsidR="00BF4409" w:rsidRPr="008B1465" w:rsidRDefault="00BF4409" w:rsidP="00D01599">
      <w:pPr>
        <w:pStyle w:val="NoSpacing"/>
        <w:spacing w:line="360" w:lineRule="auto"/>
        <w:ind w:left="360"/>
        <w:rPr>
          <w:rFonts w:ascii="Times New Roman" w:eastAsia="DengXian" w:hAnsi="Times New Roman"/>
          <w:sz w:val="24"/>
          <w:szCs w:val="24"/>
        </w:rPr>
      </w:pPr>
      <w:r w:rsidRPr="008B1465">
        <w:rPr>
          <w:rFonts w:ascii="Times New Roman" w:eastAsia="DengXian" w:hAnsi="Times New Roman"/>
          <w:sz w:val="24"/>
          <w:szCs w:val="24"/>
        </w:rPr>
        <w:t xml:space="preserve">VM = </w:t>
      </w:r>
      <w:r w:rsidR="00DA4235">
        <w:rPr>
          <w:rFonts w:ascii="Times New Roman" w:eastAsia="DengXian" w:hAnsi="Times New Roman"/>
          <w:bCs/>
          <w:sz w:val="24"/>
          <w:szCs w:val="24"/>
        </w:rPr>
        <w:t>f(</w:t>
      </w:r>
      <w:r w:rsidR="00DA4235" w:rsidRPr="008B1465">
        <w:rPr>
          <w:rFonts w:ascii="Times New Roman" w:eastAsia="DengXian" w:hAnsi="Times New Roman"/>
          <w:sz w:val="24"/>
          <w:szCs w:val="24"/>
        </w:rPr>
        <w:t>IF</w:t>
      </w:r>
      <w:r w:rsidR="00DA4235">
        <w:rPr>
          <w:rFonts w:ascii="Times New Roman" w:eastAsia="DengXian" w:hAnsi="Times New Roman"/>
          <w:sz w:val="24"/>
          <w:szCs w:val="24"/>
          <w:vertAlign w:val="subscript"/>
        </w:rPr>
        <w:t xml:space="preserve">, </w:t>
      </w:r>
      <w:r w:rsidR="00DA4235" w:rsidRPr="008B1465">
        <w:rPr>
          <w:rFonts w:ascii="Times New Roman" w:eastAsia="DengXian" w:hAnsi="Times New Roman"/>
          <w:sz w:val="24"/>
          <w:szCs w:val="24"/>
        </w:rPr>
        <w:t>LS</w:t>
      </w:r>
      <w:r w:rsidR="00DA4235">
        <w:rPr>
          <w:rFonts w:ascii="Times New Roman" w:eastAsia="DengXian" w:hAnsi="Times New Roman"/>
          <w:sz w:val="24"/>
          <w:szCs w:val="24"/>
          <w:vertAlign w:val="subscript"/>
        </w:rPr>
        <w:t xml:space="preserve">, </w:t>
      </w:r>
      <w:r w:rsidR="00DA4235" w:rsidRPr="008B1465">
        <w:rPr>
          <w:rFonts w:ascii="Times New Roman" w:eastAsia="DengXian" w:hAnsi="Times New Roman"/>
          <w:sz w:val="24"/>
          <w:szCs w:val="24"/>
        </w:rPr>
        <w:t>SCCP</w:t>
      </w:r>
      <w:r w:rsidR="00DA4235">
        <w:rPr>
          <w:rFonts w:ascii="Times New Roman" w:eastAsia="DengXian" w:hAnsi="Times New Roman"/>
          <w:sz w:val="24"/>
          <w:szCs w:val="24"/>
          <w:vertAlign w:val="subscript"/>
        </w:rPr>
        <w:t xml:space="preserve">, </w:t>
      </w:r>
      <w:r w:rsidR="00DA4235" w:rsidRPr="008B1465">
        <w:rPr>
          <w:rFonts w:ascii="Times New Roman" w:eastAsia="DengXian" w:hAnsi="Times New Roman"/>
          <w:sz w:val="24"/>
          <w:szCs w:val="24"/>
        </w:rPr>
        <w:t>ADE</w:t>
      </w:r>
      <w:r w:rsidR="00DA4235">
        <w:rPr>
          <w:rFonts w:ascii="Times New Roman" w:eastAsia="DengXian" w:hAnsi="Times New Roman"/>
          <w:sz w:val="24"/>
          <w:szCs w:val="24"/>
        </w:rPr>
        <w:t>)</w:t>
      </w:r>
      <w:r w:rsidR="00C22B7A">
        <w:rPr>
          <w:rFonts w:ascii="Times New Roman" w:eastAsia="DengXian" w:hAnsi="Times New Roman"/>
          <w:sz w:val="24"/>
          <w:szCs w:val="24"/>
        </w:rPr>
        <w:t>..</w:t>
      </w:r>
      <w:r w:rsidRPr="008B1465">
        <w:rPr>
          <w:rFonts w:ascii="Times New Roman" w:eastAsia="DengXian" w:hAnsi="Times New Roman"/>
          <w:sz w:val="24"/>
          <w:szCs w:val="24"/>
        </w:rPr>
        <w:t>….………………...</w:t>
      </w:r>
      <w:r w:rsidR="001A01DA">
        <w:rPr>
          <w:rFonts w:ascii="Times New Roman" w:eastAsia="DengXian" w:hAnsi="Times New Roman"/>
          <w:sz w:val="24"/>
          <w:szCs w:val="24"/>
        </w:rPr>
        <w:t>.........................................</w:t>
      </w:r>
      <w:r w:rsidR="0071708C">
        <w:rPr>
          <w:rFonts w:ascii="Times New Roman" w:eastAsia="DengXian" w:hAnsi="Times New Roman"/>
          <w:sz w:val="24"/>
          <w:szCs w:val="24"/>
        </w:rPr>
        <w:t>Equation</w:t>
      </w:r>
      <w:r w:rsidRPr="008B1465">
        <w:rPr>
          <w:rFonts w:ascii="Times New Roman" w:eastAsia="DengXian" w:hAnsi="Times New Roman"/>
          <w:sz w:val="24"/>
          <w:szCs w:val="24"/>
        </w:rPr>
        <w:t xml:space="preserve"> 2</w:t>
      </w:r>
    </w:p>
    <w:p w14:paraId="4A3440EA" w14:textId="226D0B44" w:rsidR="00BF4409" w:rsidRPr="008B1465" w:rsidRDefault="00BF4409" w:rsidP="00D01599">
      <w:pPr>
        <w:pStyle w:val="NoSpacing"/>
        <w:spacing w:line="360" w:lineRule="auto"/>
        <w:ind w:left="360"/>
        <w:rPr>
          <w:rFonts w:ascii="Times New Roman" w:eastAsia="DengXian" w:hAnsi="Times New Roman"/>
          <w:sz w:val="24"/>
          <w:szCs w:val="24"/>
        </w:rPr>
      </w:pPr>
      <w:r w:rsidRPr="008B1465">
        <w:rPr>
          <w:rFonts w:ascii="Times New Roman" w:eastAsia="DengXian" w:hAnsi="Times New Roman"/>
          <w:sz w:val="24"/>
          <w:szCs w:val="24"/>
        </w:rPr>
        <w:t>CAP</w:t>
      </w:r>
      <w:r w:rsidR="00DA4235">
        <w:rPr>
          <w:rFonts w:ascii="Times New Roman" w:eastAsia="DengXian" w:hAnsi="Times New Roman"/>
          <w:sz w:val="24"/>
          <w:szCs w:val="24"/>
        </w:rPr>
        <w:t xml:space="preserve"> </w:t>
      </w:r>
      <w:r w:rsidRPr="008B1465">
        <w:rPr>
          <w:rFonts w:ascii="Times New Roman" w:eastAsia="DengXian" w:hAnsi="Times New Roman"/>
          <w:sz w:val="24"/>
          <w:szCs w:val="24"/>
        </w:rPr>
        <w:t xml:space="preserve">= </w:t>
      </w:r>
      <w:r w:rsidR="00D4263A">
        <w:rPr>
          <w:rFonts w:ascii="Times New Roman" w:eastAsia="DengXian" w:hAnsi="Times New Roman"/>
          <w:bCs/>
          <w:sz w:val="24"/>
          <w:szCs w:val="24"/>
        </w:rPr>
        <w:t>f(</w:t>
      </w:r>
      <w:r w:rsidR="00D4263A" w:rsidRPr="008B1465">
        <w:rPr>
          <w:rFonts w:ascii="Times New Roman" w:eastAsia="DengXian" w:hAnsi="Times New Roman"/>
          <w:sz w:val="24"/>
          <w:szCs w:val="24"/>
        </w:rPr>
        <w:t>IF</w:t>
      </w:r>
      <w:r w:rsidR="00D4263A">
        <w:rPr>
          <w:rFonts w:ascii="Times New Roman" w:eastAsia="DengXian" w:hAnsi="Times New Roman"/>
          <w:sz w:val="24"/>
          <w:szCs w:val="24"/>
          <w:vertAlign w:val="subscript"/>
        </w:rPr>
        <w:t xml:space="preserve">, </w:t>
      </w:r>
      <w:r w:rsidR="00D4263A" w:rsidRPr="008B1465">
        <w:rPr>
          <w:rFonts w:ascii="Times New Roman" w:eastAsia="DengXian" w:hAnsi="Times New Roman"/>
          <w:sz w:val="24"/>
          <w:szCs w:val="24"/>
        </w:rPr>
        <w:t>LS</w:t>
      </w:r>
      <w:r w:rsidR="00D4263A">
        <w:rPr>
          <w:rFonts w:ascii="Times New Roman" w:eastAsia="DengXian" w:hAnsi="Times New Roman"/>
          <w:sz w:val="24"/>
          <w:szCs w:val="24"/>
          <w:vertAlign w:val="subscript"/>
        </w:rPr>
        <w:t xml:space="preserve">, </w:t>
      </w:r>
      <w:r w:rsidR="00D4263A" w:rsidRPr="008B1465">
        <w:rPr>
          <w:rFonts w:ascii="Times New Roman" w:eastAsia="DengXian" w:hAnsi="Times New Roman"/>
          <w:sz w:val="24"/>
          <w:szCs w:val="24"/>
        </w:rPr>
        <w:t>SCCP</w:t>
      </w:r>
      <w:r w:rsidR="00D4263A">
        <w:rPr>
          <w:rFonts w:ascii="Times New Roman" w:eastAsia="DengXian" w:hAnsi="Times New Roman"/>
          <w:sz w:val="24"/>
          <w:szCs w:val="24"/>
          <w:vertAlign w:val="subscript"/>
        </w:rPr>
        <w:t xml:space="preserve">, </w:t>
      </w:r>
      <w:r w:rsidR="00D4263A" w:rsidRPr="008B1465">
        <w:rPr>
          <w:rFonts w:ascii="Times New Roman" w:eastAsia="DengXian" w:hAnsi="Times New Roman"/>
          <w:sz w:val="24"/>
          <w:szCs w:val="24"/>
        </w:rPr>
        <w:t>ADE</w:t>
      </w:r>
      <w:r w:rsidR="00D4263A">
        <w:rPr>
          <w:rFonts w:ascii="Times New Roman" w:eastAsia="DengXian" w:hAnsi="Times New Roman"/>
          <w:sz w:val="24"/>
          <w:szCs w:val="24"/>
        </w:rPr>
        <w:t>)</w:t>
      </w:r>
      <w:r w:rsidR="000771FA">
        <w:rPr>
          <w:rFonts w:ascii="Times New Roman" w:eastAsia="DengXian" w:hAnsi="Times New Roman"/>
          <w:sz w:val="24"/>
          <w:szCs w:val="24"/>
        </w:rPr>
        <w:t>..</w:t>
      </w:r>
      <w:r w:rsidRPr="008B1465">
        <w:rPr>
          <w:rFonts w:ascii="Times New Roman" w:eastAsia="DengXian" w:hAnsi="Times New Roman"/>
          <w:sz w:val="24"/>
          <w:szCs w:val="24"/>
        </w:rPr>
        <w:t>….………………</w:t>
      </w:r>
      <w:r w:rsidR="001A01DA">
        <w:rPr>
          <w:rFonts w:ascii="Times New Roman" w:eastAsia="DengXian" w:hAnsi="Times New Roman"/>
          <w:sz w:val="24"/>
          <w:szCs w:val="24"/>
        </w:rPr>
        <w:t>…………………………...</w:t>
      </w:r>
      <w:r w:rsidR="0071708C">
        <w:rPr>
          <w:rFonts w:ascii="Times New Roman" w:eastAsia="DengXian" w:hAnsi="Times New Roman"/>
          <w:sz w:val="24"/>
          <w:szCs w:val="24"/>
        </w:rPr>
        <w:t>Equation</w:t>
      </w:r>
      <w:r w:rsidR="0071708C" w:rsidRPr="008B1465">
        <w:rPr>
          <w:rFonts w:ascii="Times New Roman" w:eastAsia="DengXian" w:hAnsi="Times New Roman"/>
          <w:sz w:val="24"/>
          <w:szCs w:val="24"/>
        </w:rPr>
        <w:t xml:space="preserve"> </w:t>
      </w:r>
      <w:r w:rsidRPr="008B1465">
        <w:rPr>
          <w:rFonts w:ascii="Times New Roman" w:eastAsia="DengXian" w:hAnsi="Times New Roman"/>
          <w:sz w:val="24"/>
          <w:szCs w:val="24"/>
        </w:rPr>
        <w:t>3</w:t>
      </w:r>
    </w:p>
    <w:p w14:paraId="51AB321D" w14:textId="2B6D97C3" w:rsidR="00BF4409" w:rsidRPr="008B1465" w:rsidRDefault="00BF4409" w:rsidP="00D01599">
      <w:pPr>
        <w:pStyle w:val="NoSpacing"/>
        <w:spacing w:line="360" w:lineRule="auto"/>
        <w:ind w:left="360"/>
        <w:rPr>
          <w:rFonts w:ascii="Times New Roman" w:eastAsia="DengXian" w:hAnsi="Times New Roman"/>
          <w:sz w:val="24"/>
          <w:szCs w:val="24"/>
        </w:rPr>
      </w:pPr>
      <w:r w:rsidRPr="008B1465">
        <w:rPr>
          <w:rFonts w:ascii="Times New Roman" w:eastAsia="DengXian" w:hAnsi="Times New Roman"/>
          <w:sz w:val="24"/>
          <w:szCs w:val="24"/>
        </w:rPr>
        <w:t xml:space="preserve">PP = </w:t>
      </w:r>
      <w:r w:rsidR="00D4263A">
        <w:rPr>
          <w:rFonts w:ascii="Times New Roman" w:eastAsia="DengXian" w:hAnsi="Times New Roman"/>
          <w:bCs/>
          <w:sz w:val="24"/>
          <w:szCs w:val="24"/>
        </w:rPr>
        <w:t>f(</w:t>
      </w:r>
      <w:r w:rsidRPr="008B1465">
        <w:rPr>
          <w:rFonts w:ascii="Times New Roman" w:eastAsia="DengXian" w:hAnsi="Times New Roman"/>
          <w:sz w:val="24"/>
          <w:szCs w:val="24"/>
        </w:rPr>
        <w:t>IF</w:t>
      </w:r>
      <w:r w:rsidR="0065429C">
        <w:rPr>
          <w:rFonts w:ascii="Times New Roman" w:eastAsia="DengXian" w:hAnsi="Times New Roman"/>
          <w:sz w:val="24"/>
          <w:szCs w:val="24"/>
          <w:vertAlign w:val="subscript"/>
        </w:rPr>
        <w:t xml:space="preserve">, </w:t>
      </w:r>
      <w:r w:rsidRPr="008B1465">
        <w:rPr>
          <w:rFonts w:ascii="Times New Roman" w:eastAsia="DengXian" w:hAnsi="Times New Roman"/>
          <w:sz w:val="24"/>
          <w:szCs w:val="24"/>
        </w:rPr>
        <w:t>LS</w:t>
      </w:r>
      <w:r w:rsidR="0065429C">
        <w:rPr>
          <w:rFonts w:ascii="Times New Roman" w:eastAsia="DengXian" w:hAnsi="Times New Roman"/>
          <w:sz w:val="24"/>
          <w:szCs w:val="24"/>
          <w:vertAlign w:val="subscript"/>
        </w:rPr>
        <w:t xml:space="preserve">, </w:t>
      </w:r>
      <w:r w:rsidRPr="008B1465">
        <w:rPr>
          <w:rFonts w:ascii="Times New Roman" w:eastAsia="DengXian" w:hAnsi="Times New Roman"/>
          <w:sz w:val="24"/>
          <w:szCs w:val="24"/>
        </w:rPr>
        <w:t>SCCP</w:t>
      </w:r>
      <w:r w:rsidR="0065429C">
        <w:rPr>
          <w:rFonts w:ascii="Times New Roman" w:eastAsia="DengXian" w:hAnsi="Times New Roman"/>
          <w:sz w:val="24"/>
          <w:szCs w:val="24"/>
          <w:vertAlign w:val="subscript"/>
        </w:rPr>
        <w:t xml:space="preserve">, </w:t>
      </w:r>
      <w:r w:rsidRPr="008B1465">
        <w:rPr>
          <w:rFonts w:ascii="Times New Roman" w:eastAsia="DengXian" w:hAnsi="Times New Roman"/>
          <w:sz w:val="24"/>
          <w:szCs w:val="24"/>
        </w:rPr>
        <w:t>ADE</w:t>
      </w:r>
      <w:r w:rsidR="00D4263A">
        <w:rPr>
          <w:rFonts w:ascii="Times New Roman" w:eastAsia="DengXian" w:hAnsi="Times New Roman"/>
          <w:sz w:val="24"/>
          <w:szCs w:val="24"/>
        </w:rPr>
        <w:t>)</w:t>
      </w:r>
      <w:r w:rsidR="000771FA">
        <w:rPr>
          <w:rFonts w:ascii="Times New Roman" w:eastAsia="DengXian" w:hAnsi="Times New Roman"/>
          <w:sz w:val="24"/>
          <w:szCs w:val="24"/>
        </w:rPr>
        <w:t>..</w:t>
      </w:r>
      <w:r w:rsidRPr="008B1465">
        <w:rPr>
          <w:rFonts w:ascii="Times New Roman" w:eastAsia="DengXian" w:hAnsi="Times New Roman"/>
          <w:sz w:val="24"/>
          <w:szCs w:val="24"/>
        </w:rPr>
        <w:t>….……………........</w:t>
      </w:r>
      <w:r w:rsidR="00012CE1">
        <w:rPr>
          <w:rFonts w:ascii="Times New Roman" w:eastAsia="DengXian" w:hAnsi="Times New Roman"/>
          <w:sz w:val="24"/>
          <w:szCs w:val="24"/>
        </w:rPr>
        <w:t xml:space="preserve"> ………………………….</w:t>
      </w:r>
      <w:r w:rsidR="0065429C">
        <w:rPr>
          <w:rFonts w:ascii="Times New Roman" w:eastAsia="DengXian" w:hAnsi="Times New Roman"/>
          <w:sz w:val="24"/>
          <w:szCs w:val="24"/>
        </w:rPr>
        <w:t>Equation</w:t>
      </w:r>
      <w:r w:rsidR="0065429C" w:rsidRPr="008B1465">
        <w:rPr>
          <w:rFonts w:ascii="Times New Roman" w:eastAsia="DengXian" w:hAnsi="Times New Roman"/>
          <w:sz w:val="24"/>
          <w:szCs w:val="24"/>
        </w:rPr>
        <w:t xml:space="preserve"> </w:t>
      </w:r>
      <w:r w:rsidRPr="008B1465">
        <w:rPr>
          <w:rFonts w:ascii="Times New Roman" w:eastAsia="DengXian" w:hAnsi="Times New Roman"/>
          <w:sz w:val="24"/>
          <w:szCs w:val="24"/>
        </w:rPr>
        <w:t>4</w:t>
      </w:r>
    </w:p>
    <w:p w14:paraId="552B8360" w14:textId="288BB43C" w:rsidR="00AF55F5" w:rsidRPr="008B1465" w:rsidRDefault="00AF55F5" w:rsidP="008C0D44">
      <w:pPr>
        <w:spacing w:after="0" w:line="360" w:lineRule="auto"/>
        <w:jc w:val="both"/>
        <w:rPr>
          <w:rFonts w:ascii="Times New Roman" w:eastAsia="Calibri" w:hAnsi="Times New Roman"/>
          <w:bCs/>
          <w:sz w:val="24"/>
          <w:szCs w:val="24"/>
        </w:rPr>
      </w:pPr>
    </w:p>
    <w:p w14:paraId="10674DF6" w14:textId="5CD78E18" w:rsidR="005F2821" w:rsidRPr="008B1465" w:rsidRDefault="008C0D44" w:rsidP="007152AF">
      <w:pPr>
        <w:pStyle w:val="Heading1"/>
        <w:pageBreakBefore/>
        <w:numPr>
          <w:ilvl w:val="0"/>
          <w:numId w:val="0"/>
        </w:numPr>
        <w:spacing w:before="0" w:beforeAutospacing="0" w:line="360" w:lineRule="auto"/>
        <w:rPr>
          <w:rFonts w:cs="Times New Roman"/>
          <w:szCs w:val="24"/>
        </w:rPr>
      </w:pPr>
      <w:r w:rsidRPr="008B1465">
        <w:rPr>
          <w:rFonts w:eastAsia="Calibri"/>
          <w:b w:val="0"/>
          <w:szCs w:val="24"/>
        </w:rPr>
        <w:t xml:space="preserve"> </w:t>
      </w:r>
      <w:r w:rsidR="007C2BDC" w:rsidRPr="008B1465">
        <w:rPr>
          <w:rFonts w:eastAsia="Calibri"/>
          <w:b w:val="0"/>
          <w:szCs w:val="24"/>
        </w:rPr>
        <w:t xml:space="preserve">                                              </w:t>
      </w:r>
      <w:bookmarkStart w:id="34" w:name="_Toc145951080"/>
      <w:r w:rsidR="005F2821" w:rsidRPr="008B1465">
        <w:rPr>
          <w:rFonts w:cs="Times New Roman"/>
          <w:szCs w:val="24"/>
        </w:rPr>
        <w:t>CHAPTER TWO</w:t>
      </w:r>
      <w:r w:rsidR="007C2BDC" w:rsidRPr="008B1465">
        <w:rPr>
          <w:rFonts w:cs="Times New Roman"/>
          <w:color w:val="FFFFFF" w:themeColor="background1"/>
          <w:szCs w:val="24"/>
        </w:rPr>
        <w:t>: LITERATURE REVIEW</w:t>
      </w:r>
      <w:bookmarkEnd w:id="34"/>
    </w:p>
    <w:p w14:paraId="662693E2" w14:textId="77777777" w:rsidR="005F2821" w:rsidRPr="008B1465" w:rsidRDefault="005F2821" w:rsidP="007152AF">
      <w:pPr>
        <w:pStyle w:val="Heading1"/>
        <w:spacing w:before="0" w:beforeAutospacing="0" w:line="360" w:lineRule="auto"/>
        <w:rPr>
          <w:rFonts w:cs="Times New Roman"/>
          <w:szCs w:val="24"/>
        </w:rPr>
      </w:pPr>
      <w:bookmarkStart w:id="35" w:name="_Toc135917738"/>
      <w:bookmarkStart w:id="36" w:name="_Toc136014757"/>
      <w:bookmarkStart w:id="37" w:name="_Toc136015490"/>
      <w:bookmarkStart w:id="38" w:name="_Toc145951081"/>
      <w:r w:rsidRPr="008B1465">
        <w:rPr>
          <w:rFonts w:cs="Times New Roman"/>
          <w:szCs w:val="24"/>
        </w:rPr>
        <w:t>LITERATURE REVIEW</w:t>
      </w:r>
      <w:bookmarkEnd w:id="35"/>
      <w:bookmarkEnd w:id="36"/>
      <w:bookmarkEnd w:id="37"/>
      <w:bookmarkEnd w:id="38"/>
    </w:p>
    <w:p w14:paraId="5529A37A" w14:textId="1AA4A31F" w:rsidR="001616E5" w:rsidRPr="008B1465" w:rsidRDefault="003F05E3" w:rsidP="007541CB">
      <w:pPr>
        <w:pStyle w:val="Heading2"/>
        <w:spacing w:line="360" w:lineRule="auto"/>
        <w:rPr>
          <w:rFonts w:cs="Times New Roman"/>
          <w:sz w:val="24"/>
          <w:szCs w:val="24"/>
        </w:rPr>
      </w:pPr>
      <w:bookmarkStart w:id="39" w:name="_Toc145951082"/>
      <w:r w:rsidRPr="008B1465">
        <w:rPr>
          <w:rFonts w:cs="Times New Roman"/>
          <w:sz w:val="24"/>
          <w:szCs w:val="24"/>
        </w:rPr>
        <w:t>Conceptual Review</w:t>
      </w:r>
      <w:bookmarkEnd w:id="39"/>
    </w:p>
    <w:p w14:paraId="39715EA1" w14:textId="6A9C5279"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The conceptual review in this section provides a veritable ground for the understanding of research topic by focusing on the meaning, definition, features, and other conceptual areas under the research study. This review </w:t>
      </w:r>
      <w:r w:rsidR="00237578">
        <w:rPr>
          <w:rFonts w:ascii="Times New Roman" w:eastAsia="Calibri" w:hAnsi="Times New Roman"/>
          <w:bCs/>
          <w:sz w:val="24"/>
          <w:szCs w:val="24"/>
        </w:rPr>
        <w:t>was</w:t>
      </w:r>
      <w:r w:rsidRPr="008B1465">
        <w:rPr>
          <w:rFonts w:ascii="Times New Roman" w:eastAsia="Calibri" w:hAnsi="Times New Roman"/>
          <w:bCs/>
          <w:sz w:val="24"/>
          <w:szCs w:val="24"/>
        </w:rPr>
        <w:t xml:space="preserve"> based on forensic accounting techniques and financial misconduct in federal universities in southwest</w:t>
      </w:r>
      <w:r w:rsidR="006401CC" w:rsidRPr="008B1465">
        <w:rPr>
          <w:rFonts w:ascii="Times New Roman" w:eastAsia="Calibri" w:hAnsi="Times New Roman"/>
          <w:bCs/>
          <w:sz w:val="24"/>
          <w:szCs w:val="24"/>
        </w:rPr>
        <w:t>,</w:t>
      </w:r>
      <w:r w:rsidRPr="008B1465">
        <w:rPr>
          <w:rFonts w:ascii="Times New Roman" w:eastAsia="Calibri" w:hAnsi="Times New Roman"/>
          <w:bCs/>
          <w:sz w:val="24"/>
          <w:szCs w:val="24"/>
        </w:rPr>
        <w:t xml:space="preserve"> Nigeria. According to Bologna and Lindquistn (1995), forensic accounting is a discipline that includes fraud knowledge, financial expertise, and a sound knowledge and understanding of business reality and the working of the legal system. Ozumba, Ofor and Okoye (2016) posited that forensic accounting is the utilization of accounting, auditing, and investigative skills as an aid in a legal matter and apply a specified knowledge to the evidence of economic transaction and reporting suitable for court proceedings and accountability. </w:t>
      </w:r>
    </w:p>
    <w:p w14:paraId="4D482220" w14:textId="4CBE6F66" w:rsidR="001616E5" w:rsidRPr="008B1465" w:rsidRDefault="00AE6BA3" w:rsidP="00CC40AF">
      <w:pPr>
        <w:spacing w:line="360" w:lineRule="auto"/>
        <w:jc w:val="both"/>
        <w:rPr>
          <w:rFonts w:ascii="Times New Roman" w:eastAsia="Calibri" w:hAnsi="Times New Roman"/>
          <w:sz w:val="24"/>
          <w:szCs w:val="24"/>
        </w:rPr>
      </w:pPr>
      <w:r w:rsidRPr="008B1465">
        <w:rPr>
          <w:rFonts w:ascii="Times New Roman" w:eastAsia="Calibri" w:hAnsi="Times New Roman"/>
          <w:sz w:val="24"/>
          <w:szCs w:val="24"/>
        </w:rPr>
        <w:t>F</w:t>
      </w:r>
      <w:r w:rsidR="003F05E3" w:rsidRPr="008B1465">
        <w:rPr>
          <w:rFonts w:ascii="Times New Roman" w:eastAsia="Calibri" w:hAnsi="Times New Roman"/>
          <w:sz w:val="24"/>
          <w:szCs w:val="24"/>
        </w:rPr>
        <w:t>orensic accountants are experienced auditors, accountants, and investigators that are employed to look into legal and financial documents to detect fraud if there is any and prevent a recurrence of sharp practices (Zysman, 2004). Crumbley (2006) posit</w:t>
      </w:r>
      <w:r w:rsidR="00191448" w:rsidRPr="008B1465">
        <w:rPr>
          <w:rFonts w:ascii="Times New Roman" w:eastAsia="Calibri" w:hAnsi="Times New Roman"/>
          <w:sz w:val="24"/>
          <w:szCs w:val="24"/>
        </w:rPr>
        <w:t>ed</w:t>
      </w:r>
      <w:r w:rsidR="003F05E3" w:rsidRPr="008B1465">
        <w:rPr>
          <w:rFonts w:ascii="Times New Roman" w:eastAsia="Calibri" w:hAnsi="Times New Roman"/>
          <w:sz w:val="24"/>
          <w:szCs w:val="24"/>
        </w:rPr>
        <w:t xml:space="preserve"> that forensic accounting is a specialized scientific method, seen as an efficient and effective institutionalized framework to be readily applied to tackle the fraudulent practices which has become an ugly monster in Nigerian federal universities decisively. Coenen </w:t>
      </w:r>
      <w:r w:rsidR="0001629A">
        <w:rPr>
          <w:rFonts w:ascii="Times New Roman" w:eastAsia="Calibri" w:hAnsi="Times New Roman"/>
          <w:sz w:val="24"/>
          <w:szCs w:val="24"/>
        </w:rPr>
        <w:t>(</w:t>
      </w:r>
      <w:r w:rsidR="003F05E3" w:rsidRPr="008B1465">
        <w:rPr>
          <w:rFonts w:ascii="Times New Roman" w:eastAsia="Calibri" w:hAnsi="Times New Roman"/>
          <w:sz w:val="24"/>
          <w:szCs w:val="24"/>
        </w:rPr>
        <w:t>2005</w:t>
      </w:r>
      <w:r w:rsidR="0001629A">
        <w:rPr>
          <w:rFonts w:ascii="Times New Roman" w:eastAsia="Calibri" w:hAnsi="Times New Roman"/>
          <w:sz w:val="24"/>
          <w:szCs w:val="24"/>
        </w:rPr>
        <w:t>)</w:t>
      </w:r>
      <w:r w:rsidR="003F05E3" w:rsidRPr="008B1465">
        <w:rPr>
          <w:rFonts w:ascii="Times New Roman" w:eastAsia="Calibri" w:hAnsi="Times New Roman"/>
          <w:sz w:val="24"/>
          <w:szCs w:val="24"/>
        </w:rPr>
        <w:t xml:space="preserve"> reported that forensic accounting involves the application of accounting concepts and techniques to proffer solutions to legal problems. Modugu </w:t>
      </w:r>
      <w:r w:rsidR="009933CC">
        <w:rPr>
          <w:rFonts w:ascii="Times New Roman" w:eastAsia="Calibri" w:hAnsi="Times New Roman"/>
          <w:sz w:val="24"/>
          <w:szCs w:val="24"/>
        </w:rPr>
        <w:t>and</w:t>
      </w:r>
      <w:r w:rsidR="003F05E3" w:rsidRPr="008B1465">
        <w:rPr>
          <w:rFonts w:ascii="Times New Roman" w:eastAsia="Calibri" w:hAnsi="Times New Roman"/>
          <w:sz w:val="24"/>
          <w:szCs w:val="24"/>
        </w:rPr>
        <w:t xml:space="preserve"> Anyaduba </w:t>
      </w:r>
      <w:r w:rsidR="001F7FB5">
        <w:rPr>
          <w:rFonts w:ascii="Times New Roman" w:eastAsia="Calibri" w:hAnsi="Times New Roman"/>
          <w:sz w:val="24"/>
          <w:szCs w:val="24"/>
        </w:rPr>
        <w:t>(</w:t>
      </w:r>
      <w:r w:rsidR="003F05E3" w:rsidRPr="008B1465">
        <w:rPr>
          <w:rFonts w:ascii="Times New Roman" w:eastAsia="Calibri" w:hAnsi="Times New Roman"/>
          <w:sz w:val="24"/>
          <w:szCs w:val="24"/>
        </w:rPr>
        <w:t>2013</w:t>
      </w:r>
      <w:r w:rsidR="001F7FB5">
        <w:rPr>
          <w:rFonts w:ascii="Times New Roman" w:eastAsia="Calibri" w:hAnsi="Times New Roman"/>
          <w:sz w:val="24"/>
          <w:szCs w:val="24"/>
        </w:rPr>
        <w:t>)</w:t>
      </w:r>
      <w:r w:rsidR="003F05E3" w:rsidRPr="008B1465">
        <w:rPr>
          <w:rFonts w:ascii="Times New Roman" w:eastAsia="Calibri" w:hAnsi="Times New Roman"/>
          <w:sz w:val="24"/>
          <w:szCs w:val="24"/>
        </w:rPr>
        <w:t xml:space="preserve"> </w:t>
      </w:r>
      <w:r w:rsidR="001F7FB5">
        <w:rPr>
          <w:rFonts w:ascii="Times New Roman" w:eastAsia="Calibri" w:hAnsi="Times New Roman"/>
          <w:sz w:val="24"/>
          <w:szCs w:val="24"/>
        </w:rPr>
        <w:t>affirmed that</w:t>
      </w:r>
      <w:r w:rsidR="003F05E3" w:rsidRPr="008B1465">
        <w:rPr>
          <w:rFonts w:ascii="Times New Roman" w:eastAsia="Calibri" w:hAnsi="Times New Roman"/>
          <w:sz w:val="24"/>
          <w:szCs w:val="24"/>
        </w:rPr>
        <w:t xml:space="preserve"> </w:t>
      </w:r>
      <w:r w:rsidR="001F7FB5">
        <w:rPr>
          <w:rFonts w:ascii="Times New Roman" w:eastAsia="Calibri" w:hAnsi="Times New Roman"/>
          <w:sz w:val="24"/>
          <w:szCs w:val="24"/>
        </w:rPr>
        <w:t>f</w:t>
      </w:r>
      <w:r w:rsidR="003F05E3" w:rsidRPr="008B1465">
        <w:rPr>
          <w:rFonts w:ascii="Times New Roman" w:eastAsia="Calibri" w:hAnsi="Times New Roman"/>
          <w:sz w:val="24"/>
          <w:szCs w:val="24"/>
        </w:rPr>
        <w:t xml:space="preserve">orensic accounting </w:t>
      </w:r>
      <w:r w:rsidR="009933CC">
        <w:rPr>
          <w:rFonts w:ascii="Times New Roman" w:eastAsia="Calibri" w:hAnsi="Times New Roman"/>
          <w:sz w:val="24"/>
          <w:szCs w:val="24"/>
        </w:rPr>
        <w:t>h</w:t>
      </w:r>
      <w:r w:rsidR="003F05E3" w:rsidRPr="008B1465">
        <w:rPr>
          <w:rFonts w:ascii="Times New Roman" w:eastAsia="Calibri" w:hAnsi="Times New Roman"/>
          <w:sz w:val="24"/>
          <w:szCs w:val="24"/>
        </w:rPr>
        <w:t>as captur</w:t>
      </w:r>
      <w:r w:rsidR="001F7FB5">
        <w:rPr>
          <w:rFonts w:ascii="Times New Roman" w:eastAsia="Calibri" w:hAnsi="Times New Roman"/>
          <w:sz w:val="24"/>
          <w:szCs w:val="24"/>
        </w:rPr>
        <w:t>ed</w:t>
      </w:r>
      <w:r w:rsidR="003F05E3" w:rsidRPr="008B1465">
        <w:rPr>
          <w:rFonts w:ascii="Times New Roman" w:eastAsia="Calibri" w:hAnsi="Times New Roman"/>
          <w:sz w:val="24"/>
          <w:szCs w:val="24"/>
        </w:rPr>
        <w:t xml:space="preserve"> all other investigation related areas in uncovering financial fraud.</w:t>
      </w:r>
    </w:p>
    <w:p w14:paraId="63520515" w14:textId="40C46C27" w:rsidR="001616E5" w:rsidRPr="008B1465" w:rsidRDefault="003F05E3" w:rsidP="00CC40AF">
      <w:pPr>
        <w:spacing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Howard and Sheetz (2006) </w:t>
      </w:r>
      <w:r w:rsidR="00FE7C6A" w:rsidRPr="008B1465">
        <w:rPr>
          <w:rFonts w:ascii="Times New Roman" w:eastAsia="Calibri" w:hAnsi="Times New Roman"/>
          <w:sz w:val="24"/>
          <w:szCs w:val="24"/>
        </w:rPr>
        <w:t xml:space="preserve">opined that </w:t>
      </w:r>
      <w:r w:rsidRPr="008B1465">
        <w:rPr>
          <w:rFonts w:ascii="Times New Roman" w:eastAsia="Calibri" w:hAnsi="Times New Roman"/>
          <w:sz w:val="24"/>
          <w:szCs w:val="24"/>
        </w:rPr>
        <w:t>forensic accounting is the process of interpreting, summarizing and presenting complex financial issues clearly, concisely and factually often in a law</w:t>
      </w:r>
      <w:r w:rsidR="000E0922" w:rsidRPr="008B1465">
        <w:rPr>
          <w:rFonts w:ascii="Times New Roman" w:eastAsia="Calibri" w:hAnsi="Times New Roman"/>
          <w:sz w:val="24"/>
          <w:szCs w:val="24"/>
        </w:rPr>
        <w:t xml:space="preserve"> court as a professional. It </w:t>
      </w:r>
      <w:r w:rsidRPr="008B1465">
        <w:rPr>
          <w:rFonts w:ascii="Times New Roman" w:eastAsia="Calibri" w:hAnsi="Times New Roman"/>
          <w:sz w:val="24"/>
          <w:szCs w:val="24"/>
        </w:rPr>
        <w:t xml:space="preserve">deals with the use of accounting discipline principles to help bring out certain facts in business litigation (Okunbor &amp; Obaretin, 2010). Forensic accounting is a discipline that has its own methodologies and models for investigative procedures that search for attestation, assurance and advisory Capability to produce </w:t>
      </w:r>
      <w:r w:rsidR="00FB1853" w:rsidRPr="008B1465">
        <w:rPr>
          <w:rFonts w:ascii="Times New Roman" w:eastAsia="Calibri" w:hAnsi="Times New Roman"/>
          <w:sz w:val="24"/>
          <w:szCs w:val="24"/>
        </w:rPr>
        <w:t>evidence in legal matters. It</w:t>
      </w:r>
      <w:r w:rsidRPr="008B1465">
        <w:rPr>
          <w:rFonts w:ascii="Times New Roman" w:eastAsia="Calibri" w:hAnsi="Times New Roman"/>
          <w:sz w:val="24"/>
          <w:szCs w:val="24"/>
        </w:rPr>
        <w:t xml:space="preserve"> deals  with the evidentiary nature of accounting data, and as a practical field concerned with accounting fraud and forensic auditing; compliance, due process and risk assessment; detecti</w:t>
      </w:r>
      <w:r w:rsidR="000D1B47" w:rsidRPr="008B1465">
        <w:rPr>
          <w:rFonts w:ascii="Times New Roman" w:eastAsia="Calibri" w:hAnsi="Times New Roman"/>
          <w:sz w:val="24"/>
          <w:szCs w:val="24"/>
        </w:rPr>
        <w:t xml:space="preserve">on of financial misinformation </w:t>
      </w:r>
      <w:r w:rsidRPr="008B1465">
        <w:rPr>
          <w:rFonts w:ascii="Times New Roman" w:eastAsia="Calibri" w:hAnsi="Times New Roman"/>
          <w:sz w:val="24"/>
          <w:szCs w:val="24"/>
        </w:rPr>
        <w:t xml:space="preserve">and financial statement fraud (Skousen and Wright, 2008); tax evasion; bankruptcy and valuation studies; violation of accounting regulation (Dhar &amp; Sarkar, 2010). </w:t>
      </w:r>
    </w:p>
    <w:p w14:paraId="5C99E034" w14:textId="2415D4CE" w:rsidR="001616E5" w:rsidRPr="008B1465" w:rsidRDefault="00FE7C6A" w:rsidP="00CC40AF">
      <w:pPr>
        <w:spacing w:line="360" w:lineRule="auto"/>
        <w:jc w:val="both"/>
        <w:rPr>
          <w:rFonts w:ascii="Times New Roman" w:eastAsia="Calibri" w:hAnsi="Times New Roman"/>
          <w:sz w:val="24"/>
          <w:szCs w:val="24"/>
        </w:rPr>
      </w:pPr>
      <w:r w:rsidRPr="008B1465">
        <w:rPr>
          <w:rFonts w:ascii="Times New Roman" w:eastAsia="Calibri" w:hAnsi="Times New Roman"/>
          <w:sz w:val="24"/>
          <w:szCs w:val="24"/>
        </w:rPr>
        <w:t>T</w:t>
      </w:r>
      <w:r w:rsidR="003F05E3" w:rsidRPr="008B1465">
        <w:rPr>
          <w:rFonts w:ascii="Times New Roman" w:eastAsia="Calibri" w:hAnsi="Times New Roman"/>
          <w:sz w:val="24"/>
          <w:szCs w:val="24"/>
        </w:rPr>
        <w:t>he American Institute of Certified Public Accountants AICPA</w:t>
      </w:r>
      <w:r w:rsidR="00FF00DF" w:rsidRPr="008B1465">
        <w:rPr>
          <w:rFonts w:ascii="Times New Roman" w:eastAsia="Calibri" w:hAnsi="Times New Roman"/>
          <w:sz w:val="24"/>
          <w:szCs w:val="24"/>
        </w:rPr>
        <w:t xml:space="preserve"> </w:t>
      </w:r>
      <w:r w:rsidR="00004E73" w:rsidRPr="008B1465">
        <w:rPr>
          <w:rFonts w:ascii="Times New Roman" w:eastAsia="Calibri" w:hAnsi="Times New Roman"/>
          <w:sz w:val="24"/>
          <w:szCs w:val="24"/>
        </w:rPr>
        <w:t>(</w:t>
      </w:r>
      <w:r w:rsidR="00FF00DF" w:rsidRPr="008B1465">
        <w:rPr>
          <w:rFonts w:ascii="Times New Roman" w:eastAsia="Calibri" w:hAnsi="Times New Roman"/>
          <w:sz w:val="24"/>
          <w:szCs w:val="24"/>
        </w:rPr>
        <w:t>2010</w:t>
      </w:r>
      <w:r w:rsidR="003F05E3" w:rsidRPr="008B1465">
        <w:rPr>
          <w:rFonts w:ascii="Times New Roman" w:eastAsia="Calibri" w:hAnsi="Times New Roman"/>
          <w:sz w:val="24"/>
          <w:szCs w:val="24"/>
        </w:rPr>
        <w:t>), forensic accounting is a service that involves the application of specialized knowledge and investigative skills possessed by Certified Public Accountants. Fore</w:t>
      </w:r>
      <w:r w:rsidR="00DD29CD" w:rsidRPr="008B1465">
        <w:rPr>
          <w:rFonts w:ascii="Times New Roman" w:eastAsia="Calibri" w:hAnsi="Times New Roman"/>
          <w:sz w:val="24"/>
          <w:szCs w:val="24"/>
        </w:rPr>
        <w:t>nsic accounting services engage</w:t>
      </w:r>
      <w:r w:rsidR="003F05E3" w:rsidRPr="008B1465">
        <w:rPr>
          <w:rFonts w:ascii="Times New Roman" w:eastAsia="Calibri" w:hAnsi="Times New Roman"/>
          <w:sz w:val="24"/>
          <w:szCs w:val="24"/>
        </w:rPr>
        <w:t xml:space="preserve"> the professionals’ specialized accounting, auditing, economic, tax, and other relevant skills (AICPA 2010). Singleton and Singleton (2010) reported that forensic accounting is holistic fraud investigation. Among others, it includes preventing fraud and analyzing antifraud control which includes the gathering of non-financial information. In the works of Bhasin (2016), the objectives of forensic accounting include: assessment of damages due to auditors’ negligence, fact-finding to ensure that embezzlement is not covered up, discover the degree of embezzlement if any, and whether criminal proceedings are to be initiated; a collection of evidence in criminal proceedings; and computation of asset values in a divorce proceeding. </w:t>
      </w:r>
    </w:p>
    <w:p w14:paraId="70CCB021" w14:textId="3599661E" w:rsidR="001616E5" w:rsidRPr="008B1465" w:rsidRDefault="003F05E3" w:rsidP="00CC40AF">
      <w:pPr>
        <w:spacing w:line="360" w:lineRule="auto"/>
        <w:jc w:val="both"/>
        <w:rPr>
          <w:rFonts w:ascii="Times New Roman" w:eastAsia="Calibri" w:hAnsi="Times New Roman"/>
          <w:sz w:val="24"/>
          <w:szCs w:val="24"/>
        </w:rPr>
      </w:pPr>
      <w:r w:rsidRPr="008B1465">
        <w:rPr>
          <w:rFonts w:ascii="Times New Roman" w:eastAsia="Calibri" w:hAnsi="Times New Roman"/>
          <w:sz w:val="24"/>
          <w:szCs w:val="24"/>
        </w:rPr>
        <w:t>The primary orientation of forensic accounting is pure explanatory analysis (cause and effect) of phenomenon including the detection of fraud (if any), and its effect introduced into the accounting domain.</w:t>
      </w:r>
      <w:r w:rsidR="00671F3B" w:rsidRPr="008B1465">
        <w:rPr>
          <w:rFonts w:ascii="Times New Roman" w:eastAsia="Calibri" w:hAnsi="Times New Roman"/>
          <w:sz w:val="24"/>
          <w:szCs w:val="24"/>
        </w:rPr>
        <w:t xml:space="preserve"> </w:t>
      </w:r>
      <w:r w:rsidRPr="008B1465">
        <w:rPr>
          <w:rFonts w:ascii="Times New Roman" w:eastAsia="Calibri" w:hAnsi="Times New Roman"/>
          <w:sz w:val="24"/>
          <w:szCs w:val="24"/>
        </w:rPr>
        <w:t>Bhasin</w:t>
      </w:r>
      <w:r w:rsidR="00671F3B" w:rsidRPr="008B1465">
        <w:rPr>
          <w:rFonts w:ascii="Times New Roman" w:eastAsia="Calibri" w:hAnsi="Times New Roman"/>
          <w:sz w:val="24"/>
          <w:szCs w:val="24"/>
        </w:rPr>
        <w:t xml:space="preserve"> </w:t>
      </w:r>
      <w:r w:rsidR="001D3197" w:rsidRPr="008B1465">
        <w:rPr>
          <w:rFonts w:ascii="Times New Roman" w:eastAsia="Calibri" w:hAnsi="Times New Roman"/>
          <w:sz w:val="24"/>
          <w:szCs w:val="24"/>
        </w:rPr>
        <w:t>(</w:t>
      </w:r>
      <w:r w:rsidRPr="008B1465">
        <w:rPr>
          <w:rFonts w:ascii="Times New Roman" w:eastAsia="Calibri" w:hAnsi="Times New Roman"/>
          <w:sz w:val="24"/>
          <w:szCs w:val="24"/>
        </w:rPr>
        <w:t>2016)</w:t>
      </w:r>
      <w:r w:rsidR="00CD3D60">
        <w:rPr>
          <w:rFonts w:ascii="Times New Roman" w:eastAsia="Calibri" w:hAnsi="Times New Roman"/>
          <w:sz w:val="24"/>
          <w:szCs w:val="24"/>
        </w:rPr>
        <w:t xml:space="preserve"> concluded that</w:t>
      </w:r>
      <w:r w:rsidRPr="008B1465">
        <w:rPr>
          <w:rFonts w:ascii="Times New Roman" w:eastAsia="Calibri" w:hAnsi="Times New Roman"/>
          <w:sz w:val="24"/>
          <w:szCs w:val="24"/>
        </w:rPr>
        <w:t xml:space="preserve"> forensic accountants are not just trained to look at numbers, but to deal with the business realities of situations. Interpretation, summarization, analysis, and the presentation of complex financial business-related issues are prominent features of the profession. In his report , he explained that forensic accountants  activities involve: investigating and analyzing financial evidence; developing computerized applications to assist in the analysis and presentation of financial evidence; reporting their findings, exhibits and collections of documents; and supporting in legal proceedings, including witnessing in courts and preparing  audiovisual materials to support trial evidence. Okafor (2018) fraud is a broad term and encompasses all the various means that human ingenuity can use in order to take advantage of others in false representation. According to Anyanwu (2012), fraud is to deliberately deceive someone in a way to gain unlawful or unfair advantage; such deception is directed to the detriment of another. </w:t>
      </w:r>
    </w:p>
    <w:p w14:paraId="778DD886" w14:textId="7BDA076D" w:rsidR="001616E5" w:rsidRPr="008B1465" w:rsidRDefault="003F05E3" w:rsidP="00CC40AF">
      <w:pPr>
        <w:spacing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Degboro and Olofinsola (2007) asserted that forensic accountants provide assistance of accounting nature in a financial criminal and related economic matters involving existing or pending cases as specified by the Alliance for Excellence in Investigation and Forensic Accounting (Alliance) of Canada: assisting in obtaining documentation necessary to corroborate or negate a claim; review of the relevant documentation to form an initial assessment of the cases and identify areas of loss; assistance with the examination for discovery and the formulation of questions to be asked regarding the financial evidence; attendance at the examination discovery to review the testimony; assist with understanding the financial issues and to formulate additional questions; reviewing of the opposing expert’s damaging report, and reporting on both the strengths and weaknesses of the position taken; and attendance at trial, to hear the testimony of the opposing expert and provide assistance with cross-examination. </w:t>
      </w:r>
    </w:p>
    <w:p w14:paraId="17B8744F" w14:textId="57FA2762" w:rsidR="001616E5" w:rsidRPr="008B1465" w:rsidRDefault="003F05E3" w:rsidP="00CC40AF">
      <w:pPr>
        <w:spacing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Forensic accounting is also referred to as fraud examination or fraud auditing. Crumbley (2009), “forensic accounting is a challenging area of study that significantly interacts with auditing, economics, finance, information systems, and law”. DiGabriele and Huber (2020) gave an explicit  definition of forensic accounting as a multidisciplinary field that encompasses both a profession and an industry, where civil or criminal economic and financial claims, whether business or personal, are contested within established political structures, recognized and accepted social parameters, and well-defined legal jurisdictions, and informed by the theories, methods, and procedures from the fields of accounting, auditing, criminology, economics, finance, law, psychology, and sociology. </w:t>
      </w:r>
    </w:p>
    <w:p w14:paraId="1A52B645" w14:textId="3FEA524E" w:rsidR="001616E5" w:rsidRPr="008B1465" w:rsidRDefault="003F05E3" w:rsidP="00CC40AF">
      <w:pPr>
        <w:spacing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Since forensic accounting is a multidisciplinary field, it is important to conduct research in all aspects of the fields and disciplines contributing to and informing the field. Furthermore, research in forensic accounting would be expected to deploy all research methods used in the various disciplines contributing to the field of forensic accounting. </w:t>
      </w:r>
      <w:r w:rsidR="00A04FE6" w:rsidRPr="008B1465">
        <w:rPr>
          <w:rFonts w:ascii="Times New Roman" w:hAnsi="Times New Roman"/>
          <w:sz w:val="24"/>
          <w:szCs w:val="24"/>
        </w:rPr>
        <w:t>Rezaee, Lambert and Harmon</w:t>
      </w:r>
      <w:r w:rsidR="00A04FE6" w:rsidRPr="008B1465">
        <w:rPr>
          <w:rFonts w:ascii="Times New Roman" w:eastAsia="Calibri" w:hAnsi="Times New Roman"/>
          <w:sz w:val="24"/>
          <w:szCs w:val="24"/>
        </w:rPr>
        <w:t xml:space="preserve"> </w:t>
      </w:r>
      <w:r w:rsidRPr="008B1465">
        <w:rPr>
          <w:rFonts w:ascii="Times New Roman" w:eastAsia="Calibri" w:hAnsi="Times New Roman"/>
          <w:sz w:val="24"/>
          <w:szCs w:val="24"/>
        </w:rPr>
        <w:t>(2006) opined that forensic accounting is the application of accounting, tax, auditing, finance, quantitative analysis, investigative and research skills, and an understanding of the legal process for identifying, collecting, analyzing, and interpreting financial and non-financial data in connection with litigation and non-litigation services. Wolosky (2004) assert</w:t>
      </w:r>
      <w:r w:rsidR="00B90996">
        <w:rPr>
          <w:rFonts w:ascii="Times New Roman" w:eastAsia="Calibri" w:hAnsi="Times New Roman"/>
          <w:sz w:val="24"/>
          <w:szCs w:val="24"/>
        </w:rPr>
        <w:t>ed</w:t>
      </w:r>
      <w:r w:rsidRPr="008B1465">
        <w:rPr>
          <w:rFonts w:ascii="Times New Roman" w:eastAsia="Calibri" w:hAnsi="Times New Roman"/>
          <w:sz w:val="24"/>
          <w:szCs w:val="24"/>
        </w:rPr>
        <w:t xml:space="preserve"> that being a professional accountant does not automatically imply that you are a forensic accountant.</w:t>
      </w:r>
      <w:bookmarkEnd w:id="33"/>
      <w:r w:rsidRPr="008B1465">
        <w:rPr>
          <w:rFonts w:ascii="Times New Roman" w:eastAsia="Calibri" w:hAnsi="Times New Roman"/>
          <w:sz w:val="24"/>
          <w:szCs w:val="24"/>
        </w:rPr>
        <w:t xml:space="preserve"> Forensic accountants and auditors do not have the same training and they viewed transactions differently. Being an excellent forensic accountant requires the professional to possess a wide range of skills, ethics, and knowledge (Wolosky, 2004). These broad varieties of skills and expertise are what make forensic accountants outstanding in the fight against financial deception (DiGabriele &amp; Huber, 2020).</w:t>
      </w:r>
    </w:p>
    <w:p w14:paraId="7227380D" w14:textId="3A1D6233" w:rsidR="001616E5" w:rsidRPr="008B1465" w:rsidRDefault="003F05E3" w:rsidP="00CC40AF">
      <w:pPr>
        <w:spacing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However, this study set out to develop a forensic accounting system which if properly deployed will obfuscate the incidence of fraud in the financial statement through the perceptions of accountants, practitioners, regulators, and users of the financial report on how this paradigm shifts can help to reduce financial statement fraud in our federal universities. Moreover, it has been proven that the perception of the business community, government, regulatory authorities, and even the courts is that a higher degree of expertise is required to analyse current complex financial transactions and events (Awolowo, 2019). Hence, forensic accounting is needed to be at the forefront of the crusade against financial deception (Rezaee </w:t>
      </w:r>
      <w:r w:rsidR="00576E27" w:rsidRPr="008B1465">
        <w:rPr>
          <w:rFonts w:ascii="Times New Roman" w:eastAsia="Calibri" w:hAnsi="Times New Roman"/>
          <w:i/>
          <w:iCs/>
          <w:sz w:val="24"/>
          <w:szCs w:val="24"/>
        </w:rPr>
        <w:t>et al</w:t>
      </w:r>
      <w:r w:rsidRPr="008B1465">
        <w:rPr>
          <w:rFonts w:ascii="Times New Roman" w:eastAsia="Calibri" w:hAnsi="Times New Roman"/>
          <w:sz w:val="24"/>
          <w:szCs w:val="24"/>
        </w:rPr>
        <w:t xml:space="preserve">., 2006). </w:t>
      </w:r>
    </w:p>
    <w:p w14:paraId="659E3365" w14:textId="77777777" w:rsidR="001616E5" w:rsidRPr="008B1465" w:rsidRDefault="003F05E3" w:rsidP="00CC40AF">
      <w:pPr>
        <w:spacing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Accounting as a social science interacts with society and its members. It serves not only as a means for financial markets but also is described as the “language of business”; people communicate through financial reports following relative standards and regulations (Bloomfield, 2008). However, as businesses are exposed to multiple risks, white-collar crimes are among the most severe ones. Recent high-profile corporate scandals have attracted considerable attention, bringing to the forefront, forensic accounting and fraud examination, because fraud reduces net income on a dollar-for-dollar basis, the additional resources needed to restore the stolen funds are much more than the original amount of the fraud. </w:t>
      </w:r>
    </w:p>
    <w:p w14:paraId="0126A075" w14:textId="1B644318" w:rsidR="001616E5" w:rsidRPr="008B1465" w:rsidRDefault="003F05E3" w:rsidP="00CC40AF">
      <w:pPr>
        <w:spacing w:line="360" w:lineRule="auto"/>
        <w:jc w:val="both"/>
        <w:rPr>
          <w:rFonts w:ascii="Times New Roman" w:eastAsia="Calibri" w:hAnsi="Times New Roman"/>
          <w:sz w:val="24"/>
          <w:szCs w:val="24"/>
        </w:rPr>
      </w:pPr>
      <w:r w:rsidRPr="008B1465">
        <w:rPr>
          <w:rFonts w:ascii="Times New Roman" w:eastAsia="Calibri" w:hAnsi="Times New Roman"/>
          <w:sz w:val="24"/>
          <w:szCs w:val="24"/>
        </w:rPr>
        <w:t>ACFE, (2018); Ibrahim</w:t>
      </w:r>
      <w:r w:rsidR="001B09D8" w:rsidRPr="008B1465">
        <w:rPr>
          <w:rFonts w:ascii="Times New Roman" w:eastAsia="Calibri" w:hAnsi="Times New Roman"/>
          <w:sz w:val="24"/>
          <w:szCs w:val="24"/>
        </w:rPr>
        <w:t>,</w:t>
      </w:r>
      <w:r w:rsidR="001A3D64" w:rsidRPr="008B1465">
        <w:rPr>
          <w:rFonts w:ascii="Times New Roman" w:eastAsia="Calibri" w:hAnsi="Times New Roman"/>
          <w:sz w:val="24"/>
          <w:szCs w:val="24"/>
        </w:rPr>
        <w:t xml:space="preserve"> </w:t>
      </w:r>
      <w:r w:rsidR="001B09D8" w:rsidRPr="008B1465">
        <w:rPr>
          <w:rFonts w:ascii="Times New Roman" w:eastAsia="Calibri" w:hAnsi="Times New Roman"/>
          <w:sz w:val="24"/>
          <w:szCs w:val="24"/>
        </w:rPr>
        <w:t>Ela</w:t>
      </w:r>
      <w:r w:rsidR="001A3D64" w:rsidRPr="008B1465">
        <w:rPr>
          <w:rFonts w:ascii="Times New Roman" w:eastAsia="Calibri" w:hAnsi="Times New Roman"/>
          <w:sz w:val="24"/>
          <w:szCs w:val="24"/>
        </w:rPr>
        <w:t>mer and Ezat</w:t>
      </w:r>
      <w:r w:rsidRPr="008B1465">
        <w:rPr>
          <w:rFonts w:ascii="Times New Roman" w:eastAsia="Calibri" w:hAnsi="Times New Roman"/>
          <w:sz w:val="24"/>
          <w:szCs w:val="24"/>
        </w:rPr>
        <w:t xml:space="preserve"> (2021) assert</w:t>
      </w:r>
      <w:r w:rsidR="001B09D8" w:rsidRPr="008B1465">
        <w:rPr>
          <w:rFonts w:ascii="Times New Roman" w:eastAsia="Calibri" w:hAnsi="Times New Roman"/>
          <w:sz w:val="24"/>
          <w:szCs w:val="24"/>
        </w:rPr>
        <w:t>ed</w:t>
      </w:r>
      <w:r w:rsidRPr="008B1465">
        <w:rPr>
          <w:rFonts w:ascii="Times New Roman" w:eastAsia="Calibri" w:hAnsi="Times New Roman"/>
          <w:sz w:val="24"/>
          <w:szCs w:val="24"/>
        </w:rPr>
        <w:t xml:space="preserve"> that lose more than 5% of their total revenues annually because of fraud. Taking these facts into account, firms have been made alert to fraud incidents and forensic accountants and fraud specialists have become necessary and valuable assets for them. The current chapter attempts to ground the theoretical framework of forensic accounting and financial misconduct, providing the basis for the following analysis of this thesis. This section reviews and explains the meaning of forensic accounting and gives, in brief, its history and its main objectives. In addition, it discusses the differences between forensic accounting, auditing and fraud examination and it</w:t>
      </w:r>
      <w:r w:rsidR="00884E80" w:rsidRPr="008B1465">
        <w:rPr>
          <w:rFonts w:ascii="Times New Roman" w:eastAsia="Calibri" w:hAnsi="Times New Roman"/>
          <w:sz w:val="24"/>
          <w:szCs w:val="24"/>
        </w:rPr>
        <w:t xml:space="preserve"> </w:t>
      </w:r>
      <w:r w:rsidRPr="008B1465">
        <w:rPr>
          <w:rFonts w:ascii="Times New Roman" w:eastAsia="Calibri" w:hAnsi="Times New Roman"/>
          <w:sz w:val="24"/>
          <w:szCs w:val="24"/>
        </w:rPr>
        <w:t xml:space="preserve">further describes the skills needed by a forensic accountant.  </w:t>
      </w:r>
    </w:p>
    <w:p w14:paraId="41E65829" w14:textId="77777777" w:rsidR="001616E5" w:rsidRPr="008B1465" w:rsidRDefault="003F05E3" w:rsidP="00CC40AF">
      <w:pPr>
        <w:spacing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Defining forensic accounting consists of two words; forensic and accounting. To get a better understanding of these concepts, it would be useful to define these two words separately. According to the American Institute of Certified Public Accountants (AICPA), accounting is the science of recording, classifying, and summarizing economic transactions and events in a logical way, in order to provide useful and understandable financial information to third parties for decision-making. Nonetheless, forensic is a word used in courts of law, to describe the examination and interpretation of evidence and facts in legal cases by forensic experts.  In turn, forensic accounting could be defined as the examination and investigation of business and financial events in a way that can support reasonable positions taken in court. </w:t>
      </w:r>
    </w:p>
    <w:p w14:paraId="3CD0E474" w14:textId="2232F491" w:rsidR="001616E5" w:rsidRPr="008B1465" w:rsidRDefault="003F05E3" w:rsidP="00CC40AF">
      <w:pPr>
        <w:spacing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In this context, </w:t>
      </w:r>
      <w:r w:rsidRPr="008B1465">
        <w:rPr>
          <w:rFonts w:ascii="Times New Roman" w:hAnsi="Times New Roman"/>
          <w:sz w:val="24"/>
          <w:szCs w:val="24"/>
        </w:rPr>
        <w:t xml:space="preserve">Ibrahim, </w:t>
      </w:r>
      <w:r w:rsidR="00845BB8" w:rsidRPr="008B1465">
        <w:rPr>
          <w:rFonts w:ascii="Times New Roman" w:hAnsi="Times New Roman"/>
          <w:sz w:val="24"/>
          <w:szCs w:val="24"/>
        </w:rPr>
        <w:t>et al.,</w:t>
      </w:r>
      <w:r w:rsidRPr="008B1465">
        <w:rPr>
          <w:rFonts w:ascii="Times New Roman" w:eastAsia="Calibri" w:hAnsi="Times New Roman"/>
          <w:sz w:val="24"/>
          <w:szCs w:val="24"/>
        </w:rPr>
        <w:t xml:space="preserve"> (20</w:t>
      </w:r>
      <w:r w:rsidR="00845BB8" w:rsidRPr="008B1465">
        <w:rPr>
          <w:rFonts w:ascii="Times New Roman" w:eastAsia="Calibri" w:hAnsi="Times New Roman"/>
          <w:sz w:val="24"/>
          <w:szCs w:val="24"/>
        </w:rPr>
        <w:t>21</w:t>
      </w:r>
      <w:r w:rsidRPr="008B1465">
        <w:rPr>
          <w:rFonts w:ascii="Times New Roman" w:eastAsia="Calibri" w:hAnsi="Times New Roman"/>
          <w:sz w:val="24"/>
          <w:szCs w:val="24"/>
        </w:rPr>
        <w:t>) define</w:t>
      </w:r>
      <w:r w:rsidR="00904194" w:rsidRPr="008B1465">
        <w:rPr>
          <w:rFonts w:ascii="Times New Roman" w:eastAsia="Calibri" w:hAnsi="Times New Roman"/>
          <w:sz w:val="24"/>
          <w:szCs w:val="24"/>
        </w:rPr>
        <w:t>d</w:t>
      </w:r>
      <w:r w:rsidRPr="008B1465">
        <w:rPr>
          <w:rFonts w:ascii="Times New Roman" w:eastAsia="Calibri" w:hAnsi="Times New Roman"/>
          <w:sz w:val="24"/>
          <w:szCs w:val="24"/>
        </w:rPr>
        <w:t xml:space="preserve"> forensic accounting as “the application of investigative and analytical skills for the purpose of resolving financial issues in a manner that meets the standards required by courts of law”. Coenen (2005) consider</w:t>
      </w:r>
      <w:r w:rsidR="00E31ED7">
        <w:rPr>
          <w:rFonts w:ascii="Times New Roman" w:eastAsia="Calibri" w:hAnsi="Times New Roman"/>
          <w:sz w:val="24"/>
          <w:szCs w:val="24"/>
        </w:rPr>
        <w:t>ed</w:t>
      </w:r>
      <w:r w:rsidRPr="008B1465">
        <w:rPr>
          <w:rFonts w:ascii="Times New Roman" w:eastAsia="Calibri" w:hAnsi="Times New Roman"/>
          <w:sz w:val="24"/>
          <w:szCs w:val="24"/>
        </w:rPr>
        <w:t xml:space="preserve"> that forensic accounting uses accounting concepts and methods in case solving, but it also integrates “investigative intuition”. Crumbley (2009) also conclude</w:t>
      </w:r>
      <w:r w:rsidR="00E31ED7">
        <w:rPr>
          <w:rFonts w:ascii="Times New Roman" w:eastAsia="Calibri" w:hAnsi="Times New Roman"/>
          <w:sz w:val="24"/>
          <w:szCs w:val="24"/>
        </w:rPr>
        <w:t>d</w:t>
      </w:r>
      <w:r w:rsidRPr="008B1465">
        <w:rPr>
          <w:rFonts w:ascii="Times New Roman" w:eastAsia="Calibri" w:hAnsi="Times New Roman"/>
          <w:sz w:val="24"/>
          <w:szCs w:val="24"/>
        </w:rPr>
        <w:t xml:space="preserve"> that forensic accounting is the application of accounting skills for legal purposes, while Singleton and Singleton (2010) in a comprehensive view, define</w:t>
      </w:r>
      <w:r w:rsidR="00E31ED7">
        <w:rPr>
          <w:rFonts w:ascii="Times New Roman" w:eastAsia="Calibri" w:hAnsi="Times New Roman"/>
          <w:sz w:val="24"/>
          <w:szCs w:val="24"/>
        </w:rPr>
        <w:t>d</w:t>
      </w:r>
      <w:r w:rsidRPr="008B1465">
        <w:rPr>
          <w:rFonts w:ascii="Times New Roman" w:eastAsia="Calibri" w:hAnsi="Times New Roman"/>
          <w:sz w:val="24"/>
          <w:szCs w:val="24"/>
        </w:rPr>
        <w:t xml:space="preserve"> forensic accounting as a fraud investigation that involves fraud prevention, antifraud controls assessment and non-financial data collection. Nevertheless, there is no widely accepted definition of forensic accounting. </w:t>
      </w:r>
    </w:p>
    <w:p w14:paraId="34D906FD" w14:textId="6D2485C9" w:rsidR="001616E5" w:rsidRPr="008B1465" w:rsidRDefault="003F05E3" w:rsidP="00CC40AF">
      <w:pPr>
        <w:spacing w:line="360" w:lineRule="auto"/>
        <w:jc w:val="both"/>
        <w:rPr>
          <w:rFonts w:ascii="Times New Roman" w:eastAsia="Calibri" w:hAnsi="Times New Roman"/>
          <w:sz w:val="24"/>
          <w:szCs w:val="24"/>
        </w:rPr>
      </w:pPr>
      <w:r w:rsidRPr="008B1465">
        <w:rPr>
          <w:rFonts w:ascii="Times New Roman" w:eastAsia="Calibri" w:hAnsi="Times New Roman"/>
          <w:sz w:val="24"/>
          <w:szCs w:val="24"/>
        </w:rPr>
        <w:t>To address this issue, the Association of Certified Fraud Examiners (ACFE) defined forensic accounting as the use of accounting knowledge combined with investigative skills “in litigation support and investigative accounting settings” (</w:t>
      </w:r>
      <w:r w:rsidRPr="008B1465">
        <w:rPr>
          <w:rFonts w:ascii="Times New Roman" w:hAnsi="Times New Roman"/>
          <w:sz w:val="24"/>
          <w:szCs w:val="24"/>
        </w:rPr>
        <w:t xml:space="preserve">Rustiarini, Yuesti &amp; Gama, 2020). </w:t>
      </w:r>
      <w:r w:rsidRPr="008B1465">
        <w:rPr>
          <w:rFonts w:ascii="Times New Roman" w:eastAsia="Calibri" w:hAnsi="Times New Roman"/>
          <w:sz w:val="24"/>
          <w:szCs w:val="24"/>
        </w:rPr>
        <w:t xml:space="preserve">Having these in mind, it should be noticed that forensic accounting differs from traditional accounting. Accounting is called “the language of business” as it provides the means for communicating information to different groups of interested parties inside and outside the firm. There are many branches of accounting (e.g. management accounting, financial accounting, cost accounting, auditing, and information systems), each one providing valuable information to creditors, investors, regulatory agencies, employees and stakeholders. Nonetheless, forensic accounting differs, as it provides investigative and litigation services (Hopwood </w:t>
      </w:r>
      <w:r w:rsidR="00576E27" w:rsidRPr="008B1465">
        <w:rPr>
          <w:rFonts w:ascii="Times New Roman" w:eastAsia="Calibri" w:hAnsi="Times New Roman"/>
          <w:i/>
          <w:iCs/>
          <w:sz w:val="24"/>
          <w:szCs w:val="24"/>
        </w:rPr>
        <w:t>et al</w:t>
      </w:r>
      <w:r w:rsidRPr="008B1465">
        <w:rPr>
          <w:rFonts w:ascii="Times New Roman" w:eastAsia="Calibri" w:hAnsi="Times New Roman"/>
          <w:sz w:val="24"/>
          <w:szCs w:val="24"/>
        </w:rPr>
        <w:t xml:space="preserve">., 2012). The latter identifies the expertise of a forensic accountant in a legal issue, while the former involves the investigative skills used to solve a case that may or may not end in court. </w:t>
      </w:r>
    </w:p>
    <w:p w14:paraId="345B1059" w14:textId="2AF8CA7D" w:rsidR="003B5520" w:rsidRPr="00193F1F" w:rsidRDefault="003B5520" w:rsidP="00193F1F">
      <w:pPr>
        <w:rPr>
          <w:rFonts w:ascii="Times New Roman" w:hAnsi="Times New Roman"/>
          <w:b/>
          <w:bCs/>
          <w:sz w:val="24"/>
          <w:szCs w:val="24"/>
        </w:rPr>
      </w:pPr>
      <w:r w:rsidRPr="00193F1F">
        <w:rPr>
          <w:rFonts w:ascii="Times New Roman" w:hAnsi="Times New Roman"/>
          <w:b/>
          <w:bCs/>
          <w:sz w:val="24"/>
          <w:szCs w:val="24"/>
        </w:rPr>
        <w:t>Corruption Universality: The Trend and Audacity of Corruption in Developing Countries</w:t>
      </w:r>
    </w:p>
    <w:p w14:paraId="1A3D89BB" w14:textId="223E8B10" w:rsidR="003B5520" w:rsidRPr="008B1465" w:rsidRDefault="003B5520" w:rsidP="003B5520">
      <w:pPr>
        <w:spacing w:after="0" w:line="360" w:lineRule="auto"/>
        <w:jc w:val="both"/>
        <w:rPr>
          <w:rFonts w:ascii="Times New Roman" w:hAnsi="Times New Roman"/>
          <w:sz w:val="24"/>
          <w:szCs w:val="24"/>
        </w:rPr>
      </w:pPr>
      <w:r w:rsidRPr="008B1465">
        <w:rPr>
          <w:rFonts w:ascii="Times New Roman" w:hAnsi="Times New Roman"/>
          <w:sz w:val="24"/>
          <w:szCs w:val="24"/>
        </w:rPr>
        <w:t>While corruption exists in every nation, the Transparency International (TI) Corruption Perception Index (CPI) (2016, 2017) show</w:t>
      </w:r>
      <w:r w:rsidR="00EA30BD">
        <w:rPr>
          <w:rFonts w:ascii="Times New Roman" w:hAnsi="Times New Roman"/>
          <w:sz w:val="24"/>
          <w:szCs w:val="24"/>
        </w:rPr>
        <w:t>ed</w:t>
      </w:r>
      <w:r w:rsidRPr="008B1465">
        <w:rPr>
          <w:rFonts w:ascii="Times New Roman" w:hAnsi="Times New Roman"/>
          <w:sz w:val="24"/>
          <w:szCs w:val="24"/>
        </w:rPr>
        <w:t xml:space="preserve"> that it has been particularly prevalent in developing nations, wi</w:t>
      </w:r>
      <w:r w:rsidR="003A3794" w:rsidRPr="008B1465">
        <w:rPr>
          <w:rFonts w:ascii="Times New Roman" w:hAnsi="Times New Roman"/>
          <w:sz w:val="24"/>
          <w:szCs w:val="24"/>
        </w:rPr>
        <w:t>th Nigeria and other Sub-Sahara</w:t>
      </w:r>
      <w:r w:rsidRPr="008B1465">
        <w:rPr>
          <w:rFonts w:ascii="Times New Roman" w:hAnsi="Times New Roman"/>
          <w:sz w:val="24"/>
          <w:szCs w:val="24"/>
        </w:rPr>
        <w:t xml:space="preserve"> African (SSA) nations receiving the most attentio</w:t>
      </w:r>
      <w:r w:rsidR="00BA40F3" w:rsidRPr="008B1465">
        <w:rPr>
          <w:rFonts w:ascii="Times New Roman" w:hAnsi="Times New Roman"/>
          <w:sz w:val="24"/>
          <w:szCs w:val="24"/>
        </w:rPr>
        <w:t>n for obvious reasons. First of all</w:t>
      </w:r>
      <w:r w:rsidRPr="008B1465">
        <w:rPr>
          <w:rFonts w:ascii="Times New Roman" w:hAnsi="Times New Roman"/>
          <w:sz w:val="24"/>
          <w:szCs w:val="24"/>
        </w:rPr>
        <w:t>, these nations rank among the most corrupt in the world due to the impunity with which corruption is practiced there</w:t>
      </w:r>
      <w:r w:rsidRPr="008B1465">
        <w:rPr>
          <w:rFonts w:ascii="Times New Roman" w:hAnsi="Times New Roman"/>
          <w:sz w:val="24"/>
          <w:szCs w:val="24"/>
          <w:shd w:val="clear" w:color="auto" w:fill="FFFFFF"/>
        </w:rPr>
        <w:t xml:space="preserve"> (</w:t>
      </w:r>
      <w:r w:rsidRPr="008B1465">
        <w:rPr>
          <w:rFonts w:ascii="Times New Roman" w:hAnsi="Times New Roman"/>
          <w:sz w:val="24"/>
          <w:szCs w:val="24"/>
        </w:rPr>
        <w:t>Budsaratragoon, &amp; Jitmaneeroj, 2020).</w:t>
      </w:r>
      <w:r w:rsidR="0050520C" w:rsidRPr="008B1465">
        <w:rPr>
          <w:rFonts w:ascii="Times New Roman" w:hAnsi="Times New Roman"/>
          <w:sz w:val="24"/>
          <w:szCs w:val="24"/>
        </w:rPr>
        <w:t xml:space="preserve"> </w:t>
      </w:r>
      <w:r w:rsidRPr="008B1465">
        <w:rPr>
          <w:rFonts w:ascii="Times New Roman" w:hAnsi="Times New Roman"/>
          <w:sz w:val="24"/>
          <w:szCs w:val="24"/>
        </w:rPr>
        <w:t>These nations have suffered from the criminal misconduct</w:t>
      </w:r>
      <w:r w:rsidR="00D04C3F" w:rsidRPr="008B1465">
        <w:rPr>
          <w:rFonts w:ascii="Times New Roman" w:hAnsi="Times New Roman"/>
          <w:sz w:val="24"/>
          <w:szCs w:val="24"/>
        </w:rPr>
        <w:t>s</w:t>
      </w:r>
      <w:r w:rsidRPr="008B1465">
        <w:rPr>
          <w:rFonts w:ascii="Times New Roman" w:hAnsi="Times New Roman"/>
          <w:sz w:val="24"/>
          <w:szCs w:val="24"/>
        </w:rPr>
        <w:t xml:space="preserve"> of some of their political elite and high-ranking government officials. What evidence supports TI's belief that top government officials are engaging in suspected fraud on a daily basis, whether in service delivery or contract awarding decisions? Most SSA nations practice daily corruption with blatant impudence, impunity, and careless abandon. Due to its prevalence and the ensuing impacts on the public and national progress, corruption, a cruel and perverse version of fraud, has in some ways surpassed fraud.</w:t>
      </w:r>
    </w:p>
    <w:p w14:paraId="45D99689" w14:textId="77777777" w:rsidR="003B5520" w:rsidRPr="008B1465" w:rsidRDefault="003B5520" w:rsidP="003B5520">
      <w:pPr>
        <w:spacing w:after="0" w:line="360" w:lineRule="auto"/>
        <w:jc w:val="both"/>
        <w:rPr>
          <w:rFonts w:ascii="Times New Roman" w:hAnsi="Times New Roman"/>
          <w:sz w:val="24"/>
          <w:szCs w:val="24"/>
        </w:rPr>
      </w:pPr>
      <w:r w:rsidRPr="008B1465">
        <w:rPr>
          <w:rFonts w:ascii="Times New Roman" w:hAnsi="Times New Roman"/>
          <w:sz w:val="24"/>
          <w:szCs w:val="24"/>
        </w:rPr>
        <w:t>State-owned Enterprises (SoEs) and government organizations are plagued with corruption because they have been used as a conduit by powerful politicians, legislators, and public officials to siphon off money through inflated contracts, overstaffed workforces, and exorbitant procurement costs. Anecdotal evidence of the recent wave of corruption in developing countries in general, and SSA in particular, can be found in the reported cases of alleged corruption by numerous State ex-governors, current and former legislators and judges, top public officials, government contractors, and bank chief executives.</w:t>
      </w:r>
    </w:p>
    <w:p w14:paraId="4770EA2C" w14:textId="06A6C0A0" w:rsidR="003B5520" w:rsidRPr="008B1465" w:rsidRDefault="003B5520" w:rsidP="003B5520">
      <w:pPr>
        <w:spacing w:after="0" w:line="360" w:lineRule="auto"/>
        <w:jc w:val="both"/>
        <w:rPr>
          <w:rFonts w:ascii="Times New Roman" w:hAnsi="Times New Roman"/>
          <w:sz w:val="24"/>
          <w:szCs w:val="24"/>
        </w:rPr>
      </w:pPr>
      <w:r w:rsidRPr="008B1465">
        <w:rPr>
          <w:rFonts w:ascii="Times New Roman" w:hAnsi="Times New Roman"/>
          <w:sz w:val="24"/>
          <w:szCs w:val="24"/>
        </w:rPr>
        <w:t>The three tiers of government are all susceptible to corruption. This supports how TI describes "grand corruption." While "new forms of fraud" are evolving</w:t>
      </w:r>
      <w:r w:rsidR="004520DF" w:rsidRPr="008B1465">
        <w:rPr>
          <w:rFonts w:ascii="Times New Roman" w:hAnsi="Times New Roman"/>
          <w:sz w:val="24"/>
          <w:szCs w:val="24"/>
        </w:rPr>
        <w:t>,</w:t>
      </w:r>
      <w:r w:rsidRPr="008B1465">
        <w:rPr>
          <w:rFonts w:ascii="Times New Roman" w:hAnsi="Times New Roman"/>
          <w:sz w:val="24"/>
          <w:szCs w:val="24"/>
        </w:rPr>
        <w:t xml:space="preserve"> thanks to technology in rich economies, the trend in developing nations is supported by holding public office. Corruption has an impact on how nations develop economically and how commerce and investment take place internationally. The corrosiveness of corruption is on alarming rate in terms of moral and political </w:t>
      </w:r>
      <w:r w:rsidR="00FE31CA" w:rsidRPr="008B1465">
        <w:rPr>
          <w:rFonts w:ascii="Times New Roman" w:hAnsi="Times New Roman"/>
          <w:sz w:val="24"/>
          <w:szCs w:val="24"/>
        </w:rPr>
        <w:t>concerns;</w:t>
      </w:r>
      <w:r w:rsidRPr="008B1465">
        <w:rPr>
          <w:rFonts w:ascii="Times New Roman" w:hAnsi="Times New Roman"/>
          <w:sz w:val="24"/>
          <w:szCs w:val="24"/>
        </w:rPr>
        <w:t xml:space="preserve"> it also undermines democracy and economic development and hinders international competitiveness. The historical trajectory of the struggles for independence and the significant role and repercussions of state actors fall short of a thorough understanding of the causes and processes of grand (or palace) corruption in developing countries.</w:t>
      </w:r>
    </w:p>
    <w:p w14:paraId="51D4831C" w14:textId="6B5ACCF8" w:rsidR="003B5520" w:rsidRPr="008B1465" w:rsidRDefault="003B5520" w:rsidP="003B5520">
      <w:pPr>
        <w:spacing w:after="0" w:line="360" w:lineRule="auto"/>
        <w:jc w:val="both"/>
        <w:rPr>
          <w:rFonts w:ascii="Times New Roman" w:hAnsi="Times New Roman"/>
          <w:sz w:val="24"/>
          <w:szCs w:val="24"/>
        </w:rPr>
      </w:pPr>
      <w:r w:rsidRPr="008B1465">
        <w:rPr>
          <w:rFonts w:ascii="Times New Roman" w:hAnsi="Times New Roman"/>
          <w:sz w:val="24"/>
          <w:szCs w:val="24"/>
        </w:rPr>
        <w:t xml:space="preserve">Moreover, many </w:t>
      </w:r>
      <w:r w:rsidR="00143603" w:rsidRPr="008B1465">
        <w:rPr>
          <w:rFonts w:ascii="Times New Roman" w:hAnsi="Times New Roman"/>
          <w:sz w:val="24"/>
          <w:szCs w:val="24"/>
        </w:rPr>
        <w:t>Sub Sah</w:t>
      </w:r>
      <w:r w:rsidR="00310971" w:rsidRPr="008B1465">
        <w:rPr>
          <w:rFonts w:ascii="Times New Roman" w:hAnsi="Times New Roman"/>
          <w:sz w:val="24"/>
          <w:szCs w:val="24"/>
        </w:rPr>
        <w:t xml:space="preserve">ara Africa </w:t>
      </w:r>
      <w:r w:rsidRPr="008B1465">
        <w:rPr>
          <w:rFonts w:ascii="Times New Roman" w:hAnsi="Times New Roman"/>
          <w:sz w:val="24"/>
          <w:szCs w:val="24"/>
        </w:rPr>
        <w:t>countries' struggle for political independence was fraught with adversity. For instance, militarism and truncated democracies have ruled post-colonial Africa. The development test for uplifting their populations was failed by both systems. In the majority of emerging nations, party politics has never been motivated or founded on an ideology. The majority of SSA politics are applicable to Sesay's (1995) statement on Sierra Leone's politics. As a result, political parties were and continue to be nothing more than factional alliances of patrons and clients organized along regional, ethnic, and religious lines. Such factions' attempts to rule through institutional and constitutional methods frequently led to a situation of dubious legality and a political culture that was generally defined by corruption, abuse of public office, and political "strong men." Most nations in South America and South East Asia share this African narrative. If successive military governments in Africa stunted the continent's post-independence economic growth, the political governance systems that followed unleashed private patronage, widespread corruption, and a preference for regime survival. This merely resulted in a personalized kind of government, which has characterized these nations' politics ever since they gained independence. The polities of developing nations have had a precarious stability and most of the characteristics of neo-patrimonialism.</w:t>
      </w:r>
    </w:p>
    <w:p w14:paraId="60B69CF1" w14:textId="0A19203A" w:rsidR="003B5520" w:rsidRPr="008B1465" w:rsidRDefault="003B5520" w:rsidP="003B5520">
      <w:pPr>
        <w:spacing w:after="0" w:line="360" w:lineRule="auto"/>
        <w:jc w:val="both"/>
        <w:rPr>
          <w:rFonts w:ascii="Times New Roman" w:hAnsi="Times New Roman"/>
          <w:sz w:val="24"/>
          <w:szCs w:val="24"/>
        </w:rPr>
      </w:pPr>
      <w:r w:rsidRPr="008B1465">
        <w:rPr>
          <w:rFonts w:ascii="Times New Roman" w:hAnsi="Times New Roman"/>
          <w:sz w:val="24"/>
          <w:szCs w:val="24"/>
        </w:rPr>
        <w:t xml:space="preserve">The concentration of economic power in the state, particularly the Executive and Federal legislators, was caused by the political class's determination to continue maintaining dominant control over governmental activities and to take public resources through unethical means. This explains the center's irrational interest in and pursuit of political office. This is a general overview of the political and economic development of developing nations. Therefore, since the military's intrusion into state governance in the 1960s, public awareness of and tolerance for corruption have been historical realities, despite the fact that these nations and the rest of the </w:t>
      </w:r>
      <w:r w:rsidR="0039062E" w:rsidRPr="008B1465">
        <w:rPr>
          <w:rFonts w:ascii="Times New Roman" w:hAnsi="Times New Roman"/>
          <w:sz w:val="24"/>
          <w:szCs w:val="24"/>
        </w:rPr>
        <w:t xml:space="preserve">world have </w:t>
      </w:r>
      <w:r w:rsidRPr="008B1465">
        <w:rPr>
          <w:rFonts w:ascii="Times New Roman" w:hAnsi="Times New Roman"/>
          <w:sz w:val="24"/>
          <w:szCs w:val="24"/>
        </w:rPr>
        <w:t>expect</w:t>
      </w:r>
      <w:r w:rsidR="000B145B" w:rsidRPr="008B1465">
        <w:rPr>
          <w:rFonts w:ascii="Times New Roman" w:hAnsi="Times New Roman"/>
          <w:sz w:val="24"/>
          <w:szCs w:val="24"/>
        </w:rPr>
        <w:t>ed</w:t>
      </w:r>
      <w:r w:rsidRPr="008B1465">
        <w:rPr>
          <w:rFonts w:ascii="Times New Roman" w:hAnsi="Times New Roman"/>
          <w:sz w:val="24"/>
          <w:szCs w:val="24"/>
        </w:rPr>
        <w:t xml:space="preserve"> more from their leaders as a result of global developments and expectations over the past 50 years.</w:t>
      </w:r>
    </w:p>
    <w:p w14:paraId="58AFA63C" w14:textId="546999F0" w:rsidR="003B5520" w:rsidRPr="008B1465" w:rsidRDefault="00D427F0" w:rsidP="003B5520">
      <w:pPr>
        <w:spacing w:after="0" w:line="360" w:lineRule="auto"/>
        <w:jc w:val="both"/>
        <w:rPr>
          <w:rFonts w:ascii="Times New Roman" w:hAnsi="Times New Roman"/>
          <w:sz w:val="24"/>
          <w:szCs w:val="24"/>
        </w:rPr>
      </w:pPr>
      <w:r w:rsidRPr="008B1465">
        <w:rPr>
          <w:rFonts w:ascii="Times New Roman" w:hAnsi="Times New Roman"/>
          <w:sz w:val="24"/>
          <w:szCs w:val="24"/>
        </w:rPr>
        <w:t xml:space="preserve">However, </w:t>
      </w:r>
      <w:r w:rsidR="003B5520" w:rsidRPr="008B1465">
        <w:rPr>
          <w:rFonts w:ascii="Times New Roman" w:hAnsi="Times New Roman"/>
          <w:sz w:val="24"/>
          <w:szCs w:val="24"/>
        </w:rPr>
        <w:t xml:space="preserve">it has been noted that the status and authority of the colonial successors seemed a bit "hollow" (Sesay, 1995; </w:t>
      </w:r>
      <w:r w:rsidR="003B5520" w:rsidRPr="008B1465">
        <w:rPr>
          <w:rFonts w:ascii="Times New Roman" w:hAnsi="Times New Roman"/>
          <w:sz w:val="24"/>
          <w:szCs w:val="24"/>
          <w:shd w:val="clear" w:color="auto" w:fill="FFFFFF"/>
        </w:rPr>
        <w:t>Herbert, Tsegba, Ene &amp; Onyilo, 2017).</w:t>
      </w:r>
      <w:r w:rsidR="003B5520" w:rsidRPr="008B1465">
        <w:rPr>
          <w:rFonts w:ascii="Times New Roman" w:hAnsi="Times New Roman"/>
          <w:sz w:val="24"/>
          <w:szCs w:val="24"/>
        </w:rPr>
        <w:t xml:space="preserve"> The urban elite and state officials did not share the same sense of class solidarity as their Western counterparts and thought it was unrealistic to utilize public structures and resources to subjugate private interests. Instead of social control and popular mobilization, the state was limited to manipulative politics and appointments and lacked autonomy </w:t>
      </w:r>
      <w:bookmarkStart w:id="40" w:name="_Hlk122291100"/>
      <w:r w:rsidR="003B5520" w:rsidRPr="008B1465">
        <w:rPr>
          <w:rFonts w:ascii="Times New Roman" w:hAnsi="Times New Roman"/>
          <w:sz w:val="24"/>
          <w:szCs w:val="24"/>
        </w:rPr>
        <w:t xml:space="preserve">(Migdal, 1988). </w:t>
      </w:r>
      <w:bookmarkEnd w:id="40"/>
      <w:r w:rsidR="003B5520" w:rsidRPr="008B1465">
        <w:rPr>
          <w:rFonts w:ascii="Times New Roman" w:hAnsi="Times New Roman"/>
          <w:sz w:val="24"/>
          <w:szCs w:val="24"/>
        </w:rPr>
        <w:t xml:space="preserve">Additionally, in these nations, the "irrelevance" of the State was demonstrated by its officials' incapacity to carry out policies at the individual level. The state was and still is ineffective as a tool for direction and policy, ineffective in controlling social behavior, and essentially irrelevant as a force for mobilizing resources at the federal level for development (Sesay, 1995; Herbert, </w:t>
      </w:r>
      <w:r w:rsidR="00576E27" w:rsidRPr="008B1465">
        <w:rPr>
          <w:rFonts w:ascii="Times New Roman" w:hAnsi="Times New Roman"/>
          <w:i/>
          <w:iCs/>
          <w:sz w:val="24"/>
          <w:szCs w:val="24"/>
        </w:rPr>
        <w:t>et al</w:t>
      </w:r>
      <w:r w:rsidR="003B5520" w:rsidRPr="008B1465">
        <w:rPr>
          <w:rFonts w:ascii="Times New Roman" w:hAnsi="Times New Roman"/>
          <w:sz w:val="24"/>
          <w:szCs w:val="24"/>
        </w:rPr>
        <w:t>., 2017). Groups of people, individuals, or "particular classes" continue to have enough influence to thwart policies and seize control of the government (Ibid.).</w:t>
      </w:r>
    </w:p>
    <w:p w14:paraId="5D6C623C" w14:textId="7A6A2F04" w:rsidR="003B5520" w:rsidRPr="008B1465" w:rsidRDefault="003B5520" w:rsidP="003B5520">
      <w:pPr>
        <w:spacing w:after="0" w:line="360" w:lineRule="auto"/>
        <w:jc w:val="both"/>
        <w:rPr>
          <w:rFonts w:ascii="Times New Roman" w:hAnsi="Times New Roman"/>
          <w:sz w:val="24"/>
          <w:szCs w:val="24"/>
        </w:rPr>
      </w:pPr>
      <w:r w:rsidRPr="008B1465">
        <w:rPr>
          <w:rFonts w:ascii="Times New Roman" w:hAnsi="Times New Roman"/>
          <w:sz w:val="24"/>
          <w:szCs w:val="24"/>
        </w:rPr>
        <w:t>Political unrest seen in numerous of these nations, as well as some political heavyweights' impunity and power struggles, are classic instances of how strong people can hold the State hostage. This attitude supports Todaro's 1989 hypothesis that, in the end, national approaches to important development challenges are frequently not only determined by the effectiveness of economic measures (Chowdhury &amp; Kirkpatrick, 2003). What strategies are possible and where the major obstacles to successful economic and social change may be found will typically depend on the political structure, vested interests, and allegiances of ruling elites (such as large landowners, urban industrialists, bankers, foreign manufacturers, the military, and trade unionists) (Todaro, 1989</w:t>
      </w:r>
      <w:r w:rsidR="00A86ACD">
        <w:rPr>
          <w:rFonts w:ascii="Times New Roman" w:hAnsi="Times New Roman"/>
          <w:sz w:val="24"/>
          <w:szCs w:val="24"/>
        </w:rPr>
        <w:t xml:space="preserve">; </w:t>
      </w:r>
      <w:r w:rsidRPr="008B1465">
        <w:rPr>
          <w:rFonts w:ascii="Times New Roman" w:hAnsi="Times New Roman"/>
          <w:sz w:val="24"/>
          <w:szCs w:val="24"/>
        </w:rPr>
        <w:t>Rehman &amp; Hashim, 2022). The ability to deceive and mislead is one way that impunity affects how vices are practiced and perceived in emerging nations. Additionally, it is widely accepted that corruption itself is not harmful to development; rather, what makes it atrocious is the impunity with which it is practiced. The main characteristic of corruption in these nations is impunity, which explains how and why it hinders their efforts to advance economically.</w:t>
      </w:r>
    </w:p>
    <w:p w14:paraId="22017443" w14:textId="4B54E153" w:rsidR="003B5520" w:rsidRPr="008B1465" w:rsidRDefault="003B5520" w:rsidP="003B5520">
      <w:pPr>
        <w:spacing w:after="0" w:line="360" w:lineRule="auto"/>
        <w:jc w:val="both"/>
        <w:rPr>
          <w:rFonts w:ascii="Times New Roman" w:hAnsi="Times New Roman"/>
          <w:sz w:val="24"/>
          <w:szCs w:val="24"/>
        </w:rPr>
      </w:pPr>
      <w:r w:rsidRPr="008B1465">
        <w:rPr>
          <w:rFonts w:ascii="Times New Roman" w:hAnsi="Times New Roman"/>
          <w:sz w:val="24"/>
          <w:szCs w:val="24"/>
        </w:rPr>
        <w:t>Undoubtedly, in nations with weak institutions, particularly in the political, judicial, and bureaucratic systems, impunity rules. The environment that encourages corruption also encourages the phenomenon of powerful people and weak institutions. It also has long-standing systems of political and economic patronage. The pervasive climate of opportunism, or lack of candor in transactions, is implicit in corrupt susceptibilities with impunity. If there were</w:t>
      </w:r>
      <w:r w:rsidR="006D6DC1" w:rsidRPr="008B1465">
        <w:rPr>
          <w:rFonts w:ascii="Times New Roman" w:hAnsi="Times New Roman"/>
          <w:sz w:val="24"/>
          <w:szCs w:val="24"/>
        </w:rPr>
        <w:t xml:space="preserve"> </w:t>
      </w:r>
      <w:r w:rsidR="00310971" w:rsidRPr="008B1465">
        <w:rPr>
          <w:rFonts w:ascii="Times New Roman" w:hAnsi="Times New Roman"/>
          <w:sz w:val="24"/>
          <w:szCs w:val="24"/>
        </w:rPr>
        <w:t>not</w:t>
      </w:r>
      <w:r w:rsidRPr="008B1465">
        <w:rPr>
          <w:rFonts w:ascii="Times New Roman" w:hAnsi="Times New Roman"/>
          <w:sz w:val="24"/>
          <w:szCs w:val="24"/>
        </w:rPr>
        <w:t xml:space="preserve"> such widespread impunity and lax legal frameworks, corruption would decline in an environment of strong governance and strictly enforced punishments (Wilson, 2019).</w:t>
      </w:r>
    </w:p>
    <w:p w14:paraId="25199708" w14:textId="4E4D37B6" w:rsidR="003B5520" w:rsidRPr="008B1465" w:rsidRDefault="003B5520" w:rsidP="003B5520">
      <w:pPr>
        <w:spacing w:after="0" w:line="360" w:lineRule="auto"/>
        <w:jc w:val="both"/>
        <w:rPr>
          <w:rFonts w:ascii="Times New Roman" w:hAnsi="Times New Roman"/>
          <w:sz w:val="24"/>
          <w:szCs w:val="24"/>
        </w:rPr>
      </w:pPr>
      <w:r w:rsidRPr="008B1465">
        <w:rPr>
          <w:rFonts w:ascii="Times New Roman" w:hAnsi="Times New Roman"/>
          <w:sz w:val="24"/>
          <w:szCs w:val="24"/>
        </w:rPr>
        <w:t xml:space="preserve"> What might be called the "economic development attention deficit disorder" or "economic development inattentiveness" of most African governments is illustrated by this institutional failure to hold blatant offenders of corrupt acts or public service violators accountable. This helps to explain why no African nation or emerging nation can make a strong case for being particularly democratic, open, or free of corruption. Without being presumptuous, it may be said that corruption in developing nations is typically inextricably linked to or ingrained in political and economic operations.</w:t>
      </w:r>
      <w:r w:rsidR="00F604C3" w:rsidRPr="008B1465">
        <w:rPr>
          <w:rFonts w:ascii="Times New Roman" w:hAnsi="Times New Roman"/>
          <w:sz w:val="24"/>
          <w:szCs w:val="24"/>
        </w:rPr>
        <w:t xml:space="preserve"> </w:t>
      </w:r>
      <w:r w:rsidRPr="008B1465">
        <w:rPr>
          <w:rFonts w:ascii="Times New Roman" w:hAnsi="Times New Roman"/>
          <w:sz w:val="24"/>
          <w:szCs w:val="24"/>
        </w:rPr>
        <w:t>Therefore, it is impossible to separate the act itself from the mind that is already tainted with or prone to corrupt inclinations. Similar to this, nothing would encourage corrupt behavior more than tolerating opportunistic tendencies in a setting with few people and weak institutions. Edward Coke (1797) asserted that "an act does not make a person guilty unless their mind is also guilty" (actus non facit reum nisi mens sit rea) is immediately invoked and has a profound impact on Nigeria's (nay, many developing countries') impunity towards corruption, bribery, and fraud and their associated transactional frictions.</w:t>
      </w:r>
    </w:p>
    <w:p w14:paraId="61C3C2E1" w14:textId="77777777" w:rsidR="003B5520" w:rsidRPr="008B1465" w:rsidRDefault="003B5520" w:rsidP="003B5520">
      <w:pPr>
        <w:spacing w:after="0" w:line="360" w:lineRule="auto"/>
        <w:jc w:val="both"/>
        <w:rPr>
          <w:rFonts w:ascii="Times New Roman" w:hAnsi="Times New Roman"/>
          <w:sz w:val="24"/>
          <w:szCs w:val="24"/>
        </w:rPr>
      </w:pPr>
      <w:r w:rsidRPr="008B1465">
        <w:rPr>
          <w:rFonts w:ascii="Times New Roman" w:hAnsi="Times New Roman"/>
          <w:sz w:val="24"/>
          <w:szCs w:val="24"/>
        </w:rPr>
        <w:t xml:space="preserve">The general standard for determining guilt in law is for evidence of wrongdoing, responsibility, or blameworthiness in both thought and conduct. These have, unfortunately, been largely ignored or artificially discussed in formal economic settings since they do not readily lend themselves to formal analysis. The act of fraud, corruption, and financial crime in general cannot be divorced from the mind, both in theory and in reality. The current definition of "mens rea" refers to the mental state or lack of attention that, along with the accompanying behavior, constitutes a crime under criminal law. These actions appear to have some degree of premeditation, just like murder. The foundations of their prosecution and possible deterrent rest on this gap between the idea of culpability as a general condition of guilt (the classic mens rea) and the impunity with which fraud, corruption, and financial crimes are committed. </w:t>
      </w:r>
    </w:p>
    <w:p w14:paraId="6DEB02A1" w14:textId="7382D033" w:rsidR="003B5520" w:rsidRPr="008B1465" w:rsidRDefault="003B5520" w:rsidP="003B5520">
      <w:pPr>
        <w:spacing w:after="0" w:line="360" w:lineRule="auto"/>
        <w:jc w:val="both"/>
        <w:rPr>
          <w:rFonts w:ascii="Times New Roman" w:hAnsi="Times New Roman"/>
          <w:sz w:val="24"/>
          <w:szCs w:val="24"/>
        </w:rPr>
      </w:pPr>
      <w:r w:rsidRPr="008B1465">
        <w:rPr>
          <w:rFonts w:ascii="Times New Roman" w:hAnsi="Times New Roman"/>
          <w:sz w:val="24"/>
          <w:szCs w:val="24"/>
        </w:rPr>
        <w:t>Contrary to industrialized economies, corruption in poor countries generally isn't just an act of the mind; it's a purposeful crime committed with complete disregard for the law and its repercussions. In fact, it is rumored that fraud and financial crimes agents look askance at those who are apprehended for "little fraud," a euphemism for fraud offenses involving tens of millions of Naira but considered insignificant (Wilson, 2019)</w:t>
      </w:r>
      <w:r w:rsidR="00310971" w:rsidRPr="008B1465">
        <w:rPr>
          <w:rFonts w:ascii="Times New Roman" w:hAnsi="Times New Roman"/>
          <w:sz w:val="24"/>
          <w:szCs w:val="24"/>
        </w:rPr>
        <w:t>.</w:t>
      </w:r>
      <w:r w:rsidR="00F604C3" w:rsidRPr="008B1465">
        <w:rPr>
          <w:rFonts w:ascii="Times New Roman" w:hAnsi="Times New Roman"/>
          <w:sz w:val="24"/>
          <w:szCs w:val="24"/>
        </w:rPr>
        <w:t xml:space="preserve"> </w:t>
      </w:r>
      <w:r w:rsidRPr="008B1465">
        <w:rPr>
          <w:rFonts w:ascii="Times New Roman" w:hAnsi="Times New Roman"/>
          <w:sz w:val="24"/>
          <w:szCs w:val="24"/>
        </w:rPr>
        <w:t xml:space="preserve">To emphasize the point, fraud accusations of </w:t>
      </w:r>
      <w:r w:rsidRPr="008B1465">
        <w:rPr>
          <w:rFonts w:ascii="Times New Roman" w:hAnsi="Times New Roman"/>
          <w:dstrike/>
          <w:sz w:val="24"/>
          <w:szCs w:val="24"/>
        </w:rPr>
        <w:t>N</w:t>
      </w:r>
      <w:r w:rsidRPr="008B1465">
        <w:rPr>
          <w:rFonts w:ascii="Times New Roman" w:hAnsi="Times New Roman"/>
          <w:sz w:val="24"/>
          <w:szCs w:val="24"/>
        </w:rPr>
        <w:t>5 million or less (i.e., less than US$15,000) are not even considered by Nigeria's fraud-fighting organizations, the EFCC and ICPC. Making such complaints to the Nigerian Police is a useless endeavor and a journey into the depths. The complainant can wind up paying a high personal price for countless hours of ineffective effort (Wilson, 2019)</w:t>
      </w:r>
      <w:r w:rsidR="00E36901" w:rsidRPr="008B1465">
        <w:rPr>
          <w:rFonts w:ascii="Times New Roman" w:hAnsi="Times New Roman"/>
          <w:sz w:val="24"/>
          <w:szCs w:val="24"/>
        </w:rPr>
        <w:t>.</w:t>
      </w:r>
    </w:p>
    <w:p w14:paraId="45C47116" w14:textId="1DEA4296" w:rsidR="003B5520" w:rsidRPr="008B1465" w:rsidRDefault="003B5520" w:rsidP="003B5520">
      <w:pPr>
        <w:spacing w:after="0" w:line="360" w:lineRule="auto"/>
        <w:jc w:val="both"/>
        <w:rPr>
          <w:rFonts w:ascii="Times New Roman" w:hAnsi="Times New Roman"/>
          <w:sz w:val="24"/>
          <w:szCs w:val="24"/>
        </w:rPr>
      </w:pPr>
      <w:r w:rsidRPr="008B1465">
        <w:rPr>
          <w:rFonts w:ascii="Times New Roman" w:hAnsi="Times New Roman"/>
          <w:sz w:val="24"/>
          <w:szCs w:val="24"/>
        </w:rPr>
        <w:t>Additionally, s/he can become a suspect and shell out a lot of cash to escape the grasp of dishonest law enforcement officials. The brazenness and impunity of corruption in SSA not only go against accepted legal doctrine, but also go right to the heart of its practice by impeding the ability of the law, especially in societies with weak legal systems, to allow voluntary exchanges to maximize total wealth. Because there is a lack of candor or honesty in dealings, the mind engrossed in opportunistic tendency is already imprisoned in self-interest seeking with deceit. The economy is threatened and at danger by opportunistic tendencies, particularly in the absence of exchange interactions that are highly competitive (including many participants) (Williamson, 1975; Herbert &amp; Seal, 2012)</w:t>
      </w:r>
      <w:r w:rsidR="00386E6F" w:rsidRPr="008B1465">
        <w:rPr>
          <w:rFonts w:ascii="Times New Roman" w:hAnsi="Times New Roman"/>
          <w:sz w:val="24"/>
          <w:szCs w:val="24"/>
        </w:rPr>
        <w:t>.</w:t>
      </w:r>
      <w:r w:rsidR="00F604C3" w:rsidRPr="008B1465">
        <w:rPr>
          <w:rFonts w:ascii="Times New Roman" w:hAnsi="Times New Roman"/>
          <w:sz w:val="24"/>
          <w:szCs w:val="24"/>
        </w:rPr>
        <w:t xml:space="preserve"> </w:t>
      </w:r>
      <w:r w:rsidRPr="008B1465">
        <w:rPr>
          <w:rFonts w:ascii="Times New Roman" w:hAnsi="Times New Roman"/>
          <w:sz w:val="24"/>
          <w:szCs w:val="24"/>
        </w:rPr>
        <w:t>Most developing economies struggle with efficient economic administration due to corruption, misuse, and impunity, which cannot be easily discovered or understood as the transgressions of Co</w:t>
      </w:r>
      <w:r w:rsidRPr="008B1465">
        <w:rPr>
          <w:rFonts w:ascii="Times New Roman" w:hAnsi="Times New Roman"/>
          <w:sz w:val="24"/>
          <w:szCs w:val="24"/>
          <w:shd w:val="clear" w:color="auto" w:fill="FFFFFF"/>
        </w:rPr>
        <w:t xml:space="preserve">oper &amp; Sherer, 1984). </w:t>
      </w:r>
      <w:r w:rsidRPr="008B1465">
        <w:rPr>
          <w:rFonts w:ascii="Times New Roman" w:hAnsi="Times New Roman"/>
          <w:sz w:val="24"/>
          <w:szCs w:val="24"/>
        </w:rPr>
        <w:t>For instance, almost all economic transactions in these nations are inflated by fraud aggregates, restricted rationality, uncertainty, and idiosyncratic behaviors that, taken together, (a) resist or exacerbate efficiency analyses, and (b) impose market or organizational failure. The causes of slow economic growth, the poor infrastructure syndrome, and enduring poverty can be traced back to ineffective or dishonest leadership. The systematic corruption in Africa and other developing continents is conclusively shown to be the main obstacle to those regions' national and continental growth and development.</w:t>
      </w:r>
    </w:p>
    <w:p w14:paraId="1C332EF0" w14:textId="51CB9FA4" w:rsidR="003B5520" w:rsidRPr="008B1465" w:rsidRDefault="003B5520" w:rsidP="003B5520">
      <w:pPr>
        <w:spacing w:after="0" w:line="360" w:lineRule="auto"/>
        <w:jc w:val="both"/>
        <w:rPr>
          <w:rFonts w:ascii="Times New Roman" w:hAnsi="Times New Roman"/>
          <w:sz w:val="24"/>
          <w:szCs w:val="24"/>
        </w:rPr>
      </w:pPr>
      <w:r w:rsidRPr="008B1465">
        <w:rPr>
          <w:rFonts w:ascii="Times New Roman" w:hAnsi="Times New Roman"/>
          <w:sz w:val="24"/>
          <w:szCs w:val="24"/>
        </w:rPr>
        <w:t>It is also commonly known that economic policies have an impact on corruption in these regions and that it is endogenous (Stiglitz, 2001). Therefore, these nations cannot address their various socio</w:t>
      </w:r>
      <w:r w:rsidR="00EF1E8F" w:rsidRPr="008B1465">
        <w:rPr>
          <w:rFonts w:ascii="Times New Roman" w:hAnsi="Times New Roman"/>
          <w:sz w:val="24"/>
          <w:szCs w:val="24"/>
        </w:rPr>
        <w:t>-</w:t>
      </w:r>
      <w:r w:rsidRPr="008B1465">
        <w:rPr>
          <w:rFonts w:ascii="Times New Roman" w:hAnsi="Times New Roman"/>
          <w:sz w:val="24"/>
          <w:szCs w:val="24"/>
        </w:rPr>
        <w:t>economic and political issues if the tree stump of unchecked systemic corruption is not removed. It is concerning that public officials have a tendency toward "rent-seeking behavior," which refers to paying bribes and other illicit inducements in exchange for their discretionary authority and in exchange for their services (Bhagwati, 1982; Bardhan, 1997).</w:t>
      </w:r>
    </w:p>
    <w:p w14:paraId="729C6DC6" w14:textId="19F48F8F" w:rsidR="003B5520" w:rsidRPr="008B1465" w:rsidRDefault="003B5520" w:rsidP="003B5520">
      <w:pPr>
        <w:spacing w:after="0" w:line="360" w:lineRule="auto"/>
        <w:jc w:val="both"/>
        <w:rPr>
          <w:rFonts w:ascii="Times New Roman" w:hAnsi="Times New Roman"/>
          <w:sz w:val="24"/>
          <w:szCs w:val="24"/>
        </w:rPr>
      </w:pPr>
      <w:r w:rsidRPr="008B1465">
        <w:rPr>
          <w:rFonts w:ascii="Times New Roman" w:hAnsi="Times New Roman"/>
          <w:sz w:val="24"/>
          <w:szCs w:val="24"/>
        </w:rPr>
        <w:t xml:space="preserve">Additionally, bribes are frequently proposed to acquire public officials' discretionary rights (Roy, 2008). As a matter of business judgment or financial need, some organizations accept and provide bribes, while others forgo them out of ethical propriety. International businesses must disclose significant expenditures to their parent company, which presents </w:t>
      </w:r>
      <w:r w:rsidR="00386E6F" w:rsidRPr="008B1465">
        <w:rPr>
          <w:rFonts w:ascii="Times New Roman" w:hAnsi="Times New Roman"/>
          <w:sz w:val="24"/>
          <w:szCs w:val="24"/>
        </w:rPr>
        <w:t>a</w:t>
      </w:r>
      <w:r w:rsidRPr="008B1465">
        <w:rPr>
          <w:rFonts w:ascii="Times New Roman" w:hAnsi="Times New Roman"/>
          <w:sz w:val="24"/>
          <w:szCs w:val="24"/>
        </w:rPr>
        <w:t>n ethical conundrum. Multinational enterprises (MNEs) occasionally conceal wrongdoing by seeking first-mover advantages in a connected set of transactions by using their huge eclectic competitive advantages (financial power, internalization advantages, managerial ability, and technical capacity).</w:t>
      </w:r>
    </w:p>
    <w:p w14:paraId="18F2574B" w14:textId="3F0931DC" w:rsidR="003B5520" w:rsidRPr="008B1465" w:rsidRDefault="003B5520" w:rsidP="003B5520">
      <w:pPr>
        <w:spacing w:after="0" w:line="360" w:lineRule="auto"/>
        <w:jc w:val="both"/>
        <w:rPr>
          <w:rFonts w:ascii="Times New Roman" w:hAnsi="Times New Roman"/>
          <w:sz w:val="24"/>
          <w:szCs w:val="24"/>
        </w:rPr>
      </w:pPr>
      <w:r w:rsidRPr="008B1465">
        <w:rPr>
          <w:rFonts w:ascii="Times New Roman" w:hAnsi="Times New Roman"/>
          <w:sz w:val="24"/>
          <w:szCs w:val="24"/>
        </w:rPr>
        <w:t>The MNEs use bribes or other inducements to obtain a positional advantage in order to get around the procedures for concluding relevant transactions involving government or community interactions. What has been the worldwide approach to battling or eliminating this threat, given that (a) Western MNEs often deal cautiously to minimize reputational damage or business probity risk, and (b) corruption is a substantial global phenomenon? A</w:t>
      </w:r>
      <w:r w:rsidR="006A0D58" w:rsidRPr="008B1465">
        <w:rPr>
          <w:rFonts w:ascii="Times New Roman" w:hAnsi="Times New Roman"/>
          <w:sz w:val="24"/>
          <w:szCs w:val="24"/>
        </w:rPr>
        <w:t xml:space="preserve"> higher Corruption Perception I</w:t>
      </w:r>
      <w:r w:rsidR="00474D42" w:rsidRPr="008B1465">
        <w:rPr>
          <w:rFonts w:ascii="Times New Roman" w:hAnsi="Times New Roman"/>
          <w:sz w:val="24"/>
          <w:szCs w:val="24"/>
        </w:rPr>
        <w:t>n</w:t>
      </w:r>
      <w:r w:rsidRPr="008B1465">
        <w:rPr>
          <w:rFonts w:ascii="Times New Roman" w:hAnsi="Times New Roman"/>
          <w:sz w:val="24"/>
          <w:szCs w:val="24"/>
        </w:rPr>
        <w:t>dex (CPI) is correlated with faster long-term economic growth, according to research on the financial effects of TI's corruption perception index (CPI) (Shao, Ivanov, Podobnik, &amp; Stanley, 2007). Additionally, their study on how corruption affects foreign investment a</w:t>
      </w:r>
      <w:r w:rsidR="00E167FD" w:rsidRPr="008B1465">
        <w:rPr>
          <w:rFonts w:ascii="Times New Roman" w:hAnsi="Times New Roman"/>
          <w:sz w:val="24"/>
          <w:szCs w:val="24"/>
        </w:rPr>
        <w:t>nd economic growth rate, a</w:t>
      </w:r>
      <w:r w:rsidRPr="008B1465">
        <w:rPr>
          <w:rFonts w:ascii="Times New Roman" w:hAnsi="Times New Roman"/>
          <w:sz w:val="24"/>
          <w:szCs w:val="24"/>
        </w:rPr>
        <w:t>ccording to Podobnik, Shao, Njavro, Ivanov and Stanley (2008), nations with higher CPI scores saw faster economic growth and attracted more international investment. The following variables—Gross Domestic Product (GDP), Per Capita, Economic Freedom Index, Political Culture, and Freedom of the Press Index—emerged as the main predictors of CPI recently in a study en</w:t>
      </w:r>
      <w:r w:rsidR="00926F8B" w:rsidRPr="008B1465">
        <w:rPr>
          <w:rFonts w:ascii="Times New Roman" w:hAnsi="Times New Roman"/>
          <w:sz w:val="24"/>
          <w:szCs w:val="24"/>
        </w:rPr>
        <w:t xml:space="preserve">compassing 146 nations aimed at </w:t>
      </w:r>
      <w:r w:rsidRPr="008B1465">
        <w:rPr>
          <w:rFonts w:ascii="Times New Roman" w:hAnsi="Times New Roman"/>
          <w:sz w:val="24"/>
          <w:szCs w:val="24"/>
        </w:rPr>
        <w:t>discover</w:t>
      </w:r>
      <w:r w:rsidR="0074186A" w:rsidRPr="008B1465">
        <w:rPr>
          <w:rFonts w:ascii="Times New Roman" w:hAnsi="Times New Roman"/>
          <w:sz w:val="24"/>
          <w:szCs w:val="24"/>
        </w:rPr>
        <w:t>ing</w:t>
      </w:r>
      <w:r w:rsidRPr="008B1465">
        <w:rPr>
          <w:rFonts w:ascii="Times New Roman" w:hAnsi="Times New Roman"/>
          <w:sz w:val="24"/>
          <w:szCs w:val="24"/>
        </w:rPr>
        <w:t xml:space="preserve"> those aspects (Japos &amp; Estrada, 2014). The Least Developed Countries (LDCs) and developing nations are most susceptible to corruption, according to the authors. The level of corruption is lower in industrialized nations.</w:t>
      </w:r>
    </w:p>
    <w:p w14:paraId="240BA25A" w14:textId="77777777" w:rsidR="003B5520" w:rsidRPr="008B1465" w:rsidRDefault="003B5520" w:rsidP="003B5520">
      <w:pPr>
        <w:spacing w:after="0" w:line="360" w:lineRule="auto"/>
        <w:jc w:val="both"/>
        <w:rPr>
          <w:rFonts w:ascii="Times New Roman" w:hAnsi="Times New Roman"/>
          <w:sz w:val="24"/>
          <w:szCs w:val="24"/>
        </w:rPr>
      </w:pPr>
      <w:r w:rsidRPr="008B1465">
        <w:rPr>
          <w:rFonts w:ascii="Times New Roman" w:hAnsi="Times New Roman"/>
          <w:sz w:val="24"/>
          <w:szCs w:val="24"/>
        </w:rPr>
        <w:t>The dissatisfaction with corruption is further supported by Wilhelm's (2002) study, which discovered a highly substantial association between the CPI and two additional proxies for corruption: black market activity and excessive regulation. Real Gross Domestic Product per Capita (RGDP/Cap) revealed a highly substantial association with all three measures. The strongest link, which accounts for more than 75% of the variance, was found between CPI and RGDP/Cap. Countries with lower CPIs have higher levels of corruption and thus lower RGDPs since a lower CPI reflects greater corruption. On the other hand, nations with higher CPIs typically have lower levels of corruption and greater RGDPs (Wilson, 2019)</w:t>
      </w:r>
    </w:p>
    <w:p w14:paraId="04EDF161" w14:textId="162F4B54" w:rsidR="001616E5" w:rsidRPr="00C170DA" w:rsidRDefault="005D6822" w:rsidP="00C170DA">
      <w:pPr>
        <w:rPr>
          <w:rFonts w:ascii="Times New Roman" w:hAnsi="Times New Roman"/>
          <w:b/>
          <w:bCs/>
          <w:sz w:val="24"/>
          <w:szCs w:val="24"/>
        </w:rPr>
      </w:pPr>
      <w:r w:rsidRPr="00C170DA">
        <w:rPr>
          <w:rFonts w:ascii="Times New Roman" w:hAnsi="Times New Roman"/>
          <w:b/>
          <w:bCs/>
          <w:sz w:val="24"/>
          <w:szCs w:val="24"/>
        </w:rPr>
        <w:t>Background to</w:t>
      </w:r>
      <w:r w:rsidR="003F05E3" w:rsidRPr="00C170DA">
        <w:rPr>
          <w:rFonts w:ascii="Times New Roman" w:hAnsi="Times New Roman"/>
          <w:b/>
          <w:bCs/>
          <w:sz w:val="24"/>
          <w:szCs w:val="24"/>
        </w:rPr>
        <w:t xml:space="preserve"> </w:t>
      </w:r>
      <w:r w:rsidR="00645B53" w:rsidRPr="00C170DA">
        <w:rPr>
          <w:rFonts w:ascii="Times New Roman" w:hAnsi="Times New Roman"/>
          <w:b/>
          <w:bCs/>
          <w:sz w:val="24"/>
          <w:szCs w:val="24"/>
        </w:rPr>
        <w:t>F</w:t>
      </w:r>
      <w:r w:rsidR="003F05E3" w:rsidRPr="00C170DA">
        <w:rPr>
          <w:rFonts w:ascii="Times New Roman" w:hAnsi="Times New Roman"/>
          <w:b/>
          <w:bCs/>
          <w:sz w:val="24"/>
          <w:szCs w:val="24"/>
        </w:rPr>
        <w:t xml:space="preserve">orensic </w:t>
      </w:r>
      <w:r w:rsidR="00645B53" w:rsidRPr="00C170DA">
        <w:rPr>
          <w:rFonts w:ascii="Times New Roman" w:hAnsi="Times New Roman"/>
          <w:b/>
          <w:bCs/>
          <w:sz w:val="24"/>
          <w:szCs w:val="24"/>
        </w:rPr>
        <w:t>A</w:t>
      </w:r>
      <w:r w:rsidR="003F05E3" w:rsidRPr="00C170DA">
        <w:rPr>
          <w:rFonts w:ascii="Times New Roman" w:hAnsi="Times New Roman"/>
          <w:b/>
          <w:bCs/>
          <w:sz w:val="24"/>
          <w:szCs w:val="24"/>
        </w:rPr>
        <w:t xml:space="preserve">ccounting </w:t>
      </w:r>
    </w:p>
    <w:p w14:paraId="14BF4E7C" w14:textId="477762C6" w:rsidR="00687C3A" w:rsidRPr="008B1465" w:rsidRDefault="003F05E3" w:rsidP="00CC40AF">
      <w:pPr>
        <w:spacing w:line="360" w:lineRule="auto"/>
        <w:jc w:val="both"/>
        <w:rPr>
          <w:rFonts w:ascii="Times New Roman" w:eastAsia="Calibri" w:hAnsi="Times New Roman"/>
          <w:sz w:val="24"/>
          <w:szCs w:val="24"/>
        </w:rPr>
      </w:pPr>
      <w:r w:rsidRPr="008B1465">
        <w:rPr>
          <w:rFonts w:ascii="Times New Roman" w:eastAsia="Calibri" w:hAnsi="Times New Roman"/>
          <w:sz w:val="24"/>
          <w:szCs w:val="24"/>
        </w:rPr>
        <w:t>Singleton and Singleton (2010) argue that forensic accounting is among the oldest professions having its origins back to Ancient Egypt. In that era, forensic accountants were so-called the Pharao</w:t>
      </w:r>
      <w:r w:rsidR="004C4682" w:rsidRPr="008B1465">
        <w:rPr>
          <w:rFonts w:ascii="Times New Roman" w:eastAsia="Calibri" w:hAnsi="Times New Roman"/>
          <w:sz w:val="24"/>
          <w:szCs w:val="24"/>
        </w:rPr>
        <w:t>h</w:t>
      </w:r>
      <w:r w:rsidRPr="008B1465">
        <w:rPr>
          <w:rFonts w:ascii="Times New Roman" w:eastAsia="Calibri" w:hAnsi="Times New Roman"/>
          <w:sz w:val="24"/>
          <w:szCs w:val="24"/>
        </w:rPr>
        <w:t>’s “eyes and ears” as they controlled the inventories of gold, grain and other assets. Another reference to the existence of forensic accountant</w:t>
      </w:r>
      <w:r w:rsidR="00F51F07" w:rsidRPr="008B1465">
        <w:rPr>
          <w:rFonts w:ascii="Times New Roman" w:eastAsia="Calibri" w:hAnsi="Times New Roman"/>
          <w:sz w:val="24"/>
          <w:szCs w:val="24"/>
        </w:rPr>
        <w:t>s can be traced to 1824 in Glasl</w:t>
      </w:r>
      <w:r w:rsidRPr="008B1465">
        <w:rPr>
          <w:rFonts w:ascii="Times New Roman" w:eastAsia="Calibri" w:hAnsi="Times New Roman"/>
          <w:sz w:val="24"/>
          <w:szCs w:val="24"/>
        </w:rPr>
        <w:t>ow, Scotland. In an accountant’s circular, these experts testified in court providing lawful evidence (Ramaswamy, 2005</w:t>
      </w:r>
      <w:r w:rsidR="00F821D7">
        <w:rPr>
          <w:rFonts w:ascii="Times New Roman" w:eastAsia="Calibri" w:hAnsi="Times New Roman"/>
          <w:sz w:val="24"/>
          <w:szCs w:val="24"/>
        </w:rPr>
        <w:t>;</w:t>
      </w:r>
      <w:r w:rsidRPr="008B1465">
        <w:rPr>
          <w:rFonts w:ascii="Times New Roman" w:eastAsia="Calibri" w:hAnsi="Times New Roman"/>
          <w:sz w:val="24"/>
          <w:szCs w:val="24"/>
        </w:rPr>
        <w:t xml:space="preserve"> Ramamoorti, 2008). However, some researchers such as Thornhill (1995) claim that forensic accounting is a new profession that just incorporates and applies ideas and auditing methods used centuries ago. </w:t>
      </w:r>
    </w:p>
    <w:p w14:paraId="57020B2B" w14:textId="03D16FEB" w:rsidR="001616E5" w:rsidRPr="008B1465" w:rsidRDefault="003F05E3" w:rsidP="00CC40AF">
      <w:pPr>
        <w:spacing w:line="360" w:lineRule="auto"/>
        <w:jc w:val="both"/>
        <w:rPr>
          <w:rFonts w:ascii="Times New Roman" w:eastAsia="Calibri" w:hAnsi="Times New Roman"/>
          <w:sz w:val="24"/>
          <w:szCs w:val="24"/>
        </w:rPr>
      </w:pPr>
      <w:r w:rsidRPr="008B1465">
        <w:rPr>
          <w:rFonts w:ascii="Times New Roman" w:eastAsia="Calibri" w:hAnsi="Times New Roman"/>
          <w:sz w:val="24"/>
          <w:szCs w:val="24"/>
        </w:rPr>
        <w:t>Given these thoughts, Ramaswamy (2005) provides a few cornerstones in the history of forensic accounting which is affected by technological, social and financial changes and like any other profession evolves and adapts to fit in the new challenging environment. The first</w:t>
      </w:r>
      <w:r w:rsidR="005D6822" w:rsidRPr="008B1465">
        <w:rPr>
          <w:rFonts w:ascii="Times New Roman" w:eastAsia="Calibri" w:hAnsi="Times New Roman"/>
          <w:sz w:val="24"/>
          <w:szCs w:val="24"/>
        </w:rPr>
        <w:t xml:space="preserve"> publication o</w:t>
      </w:r>
      <w:r w:rsidRPr="008B1465">
        <w:rPr>
          <w:rFonts w:ascii="Times New Roman" w:eastAsia="Calibri" w:hAnsi="Times New Roman"/>
          <w:sz w:val="24"/>
          <w:szCs w:val="24"/>
        </w:rPr>
        <w:t xml:space="preserve">n forensic accounting was authored by Maurice E. Paloubet titled “Forensic Accounting: It’s in today’s economy” in 1942, followed by that of Francis C. Dykman’s “Forensic Accounting: The Accountant as an Expert Witness” 40 years later, in 1982. Nevertheless, the high-profile fraud scandals in early 2000’s; e.g. Enron, WorldCom, draw the attention of professionals, academics and regulators over the prevention and detection of fraud (Bekiaris &amp; Papachristou, 2017), and increased the interest in the role of forensic accounting. Since then, regulation has been implied, such as the </w:t>
      </w:r>
      <w:bookmarkStart w:id="41" w:name="_Hlk122285588"/>
      <w:r w:rsidRPr="008B1465">
        <w:rPr>
          <w:rFonts w:ascii="Times New Roman" w:eastAsia="Calibri" w:hAnsi="Times New Roman"/>
          <w:sz w:val="24"/>
          <w:szCs w:val="24"/>
        </w:rPr>
        <w:t xml:space="preserve">Sarbanes-Oxley </w:t>
      </w:r>
      <w:bookmarkEnd w:id="41"/>
      <w:r w:rsidRPr="008B1465">
        <w:rPr>
          <w:rFonts w:ascii="Times New Roman" w:eastAsia="Calibri" w:hAnsi="Times New Roman"/>
          <w:sz w:val="24"/>
          <w:szCs w:val="24"/>
        </w:rPr>
        <w:t>Act 2003 in the United States, to prevent and detect fraudulent activities (</w:t>
      </w:r>
      <w:r w:rsidRPr="008B1465">
        <w:rPr>
          <w:rFonts w:ascii="Times New Roman" w:hAnsi="Times New Roman"/>
          <w:sz w:val="24"/>
          <w:szCs w:val="24"/>
        </w:rPr>
        <w:t xml:space="preserve">Cullinan &amp; Roush, 2011). </w:t>
      </w:r>
      <w:r w:rsidRPr="008B1465">
        <w:rPr>
          <w:rFonts w:ascii="Times New Roman" w:eastAsia="Calibri" w:hAnsi="Times New Roman"/>
          <w:sz w:val="24"/>
          <w:szCs w:val="24"/>
        </w:rPr>
        <w:t xml:space="preserve">  However, the disclosure of other white-collar crimes during the following years, e.g. Madoff’s scandal in 2008, gave firms the perception that law enforcement agencies experience difficulties in fraud detection. </w:t>
      </w:r>
    </w:p>
    <w:p w14:paraId="04736357" w14:textId="4A1528D6" w:rsidR="001616E5" w:rsidRPr="008B1465" w:rsidRDefault="003F05E3" w:rsidP="00CC40AF">
      <w:pPr>
        <w:spacing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Thus, forensic accountants are more than essential for the firms. Moreover, the financial crisis with its attendant issues might provide incentives to employees, executives and owners to commit or engage in fraud; therefore, the presence of fraud experts is mandatory (Ramaswamy, 2005). Few years ago, Botes </w:t>
      </w:r>
      <w:r w:rsidR="0035392D" w:rsidRPr="008B1465">
        <w:rPr>
          <w:rFonts w:ascii="Times New Roman" w:eastAsia="Calibri" w:hAnsi="Times New Roman"/>
          <w:sz w:val="24"/>
          <w:szCs w:val="24"/>
        </w:rPr>
        <w:t>and</w:t>
      </w:r>
      <w:r w:rsidRPr="008B1465">
        <w:rPr>
          <w:rFonts w:ascii="Times New Roman" w:eastAsia="Calibri" w:hAnsi="Times New Roman"/>
          <w:sz w:val="24"/>
          <w:szCs w:val="24"/>
        </w:rPr>
        <w:t xml:space="preserve"> Saadeh, </w:t>
      </w:r>
      <w:r w:rsidR="0035392D" w:rsidRPr="008B1465">
        <w:rPr>
          <w:rFonts w:ascii="Times New Roman" w:eastAsia="Calibri" w:hAnsi="Times New Roman"/>
          <w:sz w:val="24"/>
          <w:szCs w:val="24"/>
        </w:rPr>
        <w:t>(</w:t>
      </w:r>
      <w:r w:rsidRPr="008B1465">
        <w:rPr>
          <w:rFonts w:ascii="Times New Roman" w:eastAsia="Calibri" w:hAnsi="Times New Roman"/>
          <w:sz w:val="24"/>
          <w:szCs w:val="24"/>
        </w:rPr>
        <w:t xml:space="preserve">2018) who was wondering whether forensic accounting in the United States is becoming a profession, provided evidence </w:t>
      </w:r>
      <w:r w:rsidR="0035392D" w:rsidRPr="008B1465">
        <w:rPr>
          <w:rFonts w:ascii="Times New Roman" w:eastAsia="Calibri" w:hAnsi="Times New Roman"/>
          <w:sz w:val="24"/>
          <w:szCs w:val="24"/>
        </w:rPr>
        <w:t>to</w:t>
      </w:r>
      <w:r w:rsidRPr="008B1465">
        <w:rPr>
          <w:rFonts w:ascii="Times New Roman" w:eastAsia="Calibri" w:hAnsi="Times New Roman"/>
          <w:sz w:val="24"/>
          <w:szCs w:val="24"/>
        </w:rPr>
        <w:t xml:space="preserve"> support  the view that its features are quite like public accounting. Since then, forensic accounting is growing and evolving rapidly, gaining recognition as a profession in many countries; e.g. the United States, the United Kingdom, Australia, and Canada. However, as fraud evolved and new risks arise every day, forensic accounting adapts day by day.</w:t>
      </w:r>
    </w:p>
    <w:p w14:paraId="615796B8" w14:textId="7C4305FB" w:rsidR="001616E5" w:rsidRPr="00C170DA" w:rsidRDefault="005D6822" w:rsidP="00C170DA">
      <w:pPr>
        <w:rPr>
          <w:rFonts w:ascii="Times New Roman" w:hAnsi="Times New Roman"/>
          <w:b/>
          <w:bCs/>
          <w:sz w:val="24"/>
          <w:szCs w:val="24"/>
        </w:rPr>
      </w:pPr>
      <w:r w:rsidRPr="008B1465">
        <w:t xml:space="preserve"> </w:t>
      </w:r>
      <w:r w:rsidR="003F05E3" w:rsidRPr="00C170DA">
        <w:rPr>
          <w:rFonts w:ascii="Times New Roman" w:hAnsi="Times New Roman"/>
          <w:b/>
          <w:bCs/>
          <w:sz w:val="24"/>
          <w:szCs w:val="24"/>
        </w:rPr>
        <w:t>Origin</w:t>
      </w:r>
      <w:r w:rsidRPr="00C170DA">
        <w:rPr>
          <w:rFonts w:ascii="Times New Roman" w:hAnsi="Times New Roman"/>
          <w:b/>
          <w:bCs/>
          <w:sz w:val="24"/>
          <w:szCs w:val="24"/>
        </w:rPr>
        <w:t xml:space="preserve"> of Corruption</w:t>
      </w:r>
    </w:p>
    <w:p w14:paraId="7E21220C" w14:textId="43D57DE8" w:rsidR="001616E5" w:rsidRPr="008B1465" w:rsidRDefault="003F05E3" w:rsidP="007541CB">
      <w:pPr>
        <w:spacing w:after="0" w:line="360" w:lineRule="auto"/>
        <w:jc w:val="both"/>
        <w:rPr>
          <w:rFonts w:ascii="Times New Roman" w:hAnsi="Times New Roman"/>
          <w:sz w:val="24"/>
          <w:szCs w:val="24"/>
        </w:rPr>
      </w:pPr>
      <w:r w:rsidRPr="008B1465">
        <w:rPr>
          <w:rFonts w:ascii="Times New Roman" w:hAnsi="Times New Roman"/>
          <w:sz w:val="24"/>
          <w:szCs w:val="24"/>
        </w:rPr>
        <w:t>The study asks: Why would public authorities show sensitivity to the potentially oppressive implications of corruption and fraud? It assumes for expositional reasons that corruption, in its various manifestations, is pervasive. Why may opportunistic and misanthropic human behavior replace ethical contracting procedures in the selection and provision of public goods, services, and infrastructure? An emphasis on citizens' welfare (security, infrastructure, productivity, and economic growth) is maintained throughout the budgetary and implementation processes, and every effort is made to exhibit fake or synthetic sensitivity to altruistic concern for citizens' welfare. In Nigeria and the majority of other Sub-Saharan African (SSA) nations, this has been the general pattern over time.</w:t>
      </w:r>
      <w:r w:rsidR="00A6221F" w:rsidRPr="008B1465">
        <w:rPr>
          <w:rFonts w:ascii="Times New Roman" w:hAnsi="Times New Roman"/>
          <w:sz w:val="24"/>
          <w:szCs w:val="24"/>
        </w:rPr>
        <w:t xml:space="preserve"> </w:t>
      </w:r>
      <w:r w:rsidRPr="008B1465">
        <w:rPr>
          <w:rFonts w:ascii="Times New Roman" w:hAnsi="Times New Roman"/>
          <w:sz w:val="24"/>
          <w:szCs w:val="24"/>
        </w:rPr>
        <w:t>It is undeniable that the following factors contribute to corruption: (a) weak government (weak political leadership at all levels) and poor governance systems in the public and private sectors; (b) powerful individuals with strong "political connections" and weak institutions; (c) a lack of transparency in public and private services; (d) a lack of ethical standards in society; (e) gross indiscretion and moral turpitude with impunity; (f) a lack of economic opportunities; and (g</w:t>
      </w:r>
      <w:r w:rsidR="001F0233" w:rsidRPr="008B1465">
        <w:rPr>
          <w:rFonts w:ascii="Times New Roman" w:hAnsi="Times New Roman"/>
          <w:sz w:val="24"/>
          <w:szCs w:val="24"/>
        </w:rPr>
        <w:t>)</w:t>
      </w:r>
      <w:r w:rsidRPr="008B1465">
        <w:rPr>
          <w:rFonts w:ascii="Times New Roman" w:hAnsi="Times New Roman"/>
          <w:sz w:val="24"/>
          <w:szCs w:val="24"/>
        </w:rPr>
        <w:t xml:space="preserve"> (kidnapping, militancy, tribal, and ethic jingoism). These elements not only contribute to corruption's underlying causes but also to the way in which it spreads unchecked throughout so many nations. It is commonly accepted that corruption results from certain people's willingness to take advantage of illegal and dishonest measures in order to maximize their own personal gain. In order for these people to engage in corrupt activity, there are additional factors outside of orthodox prescriptions that enable, prohibit, and dissua</w:t>
      </w:r>
      <w:r w:rsidR="003C2248" w:rsidRPr="008B1465">
        <w:rPr>
          <w:rFonts w:ascii="Times New Roman" w:hAnsi="Times New Roman"/>
          <w:sz w:val="24"/>
          <w:szCs w:val="24"/>
        </w:rPr>
        <w:t>de the commission of corruption.</w:t>
      </w:r>
      <w:r w:rsidRPr="008B1465">
        <w:rPr>
          <w:rFonts w:ascii="Times New Roman" w:hAnsi="Times New Roman"/>
          <w:sz w:val="24"/>
          <w:szCs w:val="24"/>
        </w:rPr>
        <w:t xml:space="preserve"> Therefore, this condition alone is not adequate.</w:t>
      </w:r>
    </w:p>
    <w:p w14:paraId="4C258E48" w14:textId="034214FC" w:rsidR="002978E5" w:rsidRPr="002122A2" w:rsidRDefault="002978E5" w:rsidP="002122A2">
      <w:pPr>
        <w:rPr>
          <w:rFonts w:ascii="Times New Roman" w:hAnsi="Times New Roman"/>
          <w:b/>
          <w:bCs/>
          <w:sz w:val="24"/>
          <w:szCs w:val="24"/>
        </w:rPr>
      </w:pPr>
      <w:r w:rsidRPr="002122A2">
        <w:rPr>
          <w:rFonts w:ascii="Times New Roman" w:hAnsi="Times New Roman"/>
          <w:b/>
          <w:bCs/>
          <w:sz w:val="24"/>
          <w:szCs w:val="24"/>
        </w:rPr>
        <w:t>Causes of Corruption: Corruption existed at first.</w:t>
      </w:r>
    </w:p>
    <w:p w14:paraId="57D04695" w14:textId="77777777" w:rsidR="002978E5" w:rsidRPr="008B1465" w:rsidRDefault="002978E5" w:rsidP="002978E5">
      <w:pPr>
        <w:spacing w:after="0" w:line="360" w:lineRule="auto"/>
        <w:jc w:val="both"/>
        <w:rPr>
          <w:rFonts w:ascii="Times New Roman" w:hAnsi="Times New Roman"/>
          <w:sz w:val="24"/>
          <w:szCs w:val="24"/>
        </w:rPr>
      </w:pPr>
      <w:r w:rsidRPr="008B1465">
        <w:rPr>
          <w:rFonts w:ascii="Times New Roman" w:hAnsi="Times New Roman"/>
          <w:sz w:val="24"/>
          <w:szCs w:val="24"/>
        </w:rPr>
        <w:t>The literature on corruption frequently assumes that there was no corruption at first. The Biblical context of corruption may seem to imply that it predates the contemporary human species, as will be demonstrated shortly. In fact, some of the components listed above have not been mentioned in the mainstream corruption literature. However, a brief summary of the fundamental idea allows for an instant understanding of the corruption's history and degrading place in both our personal and societal lives. A religious understanding of corruption portrays it as both a sinful act and a result of sin: a condition of spiritual decay and moral turpitude.</w:t>
      </w:r>
    </w:p>
    <w:p w14:paraId="6C30A794" w14:textId="77777777" w:rsidR="002978E5" w:rsidRPr="008B1465" w:rsidRDefault="002978E5" w:rsidP="002978E5">
      <w:pPr>
        <w:spacing w:after="0" w:line="360" w:lineRule="auto"/>
        <w:jc w:val="both"/>
        <w:rPr>
          <w:rFonts w:ascii="Times New Roman" w:hAnsi="Times New Roman"/>
          <w:sz w:val="24"/>
          <w:szCs w:val="24"/>
        </w:rPr>
      </w:pPr>
      <w:r w:rsidRPr="008B1465">
        <w:rPr>
          <w:rFonts w:ascii="Times New Roman" w:hAnsi="Times New Roman"/>
          <w:sz w:val="24"/>
          <w:szCs w:val="24"/>
        </w:rPr>
        <w:t>An adequate study framework for identifying and assessing the contextual introduction of corrupt images into the universe is provided by the epistemological and ontological underpinnings of Satan. As a result of Adam and Eve, the original human family, failing to exercise effective leadership, corruption has crept into the human race. This historical exposé refutes Uslaner and Rothstein's (2012) disagreement over the causes of corruption.</w:t>
      </w:r>
    </w:p>
    <w:p w14:paraId="7CAA71CE" w14:textId="40CB8FFB" w:rsidR="001616E5" w:rsidRPr="002122A2" w:rsidRDefault="003F05E3" w:rsidP="002122A2">
      <w:pPr>
        <w:rPr>
          <w:rFonts w:ascii="Times New Roman" w:hAnsi="Times New Roman"/>
          <w:b/>
          <w:bCs/>
          <w:sz w:val="24"/>
          <w:szCs w:val="24"/>
        </w:rPr>
      </w:pPr>
      <w:r w:rsidRPr="008B1465">
        <w:t xml:space="preserve"> </w:t>
      </w:r>
      <w:r w:rsidRPr="002122A2">
        <w:rPr>
          <w:rFonts w:ascii="Times New Roman" w:hAnsi="Times New Roman"/>
          <w:b/>
          <w:bCs/>
          <w:sz w:val="24"/>
          <w:szCs w:val="24"/>
        </w:rPr>
        <w:t xml:space="preserve">Biblical Basis for </w:t>
      </w:r>
      <w:bookmarkStart w:id="42" w:name="_Toc120818567"/>
      <w:r w:rsidRPr="002122A2">
        <w:rPr>
          <w:rFonts w:ascii="Times New Roman" w:hAnsi="Times New Roman"/>
          <w:b/>
          <w:bCs/>
          <w:sz w:val="24"/>
          <w:szCs w:val="24"/>
        </w:rPr>
        <w:t xml:space="preserve">Corruption </w:t>
      </w:r>
    </w:p>
    <w:p w14:paraId="31DCE6F2" w14:textId="77777777" w:rsidR="001616E5" w:rsidRPr="008B1465" w:rsidRDefault="003F05E3" w:rsidP="007541CB">
      <w:pPr>
        <w:spacing w:after="0" w:line="360" w:lineRule="auto"/>
        <w:jc w:val="both"/>
        <w:rPr>
          <w:rFonts w:ascii="Times New Roman" w:hAnsi="Times New Roman"/>
          <w:sz w:val="24"/>
          <w:szCs w:val="24"/>
        </w:rPr>
      </w:pPr>
      <w:r w:rsidRPr="008B1465">
        <w:rPr>
          <w:rFonts w:ascii="Times New Roman" w:hAnsi="Times New Roman"/>
          <w:sz w:val="24"/>
          <w:szCs w:val="24"/>
        </w:rPr>
        <w:t>According to the Bible, God genuinely created an angelic creature known as Lucifer, which means "Shining One," who led all angels and was very good, powerful, brilliant, and attractive. Lucifer was created as an extremely powerful angel who was also known as the morning star and the son of dawn (Isaiah 14:12). But Lucifer had to deal with people admiring his beauty and strength because it not only filled him with pride and beauty, but also inspired admiration in his actions. I will go to heaven and rule over the angels. I shall elevate my throne above God's stars. According to Isaiah 14, I will likewise be enthroned on the mound of assembly, on the highest peaks of the North. I will ascend to the highest heaven and resemble the Most High (Isaiah 14:13-14). This was the self-blame that led to Lucifer's fall to earth and expulsion from heaven. Lucifer might either acknowledge God as God or rebel against God by becoming his own god. He chose the second option by challenging God's omnipotence and claiming to be "Most High."</w:t>
      </w:r>
      <w:bookmarkEnd w:id="42"/>
    </w:p>
    <w:p w14:paraId="0294962E" w14:textId="53508121" w:rsidR="001616E5" w:rsidRPr="008B1465" w:rsidRDefault="003F05E3" w:rsidP="007541CB">
      <w:pPr>
        <w:spacing w:after="0" w:line="360" w:lineRule="auto"/>
        <w:jc w:val="both"/>
        <w:rPr>
          <w:rFonts w:ascii="Times New Roman" w:hAnsi="Times New Roman"/>
          <w:sz w:val="24"/>
          <w:szCs w:val="24"/>
        </w:rPr>
      </w:pPr>
      <w:r w:rsidRPr="008B1465">
        <w:rPr>
          <w:rFonts w:ascii="Times New Roman" w:hAnsi="Times New Roman"/>
          <w:sz w:val="24"/>
          <w:szCs w:val="24"/>
        </w:rPr>
        <w:t>The book of Ezekiel parallels the account of Lucifer's fall and metamorphosis into Satan. In terms of intelligence and beauty, Lucifer was the pinnacle. He was chosen and anointed as the strong celestial guardian with free access to God's holy mountain. Lucifer was blameless in everything he did from the moment he was created</w:t>
      </w:r>
      <w:r w:rsidR="000F027F" w:rsidRPr="008B1465">
        <w:rPr>
          <w:rFonts w:ascii="Times New Roman" w:hAnsi="Times New Roman"/>
          <w:sz w:val="24"/>
          <w:szCs w:val="24"/>
        </w:rPr>
        <w:t>- “</w:t>
      </w:r>
      <w:r w:rsidRPr="008B1465">
        <w:rPr>
          <w:rFonts w:ascii="Times New Roman" w:hAnsi="Times New Roman"/>
          <w:sz w:val="24"/>
          <w:szCs w:val="24"/>
        </w:rPr>
        <w:t>until evil (iniquity) was revealed in you and you committed sin. As a result, I removed you from God's mountain in disgrace. O mighty guardian, I took you from your post among the firestones. You were filled with pride in your heart because of all your beauty. Your desire for opulence poisoned your brain. As a result, I threw you to the ground</w:t>
      </w:r>
      <w:r w:rsidR="000D19E6" w:rsidRPr="008B1465">
        <w:rPr>
          <w:rFonts w:ascii="Times New Roman" w:hAnsi="Times New Roman"/>
          <w:sz w:val="24"/>
          <w:szCs w:val="24"/>
        </w:rPr>
        <w:t>”</w:t>
      </w:r>
      <w:r w:rsidRPr="008B1465">
        <w:rPr>
          <w:rFonts w:ascii="Times New Roman" w:hAnsi="Times New Roman"/>
          <w:sz w:val="24"/>
          <w:szCs w:val="24"/>
        </w:rPr>
        <w:t xml:space="preserve"> (Ezekiel 28:13-17).</w:t>
      </w:r>
    </w:p>
    <w:p w14:paraId="30201D31" w14:textId="77777777" w:rsidR="000F027F" w:rsidRPr="008B1465" w:rsidRDefault="003F05E3" w:rsidP="007541CB">
      <w:pPr>
        <w:spacing w:after="0" w:line="360" w:lineRule="auto"/>
        <w:jc w:val="both"/>
        <w:rPr>
          <w:rFonts w:ascii="Times New Roman" w:hAnsi="Times New Roman"/>
          <w:sz w:val="24"/>
          <w:szCs w:val="24"/>
        </w:rPr>
      </w:pPr>
      <w:r w:rsidRPr="008B1465">
        <w:rPr>
          <w:rFonts w:ascii="Times New Roman" w:hAnsi="Times New Roman"/>
          <w:sz w:val="24"/>
          <w:szCs w:val="24"/>
        </w:rPr>
        <w:t xml:space="preserve">Angel Lucifer was captivated by his majesty, sagacity, and force. All of the privileges and power that God bestowed upon him drove him to hubris. He revolted and descended to Earth as Satan as a result of his arrogance. According to the Bible, despite being expelled from his throne in heaven, he never lost his power or qualities, which he now exploits to lead a cosmic revolt against God's omnipotence. People are duped by Satan because he represents anti-God, evil, and seduction. His post-dethronement strategy was, and continues to be, to recruit the entire species into his demonic dominion by persuading individuals to make the same error he did: to become anti-God or autonomous from God, rebelling against Him by devouring themselves with selfish desires and pursuits. </w:t>
      </w:r>
    </w:p>
    <w:p w14:paraId="19520209" w14:textId="5276BC3C" w:rsidR="001616E5" w:rsidRPr="008B1465" w:rsidRDefault="003F05E3" w:rsidP="007541CB">
      <w:pPr>
        <w:spacing w:after="0" w:line="360" w:lineRule="auto"/>
        <w:jc w:val="both"/>
        <w:rPr>
          <w:rFonts w:ascii="Times New Roman" w:hAnsi="Times New Roman"/>
          <w:sz w:val="24"/>
          <w:szCs w:val="24"/>
        </w:rPr>
      </w:pPr>
      <w:r w:rsidRPr="008B1465">
        <w:rPr>
          <w:rFonts w:ascii="Times New Roman" w:hAnsi="Times New Roman"/>
          <w:sz w:val="24"/>
          <w:szCs w:val="24"/>
        </w:rPr>
        <w:t>A vehicle for profound insights into our relationship to the carnal or fallen world, each other, and the numbness to sin with collateral birth of corruption and self-destruction, biblical narratives of Satan's corruptive influence that consumed Eve and dressed Adam in the same garb—the allurement of "Godlike" knowledge and wisdom—are found in the Old and New Testaments. The ultimate "god delusion," which has continued to define human behavior, was chosen by Satan and Adam. The Quran also describes how Satan (also known as Iblis) was expelled from Heaven for refusing to kneel before Adam when he was formed. Shaitan is described in the Quran as inspiring both humans and jinn to commit sin by infecting their minds with "evil suggestions" (wasws).</w:t>
      </w:r>
    </w:p>
    <w:p w14:paraId="7A24C3E6" w14:textId="77777777" w:rsidR="001616E5" w:rsidRPr="008B1465" w:rsidRDefault="003F05E3" w:rsidP="007541CB">
      <w:pPr>
        <w:spacing w:after="0" w:line="360" w:lineRule="auto"/>
        <w:jc w:val="both"/>
        <w:rPr>
          <w:rFonts w:ascii="Times New Roman" w:hAnsi="Times New Roman"/>
          <w:sz w:val="24"/>
          <w:szCs w:val="24"/>
        </w:rPr>
      </w:pPr>
      <w:r w:rsidRPr="008B1465">
        <w:rPr>
          <w:rFonts w:ascii="Times New Roman" w:hAnsi="Times New Roman"/>
          <w:sz w:val="24"/>
          <w:szCs w:val="24"/>
        </w:rPr>
        <w:t>Many civilizations have legends about corruption, and these narratives, like the biblical story of man's fall, frequently portray corruption in a large, tragic light. Corruption became a demonic tormentor of human growth as it grew over time and tormented mankind both then and now. Over the years, corruption has resulted in mountains of excess, valleys of deficiency, and other horrible corporate practices. In conclusion, it is possible to conclude that Lucifer's fall from Heaven is connected to the history of corruption and its entrance to earth (and the human race). Satan fell due of his arrogance, which came from his desire to be God rather than God's servant. He desired to become God and rule the universe because he was unhappy with his position as the most powerful angel.</w:t>
      </w:r>
    </w:p>
    <w:p w14:paraId="6F7C3AF9" w14:textId="701B3C2F" w:rsidR="001616E5" w:rsidRPr="008B1465" w:rsidRDefault="003F05E3" w:rsidP="007541CB">
      <w:pPr>
        <w:spacing w:after="0" w:line="360" w:lineRule="auto"/>
        <w:jc w:val="both"/>
        <w:rPr>
          <w:rFonts w:ascii="Times New Roman" w:hAnsi="Times New Roman"/>
          <w:sz w:val="24"/>
          <w:szCs w:val="24"/>
        </w:rPr>
      </w:pPr>
      <w:r w:rsidRPr="008B1465">
        <w:rPr>
          <w:rFonts w:ascii="Times New Roman" w:hAnsi="Times New Roman"/>
          <w:sz w:val="24"/>
          <w:szCs w:val="24"/>
        </w:rPr>
        <w:t>As a fallen angel, God exiled Satan from heaven. The demonic supernatural connection between Satan and corruption is not based on speculation; rather, it may be found in Genesis 3:1–16, Isaiah 14:12–15, Ezekiel 28:19–31, and Matthew 4:1–11. As the leader of the fallen angels (demons), Satan leads the unseen spiritual realm, masquerades as a</w:t>
      </w:r>
      <w:r w:rsidR="004C1574" w:rsidRPr="008B1465">
        <w:rPr>
          <w:rFonts w:ascii="Times New Roman" w:hAnsi="Times New Roman"/>
          <w:sz w:val="24"/>
          <w:szCs w:val="24"/>
        </w:rPr>
        <w:t>n</w:t>
      </w:r>
      <w:r w:rsidRPr="008B1465">
        <w:rPr>
          <w:rFonts w:ascii="Times New Roman" w:hAnsi="Times New Roman"/>
          <w:sz w:val="24"/>
          <w:szCs w:val="24"/>
        </w:rPr>
        <w:t xml:space="preserve"> "angel of knowledge and light" on earth, deceives people in the same manner he deceived Eve in the beginning, and influences the physical cosmos. This marked the start of the world's many vices. Corruption is one of the sneaky ways the devil appears in human behavior. </w:t>
      </w:r>
    </w:p>
    <w:p w14:paraId="0BEF5C5E" w14:textId="77777777" w:rsidR="001616E5" w:rsidRPr="008B1465" w:rsidRDefault="003F05E3" w:rsidP="007541CB">
      <w:pPr>
        <w:spacing w:after="0" w:line="360" w:lineRule="auto"/>
        <w:jc w:val="both"/>
        <w:rPr>
          <w:rFonts w:ascii="Times New Roman" w:hAnsi="Times New Roman"/>
          <w:sz w:val="24"/>
          <w:szCs w:val="24"/>
        </w:rPr>
      </w:pPr>
      <w:r w:rsidRPr="008B1465">
        <w:rPr>
          <w:rFonts w:ascii="Times New Roman" w:hAnsi="Times New Roman"/>
          <w:sz w:val="24"/>
          <w:szCs w:val="24"/>
        </w:rPr>
        <w:t>This connection to the Bible is critical for understanding how corruption entered human history, as well as the Bible's canonical and historical existence, authenticity, and factuality. It is an implicit acceptance of the historical pervasiveness of corruption that corruption exists everywhere. In archaeological anthropology, there is no tangible evidence of the effects of corruption and fraud on human or cultural interaction. But biblical narratives provide solid evidence for the reality of corruption, both in terms of its past development and current manifestation.</w:t>
      </w:r>
    </w:p>
    <w:p w14:paraId="077B824B" w14:textId="77777777" w:rsidR="00D538A8" w:rsidRPr="008B1465" w:rsidRDefault="003F05E3" w:rsidP="007541CB">
      <w:pPr>
        <w:spacing w:after="0" w:line="360" w:lineRule="auto"/>
        <w:jc w:val="both"/>
        <w:rPr>
          <w:rFonts w:ascii="Times New Roman" w:hAnsi="Times New Roman"/>
          <w:sz w:val="24"/>
          <w:szCs w:val="24"/>
        </w:rPr>
      </w:pPr>
      <w:r w:rsidRPr="008B1465">
        <w:rPr>
          <w:rFonts w:ascii="Times New Roman" w:hAnsi="Times New Roman"/>
          <w:sz w:val="24"/>
          <w:szCs w:val="24"/>
        </w:rPr>
        <w:t>Adam, according to the Genesis 3 story, was a leader who had trouble communicating, a talent that is necessary for effective leadership. By failing to connect with his wife, Adam failed in his role as the first political, social, and spiritual leader of the human race. Adam was made aware by God that a particular tree was off limits. God made it clear that he could freely eat from any tree in the garden but not from the tree of the knowledge of good and evil because doing so would result in certain death the next day (Gen. 2: 16,</w:t>
      </w:r>
      <w:r w:rsidR="008D4FAE" w:rsidRPr="008B1465">
        <w:rPr>
          <w:rFonts w:ascii="Times New Roman" w:hAnsi="Times New Roman"/>
          <w:sz w:val="24"/>
          <w:szCs w:val="24"/>
        </w:rPr>
        <w:t xml:space="preserve"> </w:t>
      </w:r>
      <w:r w:rsidRPr="008B1465">
        <w:rPr>
          <w:rFonts w:ascii="Times New Roman" w:hAnsi="Times New Roman"/>
          <w:sz w:val="24"/>
          <w:szCs w:val="24"/>
        </w:rPr>
        <w:t>17).</w:t>
      </w:r>
      <w:r w:rsidR="003158ED" w:rsidRPr="008B1465">
        <w:rPr>
          <w:rFonts w:ascii="Times New Roman" w:hAnsi="Times New Roman"/>
          <w:sz w:val="24"/>
          <w:szCs w:val="24"/>
        </w:rPr>
        <w:t xml:space="preserve"> </w:t>
      </w:r>
      <w:r w:rsidRPr="008B1465">
        <w:rPr>
          <w:rFonts w:ascii="Times New Roman" w:hAnsi="Times New Roman"/>
          <w:sz w:val="24"/>
          <w:szCs w:val="24"/>
        </w:rPr>
        <w:t>It's crucial to remember that Adam wasn't yet Eve's creator when he received this directive. Adam's primary duty was to communicate God's dire warning to his wife as a result. Adam may not have properly explained God's instructions to Eve, which may have prevented Eve from fully understanding ex ante the consequences of eating the forbidden fruit. As a result, Adam was the first team captain to make a mistake.</w:t>
      </w:r>
      <w:r w:rsidR="00D538A8" w:rsidRPr="008B1465">
        <w:rPr>
          <w:rFonts w:ascii="Times New Roman" w:hAnsi="Times New Roman"/>
          <w:sz w:val="24"/>
          <w:szCs w:val="24"/>
        </w:rPr>
        <w:t xml:space="preserve"> </w:t>
      </w:r>
      <w:r w:rsidRPr="008B1465">
        <w:rPr>
          <w:rFonts w:ascii="Times New Roman" w:hAnsi="Times New Roman"/>
          <w:sz w:val="24"/>
          <w:szCs w:val="24"/>
        </w:rPr>
        <w:t>Therefore, corruption came from mankind's (Adam and Eve's) conscience, which God endowed with a sense of virtue (good or moral excellence) and vice (wrong or iniquity). Adam and Eve made that one error and disobeyed because of it, which caused moral mortification and a corrupting effect in human society. Their wicked defiance stood for the first detestable human characteristic that historically has demonstrated that humanity has not progressed past the basest desires, flaws, and justifications. According to Cressey's fraud triangle from 1953, the same three initial causes continue to solemnly serve as the foundation for deception.</w:t>
      </w:r>
      <w:r w:rsidR="000F027F" w:rsidRPr="008B1465">
        <w:rPr>
          <w:rFonts w:ascii="Times New Roman" w:hAnsi="Times New Roman"/>
          <w:sz w:val="24"/>
          <w:szCs w:val="24"/>
        </w:rPr>
        <w:t xml:space="preserve"> </w:t>
      </w:r>
    </w:p>
    <w:p w14:paraId="4FEC1E78" w14:textId="29178CA6" w:rsidR="001616E5" w:rsidRPr="008B1465" w:rsidRDefault="003F05E3" w:rsidP="007541CB">
      <w:pPr>
        <w:spacing w:after="0" w:line="360" w:lineRule="auto"/>
        <w:jc w:val="both"/>
        <w:rPr>
          <w:rFonts w:ascii="Times New Roman" w:hAnsi="Times New Roman"/>
          <w:sz w:val="24"/>
          <w:szCs w:val="24"/>
        </w:rPr>
      </w:pPr>
      <w:r w:rsidRPr="008B1465">
        <w:rPr>
          <w:rFonts w:ascii="Times New Roman" w:hAnsi="Times New Roman"/>
          <w:sz w:val="24"/>
          <w:szCs w:val="24"/>
        </w:rPr>
        <w:t>However, it is only recently that worldwide outrage and policy discussion have elevated corruption and fraud to critical levels. Is the Fraud Triangle a Fight to Stay Afloat in a Changing Corporate Governance Paradigm? The fraud triangle's widespread adoption as an explanation for fraud may be constrained in a number of ways. First, it has been a true tour de force in terms of relevance and global applicability in understanding a complex social phenomenon with complex contextual elements (Lokanan, 2015).</w:t>
      </w:r>
      <w:r w:rsidR="00D538A8" w:rsidRPr="008B1465">
        <w:rPr>
          <w:rFonts w:ascii="Times New Roman" w:hAnsi="Times New Roman"/>
          <w:sz w:val="24"/>
          <w:szCs w:val="24"/>
        </w:rPr>
        <w:t xml:space="preserve"> </w:t>
      </w:r>
      <w:r w:rsidRPr="008B1465">
        <w:rPr>
          <w:rFonts w:ascii="Times New Roman" w:hAnsi="Times New Roman"/>
          <w:sz w:val="24"/>
          <w:szCs w:val="24"/>
        </w:rPr>
        <w:t>Second</w:t>
      </w:r>
      <w:r w:rsidR="003158ED" w:rsidRPr="008B1465">
        <w:rPr>
          <w:rFonts w:ascii="Times New Roman" w:hAnsi="Times New Roman"/>
          <w:sz w:val="24"/>
          <w:szCs w:val="24"/>
        </w:rPr>
        <w:t>ly</w:t>
      </w:r>
      <w:r w:rsidRPr="008B1465">
        <w:rPr>
          <w:rFonts w:ascii="Times New Roman" w:hAnsi="Times New Roman"/>
          <w:sz w:val="24"/>
          <w:szCs w:val="24"/>
        </w:rPr>
        <w:t>, fraud and corruption have various histories and trajectories depending on their surroundings, national histories, or places of origin. According to my argument, the genesis, pattern, and impunity of fraud, corruption, and other illegal behaviors vary with the level of development of a nation. The degree of education, the judiciary, and societal value are all included in this growth. So, the higher a society's value system and the less tolerant it is of corruption, the more advanced or developed that civilization is.</w:t>
      </w:r>
    </w:p>
    <w:p w14:paraId="0BF8346E" w14:textId="28421D63" w:rsidR="001616E5" w:rsidRPr="008B1465" w:rsidRDefault="003F05E3" w:rsidP="007541CB">
      <w:pPr>
        <w:spacing w:after="0" w:line="360" w:lineRule="auto"/>
        <w:jc w:val="both"/>
        <w:rPr>
          <w:rFonts w:ascii="Times New Roman" w:hAnsi="Times New Roman"/>
          <w:sz w:val="24"/>
          <w:szCs w:val="24"/>
        </w:rPr>
      </w:pPr>
      <w:r w:rsidRPr="008B1465">
        <w:rPr>
          <w:rFonts w:ascii="Times New Roman" w:hAnsi="Times New Roman"/>
          <w:sz w:val="24"/>
          <w:szCs w:val="24"/>
        </w:rPr>
        <w:t>The "level of development" theory provides an explanation for why "grand corruption" cannot flourish or be committed with impunity in developed countries with robust checks and balances. Effectively, the course of fraud and corruption is determined by the causal nexus that is consistent with the organization's or country's culture, leadership (especia</w:t>
      </w:r>
      <w:r w:rsidR="003B0AA0" w:rsidRPr="008B1465">
        <w:rPr>
          <w:rFonts w:ascii="Times New Roman" w:hAnsi="Times New Roman"/>
          <w:sz w:val="24"/>
          <w:szCs w:val="24"/>
        </w:rPr>
        <w:t>lly the "tone at the top"), and</w:t>
      </w:r>
      <w:r w:rsidRPr="008B1465">
        <w:rPr>
          <w:rFonts w:ascii="Times New Roman" w:hAnsi="Times New Roman"/>
          <w:sz w:val="24"/>
          <w:szCs w:val="24"/>
        </w:rPr>
        <w:t xml:space="preserve"> critically, the strength of a country's institutions (impartial legal and enforcement systems, legislature, and a reduced role for "strong men" versus weak society). This explains why reports of "grand" corruption in the majority of developing nations persist despite the fact that the legal systems of their counterparts in affluent nations have long since rejected the same incriminating evidence against them.</w:t>
      </w:r>
      <w:r w:rsidR="003158ED" w:rsidRPr="008B1465">
        <w:rPr>
          <w:rFonts w:ascii="Times New Roman" w:hAnsi="Times New Roman"/>
          <w:sz w:val="24"/>
          <w:szCs w:val="24"/>
        </w:rPr>
        <w:t xml:space="preserve"> </w:t>
      </w:r>
      <w:r w:rsidRPr="008B1465">
        <w:rPr>
          <w:rFonts w:ascii="Times New Roman" w:hAnsi="Times New Roman"/>
          <w:sz w:val="24"/>
          <w:szCs w:val="24"/>
        </w:rPr>
        <w:t>The fraud triangle's explanatory power may have deteriorated in a dynamic environment, one that was changed by ICT and globalization imperatives that did not exist in the mid-20th century when the theory was formed, according to contemporary tales of fraud and corruption. Fourth, it is unlikely that contemporary fraud is governed by the fraud triangle, especially when it involves widespread or grand corruption (fraud triangle). It is debatable whether the fraud triangle provides a convincing explanation for the nature, scope, and impunity of corruption in the majority of developing nations.</w:t>
      </w:r>
      <w:r w:rsidR="00CD0142" w:rsidRPr="008B1465">
        <w:rPr>
          <w:rFonts w:ascii="Times New Roman" w:hAnsi="Times New Roman"/>
          <w:sz w:val="24"/>
          <w:szCs w:val="24"/>
        </w:rPr>
        <w:t xml:space="preserve"> </w:t>
      </w:r>
      <w:r w:rsidRPr="008B1465">
        <w:rPr>
          <w:rFonts w:ascii="Times New Roman" w:hAnsi="Times New Roman"/>
          <w:sz w:val="24"/>
          <w:szCs w:val="24"/>
        </w:rPr>
        <w:t>Fifth, the fraud triangle's attention to detail and forensic understanding of the dynamics, sophistication, and callousness of fraud, corruption, economic, and financial crimes would appear to be limited in several key ways as time goes on and new types of criminality emerge, particularly the pervasive impunity of political and state-wide corruption in developing countries.</w:t>
      </w:r>
      <w:r w:rsidR="00CD0142" w:rsidRPr="008B1465">
        <w:rPr>
          <w:rFonts w:ascii="Times New Roman" w:hAnsi="Times New Roman"/>
          <w:sz w:val="24"/>
          <w:szCs w:val="24"/>
        </w:rPr>
        <w:t xml:space="preserve"> </w:t>
      </w:r>
      <w:r w:rsidRPr="008B1465">
        <w:rPr>
          <w:rFonts w:ascii="Times New Roman" w:hAnsi="Times New Roman"/>
          <w:sz w:val="24"/>
          <w:szCs w:val="24"/>
        </w:rPr>
        <w:t>Finally, generational civilization has long since surpassed the fraud triangle's simplicity. Fraudsters now go beyond waiting for an opening, persuasion, or rationalization before acting. Instead, the problems with poor governance, poor leadership, and weak institutions work together to create an environment that is fertile ground for outrageous fraud, appalling indifference, and impunity.</w:t>
      </w:r>
    </w:p>
    <w:p w14:paraId="4C00275E" w14:textId="3739DDA8" w:rsidR="001616E5" w:rsidRPr="008B1465" w:rsidRDefault="003F05E3" w:rsidP="007541CB">
      <w:pPr>
        <w:spacing w:after="0" w:line="360" w:lineRule="auto"/>
        <w:jc w:val="both"/>
        <w:rPr>
          <w:rFonts w:ascii="Times New Roman" w:hAnsi="Times New Roman"/>
          <w:sz w:val="24"/>
          <w:szCs w:val="24"/>
        </w:rPr>
      </w:pPr>
      <w:r w:rsidRPr="008B1465">
        <w:rPr>
          <w:rFonts w:ascii="Times New Roman" w:hAnsi="Times New Roman"/>
          <w:sz w:val="24"/>
          <w:szCs w:val="24"/>
        </w:rPr>
        <w:t>Fraudsters have evolved into frighteningly inventive businessmen, much like drug lords. Thus, beyond the basic ideas and assumptions of Cressey's (1953) conceptualization of the fraud triangle, the configuration of new forms of fraud and corruption has gotten more sophisticated with global ramifications. Lokanan (2015),</w:t>
      </w:r>
      <w:r w:rsidR="0062776F" w:rsidRPr="008B1465">
        <w:rPr>
          <w:rFonts w:ascii="Times New Roman" w:hAnsi="Times New Roman"/>
          <w:sz w:val="24"/>
          <w:szCs w:val="24"/>
        </w:rPr>
        <w:t xml:space="preserve"> argued that</w:t>
      </w:r>
      <w:r w:rsidRPr="008B1465">
        <w:rPr>
          <w:rFonts w:ascii="Times New Roman" w:hAnsi="Times New Roman"/>
          <w:sz w:val="24"/>
          <w:szCs w:val="24"/>
        </w:rPr>
        <w:t xml:space="preserve"> there are</w:t>
      </w:r>
      <w:r w:rsidR="00C92AC6" w:rsidRPr="008B1465">
        <w:rPr>
          <w:rFonts w:ascii="Times New Roman" w:hAnsi="Times New Roman"/>
          <w:sz w:val="24"/>
          <w:szCs w:val="24"/>
        </w:rPr>
        <w:t xml:space="preserve"> no</w:t>
      </w:r>
      <w:r w:rsidRPr="008B1465">
        <w:rPr>
          <w:rFonts w:ascii="Times New Roman" w:hAnsi="Times New Roman"/>
          <w:sz w:val="24"/>
          <w:szCs w:val="24"/>
        </w:rPr>
        <w:t>t any objective standards in place to appropriately address every instance of fraud. Lokanan's argument, which is based on Fairclough's (1992, 1995) theory of critical discourse analysis, the concept of fraud as a dishonest act carried out by a person for personal gain is morally justified.</w:t>
      </w:r>
    </w:p>
    <w:p w14:paraId="3CF32A76" w14:textId="55A9B8DA" w:rsidR="001616E5" w:rsidRPr="008B1465" w:rsidRDefault="003F05E3" w:rsidP="007541CB">
      <w:pPr>
        <w:spacing w:after="0" w:line="360" w:lineRule="auto"/>
        <w:jc w:val="both"/>
        <w:rPr>
          <w:rFonts w:ascii="Times New Roman" w:hAnsi="Times New Roman"/>
          <w:sz w:val="24"/>
          <w:szCs w:val="24"/>
        </w:rPr>
      </w:pPr>
      <w:r w:rsidRPr="008B1465">
        <w:rPr>
          <w:rFonts w:ascii="Times New Roman" w:hAnsi="Times New Roman"/>
          <w:sz w:val="24"/>
          <w:szCs w:val="24"/>
        </w:rPr>
        <w:t>The moral character or strength of the fraudster is also a key component of the tripartite criteria of the fraud triangle. Therefore, it is difficult to propose a general theory that is not a corollary result of broader societal pressures but rather is based on a person's weak inner power (to do what is morally correct or to be unable to make appropriate ethical decisions). Th</w:t>
      </w:r>
      <w:r w:rsidR="00082C1A" w:rsidRPr="008B1465">
        <w:rPr>
          <w:rFonts w:ascii="Times New Roman" w:hAnsi="Times New Roman"/>
          <w:sz w:val="24"/>
          <w:szCs w:val="24"/>
        </w:rPr>
        <w:t xml:space="preserve">e aforementioned indicates that, at the moment, </w:t>
      </w:r>
      <w:r w:rsidRPr="008B1465">
        <w:rPr>
          <w:rFonts w:ascii="Times New Roman" w:hAnsi="Times New Roman"/>
          <w:sz w:val="24"/>
          <w:szCs w:val="24"/>
        </w:rPr>
        <w:t>there is</w:t>
      </w:r>
      <w:r w:rsidR="00B613EC" w:rsidRPr="008B1465">
        <w:rPr>
          <w:rFonts w:ascii="Times New Roman" w:hAnsi="Times New Roman"/>
          <w:sz w:val="24"/>
          <w:szCs w:val="24"/>
        </w:rPr>
        <w:t xml:space="preserve"> no</w:t>
      </w:r>
      <w:r w:rsidR="00082C1A" w:rsidRPr="008B1465">
        <w:rPr>
          <w:rFonts w:ascii="Times New Roman" w:hAnsi="Times New Roman"/>
          <w:sz w:val="24"/>
          <w:szCs w:val="24"/>
        </w:rPr>
        <w:t xml:space="preserve"> </w:t>
      </w:r>
      <w:r w:rsidRPr="008B1465">
        <w:rPr>
          <w:rFonts w:ascii="Times New Roman" w:hAnsi="Times New Roman"/>
          <w:sz w:val="24"/>
          <w:szCs w:val="24"/>
        </w:rPr>
        <w:t>single widely accepted fraud</w:t>
      </w:r>
      <w:r w:rsidR="00CA2884" w:rsidRPr="008B1465">
        <w:rPr>
          <w:rFonts w:ascii="Times New Roman" w:hAnsi="Times New Roman"/>
          <w:sz w:val="24"/>
          <w:szCs w:val="24"/>
        </w:rPr>
        <w:t xml:space="preserve"> explanation. They are merely </w:t>
      </w:r>
      <w:r w:rsidRPr="008B1465">
        <w:rPr>
          <w:rFonts w:ascii="Times New Roman" w:hAnsi="Times New Roman"/>
          <w:sz w:val="24"/>
          <w:szCs w:val="24"/>
        </w:rPr>
        <w:t>cornerstone</w:t>
      </w:r>
      <w:r w:rsidR="00CA2884" w:rsidRPr="008B1465">
        <w:rPr>
          <w:rFonts w:ascii="Times New Roman" w:hAnsi="Times New Roman"/>
          <w:sz w:val="24"/>
          <w:szCs w:val="24"/>
        </w:rPr>
        <w:t>s</w:t>
      </w:r>
      <w:r w:rsidRPr="008B1465">
        <w:rPr>
          <w:rFonts w:ascii="Times New Roman" w:hAnsi="Times New Roman"/>
          <w:sz w:val="24"/>
          <w:szCs w:val="24"/>
        </w:rPr>
        <w:t xml:space="preserve"> inside the corporate governance paradigm constructed on shifting sands. These significant advancements have not yet reached a stage of crystallization where they can be distilled into coherent theoretical frameworks (Herbert, Tsegba, Ene, &amp; Onyilo, 2017a). Undoubtedly, a fraud theory needs to explain the contextual underpinnings of the vices it tries to explain.</w:t>
      </w:r>
    </w:p>
    <w:p w14:paraId="57B0C2D6" w14:textId="77777777" w:rsidR="001616E5" w:rsidRPr="008B1465" w:rsidRDefault="003F05E3" w:rsidP="007541CB">
      <w:pPr>
        <w:spacing w:after="0" w:line="360" w:lineRule="auto"/>
        <w:jc w:val="both"/>
        <w:rPr>
          <w:rFonts w:ascii="Times New Roman" w:hAnsi="Times New Roman"/>
          <w:sz w:val="24"/>
          <w:szCs w:val="24"/>
        </w:rPr>
      </w:pPr>
      <w:r w:rsidRPr="008B1465">
        <w:rPr>
          <w:rFonts w:ascii="Times New Roman" w:hAnsi="Times New Roman"/>
          <w:sz w:val="24"/>
          <w:szCs w:val="24"/>
        </w:rPr>
        <w:t>Theoretically, sound explanations of the causes and effects of corruption and fraud in various situations must be provided by it. The theory must be comprehensive enough to cover every imaginable case and offer insight into the methods and underlying variables as the theory develops. A constructive theory of fraud (and corruption) must investigate and take into account the elements that affect public opinion and the shared (business and governmental) beliefs that underpin antifraud (and anticorruption) laws. Others have an impact on an organization's financial flow, which then has an impact on the economy. Some of the causes directly affect people.</w:t>
      </w:r>
    </w:p>
    <w:p w14:paraId="332F8102" w14:textId="41F94920" w:rsidR="001616E5" w:rsidRPr="008B1465" w:rsidRDefault="003F05E3" w:rsidP="007541CB">
      <w:pPr>
        <w:spacing w:after="0" w:line="360" w:lineRule="auto"/>
        <w:jc w:val="both"/>
        <w:rPr>
          <w:rFonts w:ascii="Times New Roman" w:hAnsi="Times New Roman"/>
          <w:sz w:val="24"/>
          <w:szCs w:val="24"/>
        </w:rPr>
      </w:pPr>
      <w:r w:rsidRPr="008B1465">
        <w:rPr>
          <w:rFonts w:ascii="Times New Roman" w:hAnsi="Times New Roman"/>
          <w:sz w:val="24"/>
          <w:szCs w:val="24"/>
        </w:rPr>
        <w:t>Watts and Zimmerman (1986), a fraud theory should take into account both the set of substantive hypotheses and the assumptions, which include the definitions of variables and relational logic. The researcher contends that there is</w:t>
      </w:r>
      <w:r w:rsidR="00DD2510" w:rsidRPr="008B1465">
        <w:rPr>
          <w:rFonts w:ascii="Times New Roman" w:hAnsi="Times New Roman"/>
          <w:sz w:val="24"/>
          <w:szCs w:val="24"/>
        </w:rPr>
        <w:t xml:space="preserve"> no</w:t>
      </w:r>
      <w:r w:rsidRPr="008B1465">
        <w:rPr>
          <w:rFonts w:ascii="Times New Roman" w:hAnsi="Times New Roman"/>
          <w:sz w:val="24"/>
          <w:szCs w:val="24"/>
        </w:rPr>
        <w:t>t yet a single, all-encompassing theory of fraud (or corruption). Situational theories include the fraud triangle and the fraud diamond. The aforementioned point opens the door for a critical examination of two conceptual scenarios that have received little attention but question the accepted wisdom of the fraud triangle (and fraud diamond) and provide alternative insights into any theoretical formulations of fraud.</w:t>
      </w:r>
    </w:p>
    <w:p w14:paraId="4074E778" w14:textId="77777777" w:rsidR="001616E5" w:rsidRPr="008B1465" w:rsidRDefault="003F05E3" w:rsidP="007541CB">
      <w:pPr>
        <w:spacing w:after="0" w:line="360" w:lineRule="auto"/>
        <w:jc w:val="both"/>
        <w:rPr>
          <w:rFonts w:ascii="Times New Roman" w:hAnsi="Times New Roman"/>
          <w:sz w:val="24"/>
          <w:szCs w:val="24"/>
        </w:rPr>
      </w:pPr>
      <w:r w:rsidRPr="008B1465">
        <w:rPr>
          <w:rFonts w:ascii="Times New Roman" w:hAnsi="Times New Roman"/>
          <w:sz w:val="24"/>
          <w:szCs w:val="24"/>
        </w:rPr>
        <w:t>In summary, regardless of the circumstances (financial or emotional drive towards fraud, ability to execute fraud plan without being caught, and personal justification for fraudulent actions), if the accompanying conduct (actus reus) is not inclined toward dishonest ethical considerations, ceteris paribus, the accompanying conduct may not be. The "tone at the top" is the second theoretical framework that merits consideration. In the discussion of corporate governance and organizational failure, its analysis is instructive.</w:t>
      </w:r>
      <w:r w:rsidR="00CD0142" w:rsidRPr="008B1465">
        <w:rPr>
          <w:rFonts w:ascii="Times New Roman" w:hAnsi="Times New Roman"/>
          <w:sz w:val="24"/>
          <w:szCs w:val="24"/>
        </w:rPr>
        <w:t xml:space="preserve"> </w:t>
      </w:r>
      <w:r w:rsidRPr="008B1465">
        <w:rPr>
          <w:rFonts w:ascii="Times New Roman" w:hAnsi="Times New Roman"/>
          <w:sz w:val="24"/>
          <w:szCs w:val="24"/>
        </w:rPr>
        <w:t>Professionals in corporate governance and ethics have recently grown increasingly interested in what is known as the "tone at the top." This renaissance has been influenced by the global responses to the scandalous tales of greed and fraud committed by executives at the highest levels of Corporate World, including the former CEOs of Enron, WorldCom, the Madoff investment scandal, and many others in several countries, as well as the economic ruin left in the wake of such fraud. The leader's body language is referred to as the tone at the top. It describes the overall ethical culture and core principles of an organization.</w:t>
      </w:r>
    </w:p>
    <w:p w14:paraId="5FE0B3D8" w14:textId="2E7082C4" w:rsidR="001616E5" w:rsidRPr="008B1465" w:rsidRDefault="003F05E3" w:rsidP="007541CB">
      <w:pPr>
        <w:spacing w:after="0" w:line="360" w:lineRule="auto"/>
        <w:jc w:val="both"/>
        <w:rPr>
          <w:rFonts w:ascii="Times New Roman" w:hAnsi="Times New Roman"/>
          <w:sz w:val="24"/>
          <w:szCs w:val="24"/>
        </w:rPr>
      </w:pPr>
      <w:r w:rsidRPr="008B1465">
        <w:rPr>
          <w:rFonts w:ascii="Times New Roman" w:hAnsi="Times New Roman"/>
          <w:sz w:val="24"/>
          <w:szCs w:val="24"/>
        </w:rPr>
        <w:t xml:space="preserve">It serves as both the foundation upon which an organization's culture is constructed and the mortar that holds its bricks together. A strong tone from the top can assist a company avoid fraud and other unethical behavior, according to business ethics (Burcham, 2014). Therefore, if the leadership is committed to upholding ethics, accountability, transparency, and integrity, they will set up a corporate governance system to guarantee strict adherence to these principles. When it comes to their superiors' behavior and behaviors, subordinates pay close attention and take after them. The tone at the top refers to how the </w:t>
      </w:r>
      <w:r w:rsidR="00DB253C" w:rsidRPr="008B1465">
        <w:rPr>
          <w:rFonts w:ascii="Times New Roman" w:hAnsi="Times New Roman"/>
          <w:sz w:val="24"/>
          <w:szCs w:val="24"/>
        </w:rPr>
        <w:t xml:space="preserve">state's leaders - </w:t>
      </w:r>
      <w:r w:rsidRPr="008B1465">
        <w:rPr>
          <w:rFonts w:ascii="Times New Roman" w:hAnsi="Times New Roman"/>
          <w:sz w:val="24"/>
          <w:szCs w:val="24"/>
        </w:rPr>
        <w:t>a nation's</w:t>
      </w:r>
      <w:r w:rsidR="00DB253C" w:rsidRPr="008B1465">
        <w:rPr>
          <w:rFonts w:ascii="Times New Roman" w:hAnsi="Times New Roman"/>
          <w:sz w:val="24"/>
          <w:szCs w:val="24"/>
        </w:rPr>
        <w:t xml:space="preserve"> political and economic leaders - </w:t>
      </w:r>
      <w:r w:rsidRPr="008B1465">
        <w:rPr>
          <w:rFonts w:ascii="Times New Roman" w:hAnsi="Times New Roman"/>
          <w:sz w:val="24"/>
          <w:szCs w:val="24"/>
        </w:rPr>
        <w:t>produce, or fail to create, an ethical, transparent, and responsible government. It is symmetrical with government. When members of the government engage in dishonest behavior, such as "budget padding" and procurement fraud, among other criminal offenses, the rest of society takes notice and may imitate them, potentially fostering a culture of fraud and corruption throughout</w:t>
      </w:r>
      <w:r w:rsidR="00436D76" w:rsidRPr="008B1465">
        <w:rPr>
          <w:rFonts w:ascii="Times New Roman" w:hAnsi="Times New Roman"/>
          <w:sz w:val="24"/>
          <w:szCs w:val="24"/>
        </w:rPr>
        <w:t xml:space="preserve"> the</w:t>
      </w:r>
      <w:r w:rsidRPr="008B1465">
        <w:rPr>
          <w:rFonts w:ascii="Times New Roman" w:hAnsi="Times New Roman"/>
          <w:sz w:val="24"/>
          <w:szCs w:val="24"/>
        </w:rPr>
        <w:t xml:space="preserve"> society, particularly among young people.</w:t>
      </w:r>
    </w:p>
    <w:p w14:paraId="4A6049B9" w14:textId="767B3C76" w:rsidR="001616E5" w:rsidRPr="00253439" w:rsidRDefault="00055D75" w:rsidP="00253439">
      <w:pPr>
        <w:rPr>
          <w:rFonts w:ascii="Times New Roman" w:hAnsi="Times New Roman"/>
          <w:b/>
          <w:bCs/>
          <w:sz w:val="24"/>
          <w:szCs w:val="24"/>
        </w:rPr>
      </w:pPr>
      <w:r w:rsidRPr="00253439">
        <w:rPr>
          <w:rFonts w:ascii="Times New Roman" w:hAnsi="Times New Roman"/>
          <w:b/>
          <w:bCs/>
          <w:sz w:val="24"/>
          <w:szCs w:val="24"/>
        </w:rPr>
        <w:t>Forensic Accountants’ S</w:t>
      </w:r>
      <w:r w:rsidR="003F05E3" w:rsidRPr="00253439">
        <w:rPr>
          <w:rFonts w:ascii="Times New Roman" w:hAnsi="Times New Roman"/>
          <w:b/>
          <w:bCs/>
          <w:sz w:val="24"/>
          <w:szCs w:val="24"/>
        </w:rPr>
        <w:t xml:space="preserve">kills </w:t>
      </w:r>
    </w:p>
    <w:p w14:paraId="6AF91964" w14:textId="15F72C49"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Because fraud occurs in different areas, forensic accountants should have multiple skills in various areas (Hopwood </w:t>
      </w:r>
      <w:r w:rsidR="00576E27" w:rsidRPr="008B1465">
        <w:rPr>
          <w:rFonts w:ascii="Times New Roman" w:eastAsia="Calibri" w:hAnsi="Times New Roman"/>
          <w:bCs/>
          <w:i/>
          <w:iCs/>
          <w:sz w:val="24"/>
          <w:szCs w:val="24"/>
        </w:rPr>
        <w:t>et al</w:t>
      </w:r>
      <w:r w:rsidRPr="008B1465">
        <w:rPr>
          <w:rFonts w:ascii="Times New Roman" w:eastAsia="Calibri" w:hAnsi="Times New Roman"/>
          <w:bCs/>
          <w:sz w:val="24"/>
          <w:szCs w:val="24"/>
        </w:rPr>
        <w:t xml:space="preserve">., 2012). Digabriele (2008) identifies a set of skills required by forensic accountants to exercise professionalism and due care. Among them, deductive analysis ability, critical thinking, unstructured problem solving, investigative flexibility, analytical proficiency, oral and written communication, legal knowledge, and composure are the most important. Similarly, McMullen and Sanchez (2010) conducted a survey of forensic professionals for their perceptions of the skills and competencies forensic accountants should hold. According to their results, the competencies needed by forensic accountants include accounting, analytical, communication, information technology, interviewing, problem-solving business valuation skills and knowledge of specific regulations. </w:t>
      </w:r>
    </w:p>
    <w:p w14:paraId="715013B3" w14:textId="42047A75"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Davis </w:t>
      </w:r>
      <w:r w:rsidR="00576E27" w:rsidRPr="008B1465">
        <w:rPr>
          <w:rFonts w:ascii="Times New Roman" w:eastAsia="Calibri" w:hAnsi="Times New Roman"/>
          <w:bCs/>
          <w:i/>
          <w:iCs/>
          <w:sz w:val="24"/>
          <w:szCs w:val="24"/>
        </w:rPr>
        <w:t>et al</w:t>
      </w:r>
      <w:r w:rsidRPr="008B1465">
        <w:rPr>
          <w:rFonts w:ascii="Times New Roman" w:eastAsia="Calibri" w:hAnsi="Times New Roman"/>
          <w:bCs/>
          <w:sz w:val="24"/>
          <w:szCs w:val="24"/>
        </w:rPr>
        <w:t>., (2010) asserted that</w:t>
      </w:r>
      <w:r w:rsidRPr="008B1465">
        <w:rPr>
          <w:rFonts w:ascii="Times New Roman" w:hAnsi="Times New Roman"/>
          <w:sz w:val="24"/>
          <w:szCs w:val="24"/>
        </w:rPr>
        <w:t xml:space="preserve"> </w:t>
      </w:r>
      <w:r w:rsidRPr="008B1465">
        <w:rPr>
          <w:rFonts w:ascii="Times New Roman" w:eastAsia="Calibri" w:hAnsi="Times New Roman"/>
          <w:bCs/>
          <w:sz w:val="24"/>
          <w:szCs w:val="24"/>
        </w:rPr>
        <w:t>forensic accounting experts should be rational, detail-oriented, ethically driven, perceptive, persistent, and suspicious, according to the study. In the s</w:t>
      </w:r>
      <w:r w:rsidR="00B63B9F" w:rsidRPr="008B1465">
        <w:rPr>
          <w:rFonts w:ascii="Times New Roman" w:eastAsia="Calibri" w:hAnsi="Times New Roman"/>
          <w:bCs/>
          <w:sz w:val="24"/>
          <w:szCs w:val="24"/>
        </w:rPr>
        <w:t xml:space="preserve">ame line, Hopwood </w:t>
      </w:r>
      <w:r w:rsidR="00576E27" w:rsidRPr="008B1465">
        <w:rPr>
          <w:rFonts w:ascii="Times New Roman" w:eastAsia="Calibri" w:hAnsi="Times New Roman"/>
          <w:bCs/>
          <w:i/>
          <w:iCs/>
          <w:sz w:val="24"/>
          <w:szCs w:val="24"/>
        </w:rPr>
        <w:t>et al</w:t>
      </w:r>
      <w:r w:rsidR="00B63B9F" w:rsidRPr="008B1465">
        <w:rPr>
          <w:rFonts w:ascii="Times New Roman" w:eastAsia="Calibri" w:hAnsi="Times New Roman"/>
          <w:bCs/>
          <w:sz w:val="24"/>
          <w:szCs w:val="24"/>
        </w:rPr>
        <w:t>. (2012 and</w:t>
      </w:r>
      <w:r w:rsidRPr="008B1465">
        <w:rPr>
          <w:rFonts w:ascii="Times New Roman" w:eastAsia="Calibri" w:hAnsi="Times New Roman"/>
          <w:bCs/>
          <w:sz w:val="24"/>
          <w:szCs w:val="24"/>
        </w:rPr>
        <w:t xml:space="preserve"> Singleton and Singleton (2010) summarized the necessary skill set an effective and efficient forensic accountant should possess. They argue that at least a basic level of knowledge in auditing and accounting is essential. These skills would provide them the needed knowledge to collect, analyze and interpret relevant information so that the evidence gained can be presented in court. Investigative skills, criminology and specific legal knowledge are also among the most important skills of a forensic accountant. Interviewing and even interrogation skills would probably lead them to useful evidence; psychology of criminals may drive them to the incentives that led to fraud; and, knowledge of laws and regulations would enable them to present in court only the evidence that meet legal standards. Nevertheless, all these skills and competencies are useless if not presented properly. Thus, oral and written communication skills are mandatory for forensic accountants so as to clearly convey their investigation findings in an understandable manner to a non-expert individual. </w:t>
      </w:r>
    </w:p>
    <w:p w14:paraId="2810BC54" w14:textId="67523020" w:rsidR="001616E5" w:rsidRPr="00253439" w:rsidRDefault="003F05E3" w:rsidP="00253439">
      <w:pPr>
        <w:rPr>
          <w:rFonts w:ascii="Times New Roman" w:hAnsi="Times New Roman"/>
          <w:b/>
          <w:bCs/>
          <w:sz w:val="24"/>
          <w:szCs w:val="24"/>
        </w:rPr>
      </w:pPr>
      <w:r w:rsidRPr="00253439">
        <w:rPr>
          <w:rFonts w:ascii="Times New Roman" w:hAnsi="Times New Roman"/>
          <w:b/>
          <w:bCs/>
          <w:sz w:val="24"/>
          <w:szCs w:val="24"/>
        </w:rPr>
        <w:t xml:space="preserve">Fraud Examination </w:t>
      </w:r>
    </w:p>
    <w:p w14:paraId="2515B790" w14:textId="77777777"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This section reviews the concept and nature of fraud. First, it defines this multidimensional concept and describes the possible types of fraud. Then, it presents the models trying to explain the reasons that lead people to commit fraud and also the methods applied by firms in the fight against this severe issue. Finally, signs that indicate possible fraudulent activity, “red flags”, are being described.</w:t>
      </w:r>
    </w:p>
    <w:p w14:paraId="4D2FC902" w14:textId="07CD808C" w:rsidR="001616E5" w:rsidRPr="008B1465" w:rsidRDefault="003F05E3" w:rsidP="0043298D">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Fraud as a social issue that affects different people in </w:t>
      </w:r>
      <w:r w:rsidR="00A76F0F" w:rsidRPr="008B1465">
        <w:rPr>
          <w:rFonts w:ascii="Times New Roman" w:eastAsia="Calibri" w:hAnsi="Times New Roman"/>
          <w:bCs/>
          <w:sz w:val="24"/>
          <w:szCs w:val="24"/>
        </w:rPr>
        <w:t xml:space="preserve">the </w:t>
      </w:r>
      <w:r w:rsidRPr="008B1465">
        <w:rPr>
          <w:rFonts w:ascii="Times New Roman" w:eastAsia="Calibri" w:hAnsi="Times New Roman"/>
          <w:bCs/>
          <w:sz w:val="24"/>
          <w:szCs w:val="24"/>
        </w:rPr>
        <w:t>society, has multiple meanings. As Singleton and Singleton (2010) point out "Fraud can imply different things to different people in different situations". Thus, fraud can be perceived as theft, embezzlement, an intentional act for one’s own prosperity, or even as a reaction to a situation of life or</w:t>
      </w:r>
      <w:r w:rsidR="00A76F0F" w:rsidRPr="008B1465">
        <w:rPr>
          <w:rFonts w:ascii="Times New Roman" w:eastAsia="Calibri" w:hAnsi="Times New Roman"/>
          <w:bCs/>
          <w:sz w:val="24"/>
          <w:szCs w:val="24"/>
        </w:rPr>
        <w:t xml:space="preserve"> death. As part of white-collar </w:t>
      </w:r>
      <w:r w:rsidRPr="008B1465">
        <w:rPr>
          <w:rFonts w:ascii="Times New Roman" w:eastAsia="Calibri" w:hAnsi="Times New Roman"/>
          <w:bCs/>
          <w:sz w:val="24"/>
          <w:szCs w:val="24"/>
        </w:rPr>
        <w:t>crime, fraud can be characterized as a non</w:t>
      </w:r>
      <w:r w:rsidR="008909D4" w:rsidRPr="008B1465">
        <w:rPr>
          <w:rFonts w:ascii="Times New Roman" w:eastAsia="Calibri" w:hAnsi="Times New Roman"/>
          <w:bCs/>
          <w:sz w:val="24"/>
          <w:szCs w:val="24"/>
        </w:rPr>
        <w:t>-</w:t>
      </w:r>
      <w:r w:rsidRPr="008B1465">
        <w:rPr>
          <w:rFonts w:ascii="Times New Roman" w:eastAsia="Calibri" w:hAnsi="Times New Roman"/>
          <w:bCs/>
          <w:sz w:val="24"/>
          <w:szCs w:val="24"/>
        </w:rPr>
        <w:t>violent offense including deception and the aim to obtain financial advantage (Pickett &amp; Pickett, 2002). Ramamoorti, (2008) also define fraud as a human endeavor requiring deception, deliberate intent, the intensity of desire, the risk of apprehension, a breach of trust, and rationalization. In this line, many other authors such as Hopwood</w:t>
      </w:r>
      <w:r w:rsidR="004A5483" w:rsidRPr="008B1465">
        <w:rPr>
          <w:rFonts w:ascii="Times New Roman" w:eastAsia="Calibri" w:hAnsi="Times New Roman"/>
          <w:bCs/>
          <w:sz w:val="24"/>
          <w:szCs w:val="24"/>
        </w:rPr>
        <w:t>, Leiner and Young</w:t>
      </w:r>
      <w:r w:rsidRPr="008B1465">
        <w:rPr>
          <w:rFonts w:ascii="Times New Roman" w:eastAsia="Calibri" w:hAnsi="Times New Roman"/>
          <w:bCs/>
          <w:sz w:val="24"/>
          <w:szCs w:val="24"/>
        </w:rPr>
        <w:t xml:space="preserve"> (2012); Albrecht</w:t>
      </w:r>
      <w:r w:rsidR="0016741C" w:rsidRPr="008B1465">
        <w:rPr>
          <w:rFonts w:ascii="Times New Roman" w:eastAsia="Calibri" w:hAnsi="Times New Roman"/>
          <w:bCs/>
          <w:sz w:val="24"/>
          <w:szCs w:val="24"/>
        </w:rPr>
        <w:t>,</w:t>
      </w:r>
      <w:r w:rsidR="00DF6523" w:rsidRPr="008B1465">
        <w:rPr>
          <w:rFonts w:ascii="Times New Roman" w:eastAsia="Calibri" w:hAnsi="Times New Roman"/>
          <w:bCs/>
          <w:sz w:val="24"/>
          <w:szCs w:val="24"/>
        </w:rPr>
        <w:t xml:space="preserve"> </w:t>
      </w:r>
      <w:r w:rsidR="0016741C" w:rsidRPr="008B1465">
        <w:rPr>
          <w:rFonts w:ascii="Times New Roman" w:eastAsia="Calibri" w:hAnsi="Times New Roman"/>
          <w:bCs/>
          <w:sz w:val="24"/>
          <w:szCs w:val="24"/>
        </w:rPr>
        <w:t xml:space="preserve">Howe </w:t>
      </w:r>
      <w:r w:rsidR="007052BB" w:rsidRPr="008B1465">
        <w:rPr>
          <w:rFonts w:ascii="Times New Roman" w:eastAsia="Calibri" w:hAnsi="Times New Roman"/>
          <w:bCs/>
          <w:sz w:val="24"/>
          <w:szCs w:val="24"/>
        </w:rPr>
        <w:t>and</w:t>
      </w:r>
      <w:r w:rsidR="000966EF" w:rsidRPr="008B1465">
        <w:rPr>
          <w:rFonts w:ascii="Times New Roman" w:eastAsia="Calibri" w:hAnsi="Times New Roman"/>
          <w:bCs/>
          <w:sz w:val="24"/>
          <w:szCs w:val="24"/>
        </w:rPr>
        <w:t xml:space="preserve"> Romne</w:t>
      </w:r>
      <w:r w:rsidR="007052BB" w:rsidRPr="008B1465">
        <w:rPr>
          <w:rFonts w:ascii="Times New Roman" w:eastAsia="Calibri" w:hAnsi="Times New Roman"/>
          <w:bCs/>
          <w:sz w:val="24"/>
          <w:szCs w:val="24"/>
        </w:rPr>
        <w:t>y</w:t>
      </w:r>
      <w:r w:rsidRPr="008B1465">
        <w:rPr>
          <w:rFonts w:ascii="Times New Roman" w:eastAsia="Calibri" w:hAnsi="Times New Roman"/>
          <w:bCs/>
          <w:sz w:val="24"/>
          <w:szCs w:val="24"/>
        </w:rPr>
        <w:t xml:space="preserve"> (2016); Silverstone and Sheetz, (2007); Seda and Kramer, (2014) </w:t>
      </w:r>
      <w:r w:rsidR="007052BB" w:rsidRPr="008B1465">
        <w:rPr>
          <w:rFonts w:ascii="Times New Roman" w:eastAsia="Calibri" w:hAnsi="Times New Roman"/>
          <w:bCs/>
          <w:sz w:val="24"/>
          <w:szCs w:val="24"/>
        </w:rPr>
        <w:t xml:space="preserve"> </w:t>
      </w:r>
      <w:r w:rsidRPr="008B1465">
        <w:rPr>
          <w:rFonts w:ascii="Times New Roman" w:eastAsia="Calibri" w:hAnsi="Times New Roman"/>
          <w:bCs/>
          <w:sz w:val="24"/>
          <w:szCs w:val="24"/>
        </w:rPr>
        <w:t>agree</w:t>
      </w:r>
      <w:r w:rsidR="007052BB" w:rsidRPr="008B1465">
        <w:rPr>
          <w:rFonts w:ascii="Times New Roman" w:eastAsia="Calibri" w:hAnsi="Times New Roman"/>
          <w:bCs/>
          <w:sz w:val="24"/>
          <w:szCs w:val="24"/>
        </w:rPr>
        <w:t>d</w:t>
      </w:r>
      <w:r w:rsidRPr="008B1465">
        <w:rPr>
          <w:rFonts w:ascii="Times New Roman" w:eastAsia="Calibri" w:hAnsi="Times New Roman"/>
          <w:bCs/>
          <w:sz w:val="24"/>
          <w:szCs w:val="24"/>
        </w:rPr>
        <w:t xml:space="preserve"> that fraud is an act that includes deceit and concealment, breaches trust bonds between interrelated parties, leads firms to significant financial and non-financial losses and even to bankruptcy and is not a result of a simple error, but it involves intentional</w:t>
      </w:r>
      <w:r w:rsidRPr="008B1465">
        <w:rPr>
          <w:rFonts w:ascii="Times New Roman" w:hAnsi="Times New Roman"/>
          <w:sz w:val="24"/>
          <w:szCs w:val="24"/>
        </w:rPr>
        <w:t xml:space="preserve"> </w:t>
      </w:r>
      <w:r w:rsidRPr="008B1465">
        <w:rPr>
          <w:rFonts w:ascii="Times New Roman" w:eastAsia="Calibri" w:hAnsi="Times New Roman"/>
          <w:bCs/>
          <w:sz w:val="24"/>
          <w:szCs w:val="24"/>
        </w:rPr>
        <w:t>attempts to acquire an unfair edge.</w:t>
      </w:r>
    </w:p>
    <w:p w14:paraId="3AADF467" w14:textId="76EBC452"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The international professional association of fraud examiners, the Association of Certified Fraud Examiners (ACFE), defines occupation fraud and abuse as "the willful misuse or misappropriation of the employing organization's resources or assets for personal advantage". Other than employee fraud, the ACFE also defines financial statement fraud committed by firms, as “the deliberate misrepresentation of the financial condition of an enterprise accomplished through the intentional misstatement or omission of amounts or disclosures in the financial statements in order to deceive financial statement users”. Fraud, financial crime and white-collar crime are not synonyms according to criminal law (Hopwood </w:t>
      </w:r>
      <w:r w:rsidR="00576E27" w:rsidRPr="008B1465">
        <w:rPr>
          <w:rFonts w:ascii="Times New Roman" w:eastAsia="Calibri" w:hAnsi="Times New Roman"/>
          <w:bCs/>
          <w:i/>
          <w:iCs/>
          <w:sz w:val="24"/>
          <w:szCs w:val="24"/>
        </w:rPr>
        <w:t>et al</w:t>
      </w:r>
      <w:r w:rsidRPr="008B1465">
        <w:rPr>
          <w:rFonts w:ascii="Times New Roman" w:eastAsia="Calibri" w:hAnsi="Times New Roman"/>
          <w:bCs/>
          <w:sz w:val="24"/>
          <w:szCs w:val="24"/>
        </w:rPr>
        <w:t>., 2012). However, as these terms involve the purposeful use of deception and concealment for illegal gain and under normal conditions also include breach of trust, for the purposes of this thesis they will be used interchangeably. Frauds can be classified in so many ways as are the respective researchers. Therefore, fraudulent activity may be classified as internal or external, according to the perpetrator or even based on the victims.</w:t>
      </w:r>
      <w:r w:rsidRPr="008B1465">
        <w:rPr>
          <w:rFonts w:ascii="Times New Roman" w:hAnsi="Times New Roman"/>
          <w:sz w:val="24"/>
          <w:szCs w:val="24"/>
        </w:rPr>
        <w:t xml:space="preserve"> </w:t>
      </w:r>
      <w:r w:rsidRPr="008B1465">
        <w:rPr>
          <w:rFonts w:ascii="Times New Roman" w:eastAsia="Calibri" w:hAnsi="Times New Roman"/>
          <w:bCs/>
          <w:sz w:val="24"/>
          <w:szCs w:val="24"/>
        </w:rPr>
        <w:t xml:space="preserve">However, the most typical method is to divide frauds into those that were committed and those that were attempted in favor of the organization and those committed against the organization (Albrecht </w:t>
      </w:r>
      <w:r w:rsidR="00576E27" w:rsidRPr="008B1465">
        <w:rPr>
          <w:rFonts w:ascii="Times New Roman" w:eastAsia="Calibri" w:hAnsi="Times New Roman"/>
          <w:bCs/>
          <w:i/>
          <w:iCs/>
          <w:sz w:val="24"/>
          <w:szCs w:val="24"/>
        </w:rPr>
        <w:t>et al</w:t>
      </w:r>
      <w:r w:rsidRPr="008B1465">
        <w:rPr>
          <w:rFonts w:ascii="Times New Roman" w:eastAsia="Calibri" w:hAnsi="Times New Roman"/>
          <w:bCs/>
          <w:sz w:val="24"/>
          <w:szCs w:val="24"/>
        </w:rPr>
        <w:t>., 20</w:t>
      </w:r>
      <w:r w:rsidR="008F0EAA" w:rsidRPr="008B1465">
        <w:rPr>
          <w:rFonts w:ascii="Times New Roman" w:eastAsia="Calibri" w:hAnsi="Times New Roman"/>
          <w:bCs/>
          <w:sz w:val="24"/>
          <w:szCs w:val="24"/>
        </w:rPr>
        <w:t>09</w:t>
      </w:r>
      <w:r w:rsidRPr="008B1465">
        <w:rPr>
          <w:rFonts w:ascii="Times New Roman" w:eastAsia="Calibri" w:hAnsi="Times New Roman"/>
          <w:bCs/>
          <w:sz w:val="24"/>
          <w:szCs w:val="24"/>
        </w:rPr>
        <w:t>; Seda &amp; Kramer, 2014). In the latter, the victim is the firm, while in the former employees’ and executives’ fraudulent acts benefit the firm.</w:t>
      </w:r>
      <w:r w:rsidRPr="008B1465">
        <w:rPr>
          <w:rFonts w:ascii="Times New Roman" w:hAnsi="Times New Roman"/>
          <w:sz w:val="24"/>
          <w:szCs w:val="24"/>
        </w:rPr>
        <w:t xml:space="preserve"> </w:t>
      </w:r>
      <w:r w:rsidRPr="008B1465">
        <w:rPr>
          <w:rFonts w:ascii="Times New Roman" w:eastAsia="Calibri" w:hAnsi="Times New Roman"/>
          <w:bCs/>
          <w:sz w:val="24"/>
          <w:szCs w:val="24"/>
        </w:rPr>
        <w:t xml:space="preserve">Frauds committed against a company are devised to enrich the perpetrator and harm the victim. </w:t>
      </w:r>
    </w:p>
    <w:p w14:paraId="3E85DA60" w14:textId="77777777"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The most common type of this category is employee embezzlement. In this case, employees deceive their employers by taking ownership of the firm’s assets through their position of power. This kind of fraud can be further divided to direct or indirect. With direct embezzlement, the assets go to the perpetrator without the involvement of any intermediaries. It usually includes theft of cash, inventory, equipment, tools and other assets. Another more sophisticated method is phishing and spoofing, which occurs when employees form fictitious organizations and force their employers to pay for goods and services that are never supplied</w:t>
      </w:r>
    </w:p>
    <w:p w14:paraId="30176F3D" w14:textId="77777777"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On the other way, with indirect embezzlement, employees gain money by taking bribes and kickbacks from customers, suppliers, vendors, or their employer’s competitors. Another form of fraud to harm the firm is committed by vendors. In this case, vendors overbill the goods provided or provide the goods agreed in lower quality. In turn, the firms to which the vendors sell goods or services become victims; purchasing goods at higher prices than agreed may lead to selling these goods more expensive and consequently reduce the firm’s sales. On the other way, selling goods of lower quality may damage the firm’s reputation. </w:t>
      </w:r>
    </w:p>
    <w:p w14:paraId="0E135340" w14:textId="6A8FD1AC"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Customer fraud is another form of fraud the firms may experience. The risk of “bad customers”, customers who either do not pay or pay too little for the goods or services received, harms the firm. For instance, a bank customer who pretends to be a wealthy businessman deceives the b</w:t>
      </w:r>
      <w:r w:rsidR="008909D4" w:rsidRPr="008B1465">
        <w:rPr>
          <w:rFonts w:ascii="Times New Roman" w:eastAsia="Calibri" w:hAnsi="Times New Roman"/>
          <w:bCs/>
          <w:sz w:val="24"/>
          <w:szCs w:val="24"/>
        </w:rPr>
        <w:t xml:space="preserve">ank manager and gets a loan of </w:t>
      </w:r>
      <w:r w:rsidR="008909D4" w:rsidRPr="008B1465">
        <w:rPr>
          <w:rFonts w:ascii="Times New Roman" w:eastAsia="Calibri" w:hAnsi="Times New Roman"/>
          <w:bCs/>
          <w:dstrike/>
          <w:sz w:val="24"/>
          <w:szCs w:val="24"/>
        </w:rPr>
        <w:t>N</w:t>
      </w:r>
      <w:r w:rsidR="00A56195" w:rsidRPr="008B1465">
        <w:rPr>
          <w:rFonts w:ascii="Times New Roman" w:eastAsia="Calibri" w:hAnsi="Times New Roman"/>
          <w:bCs/>
          <w:sz w:val="24"/>
          <w:szCs w:val="24"/>
        </w:rPr>
        <w:t>800,</w:t>
      </w:r>
      <w:r w:rsidRPr="008B1465">
        <w:rPr>
          <w:rFonts w:ascii="Times New Roman" w:eastAsia="Calibri" w:hAnsi="Times New Roman"/>
          <w:bCs/>
          <w:sz w:val="24"/>
          <w:szCs w:val="24"/>
        </w:rPr>
        <w:t xml:space="preserve">000, even though he had only </w:t>
      </w:r>
      <w:r w:rsidR="008909D4" w:rsidRPr="008B1465">
        <w:rPr>
          <w:rFonts w:ascii="Times New Roman" w:eastAsia="Calibri" w:hAnsi="Times New Roman"/>
          <w:bCs/>
          <w:dstrike/>
          <w:sz w:val="24"/>
          <w:szCs w:val="24"/>
        </w:rPr>
        <w:t>N</w:t>
      </w:r>
      <w:r w:rsidR="00A56195" w:rsidRPr="008B1465">
        <w:rPr>
          <w:rFonts w:ascii="Times New Roman" w:eastAsia="Calibri" w:hAnsi="Times New Roman"/>
          <w:bCs/>
          <w:sz w:val="24"/>
          <w:szCs w:val="24"/>
        </w:rPr>
        <w:t>10,</w:t>
      </w:r>
      <w:r w:rsidRPr="008B1465">
        <w:rPr>
          <w:rFonts w:ascii="Times New Roman" w:eastAsia="Calibri" w:hAnsi="Times New Roman"/>
          <w:bCs/>
          <w:sz w:val="24"/>
          <w:szCs w:val="24"/>
        </w:rPr>
        <w:t xml:space="preserve">000 in his bank account. Unfortunately, the so-called “wealthy businessman” was just a fraudster who achieved to get a large amount of money using deception, without having the proper standards. </w:t>
      </w:r>
    </w:p>
    <w:p w14:paraId="166D7ACC" w14:textId="5B7CF3E3"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Another type of fraud, according to Albrecht </w:t>
      </w:r>
      <w:r w:rsidR="00576E27" w:rsidRPr="008B1465">
        <w:rPr>
          <w:rFonts w:ascii="Times New Roman" w:eastAsia="Calibri" w:hAnsi="Times New Roman"/>
          <w:bCs/>
          <w:i/>
          <w:iCs/>
          <w:sz w:val="24"/>
          <w:szCs w:val="24"/>
        </w:rPr>
        <w:t>et al</w:t>
      </w:r>
      <w:r w:rsidRPr="008B1465">
        <w:rPr>
          <w:rFonts w:ascii="Times New Roman" w:eastAsia="Calibri" w:hAnsi="Times New Roman"/>
          <w:bCs/>
          <w:sz w:val="24"/>
          <w:szCs w:val="24"/>
        </w:rPr>
        <w:t xml:space="preserve">., (2016) taxonomy is management fraud. This kind of fraud differs from the previous types by nature and fraudsters’ profiles. It usually involves top management; e.g. executives, and owners, who override the controls, have access to valuable information and assets and use their privileges to manipulate the firm’s financial statements. Examples of well-known managerial fraud include WorldCom and Enron, Parmalat, and Satyam. Given the consequences of these fraud cases, it is concluded that management frauds generate the most damage to firms and even lead them to bankruptcy. </w:t>
      </w:r>
    </w:p>
    <w:p w14:paraId="010C8E99" w14:textId="77777777"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Investments scams and consumer frauds are identified among the most common types of fraud. In these cases, worthless investments are sold to unsuspected victims; in some instances, criminal activities may be hidden behind these investments. Ponzi schemes, identity theft, ransom ware, and telemarketing fraud are some examples of consumer fraud.</w:t>
      </w:r>
      <w:r w:rsidRPr="008B1465">
        <w:rPr>
          <w:rFonts w:ascii="Times New Roman" w:hAnsi="Times New Roman"/>
          <w:sz w:val="24"/>
          <w:szCs w:val="24"/>
        </w:rPr>
        <w:t xml:space="preserve"> </w:t>
      </w:r>
      <w:r w:rsidRPr="008B1465">
        <w:rPr>
          <w:rFonts w:ascii="Times New Roman" w:eastAsia="Calibri" w:hAnsi="Times New Roman"/>
          <w:bCs/>
          <w:sz w:val="24"/>
          <w:szCs w:val="24"/>
        </w:rPr>
        <w:t>To provide a meaningful taxonomy of fraud, the ACFE created a classification system for occupational fraud and abuse. Corruption, asset misappropriation, and financial statement fraud are the three main categories.</w:t>
      </w:r>
    </w:p>
    <w:p w14:paraId="00AC8A87" w14:textId="0CEAF785" w:rsidR="00502C28" w:rsidRPr="008B1465" w:rsidRDefault="00A96A16" w:rsidP="00FD0650">
      <w:pPr>
        <w:pStyle w:val="Caption"/>
        <w:spacing w:beforeAutospacing="0"/>
        <w:jc w:val="center"/>
        <w:rPr>
          <w:rFonts w:ascii="Times New Roman" w:eastAsia="Calibri" w:hAnsi="Times New Roman"/>
          <w:b/>
          <w:i w:val="0"/>
          <w:iCs w:val="0"/>
          <w:color w:val="auto"/>
          <w:sz w:val="24"/>
          <w:szCs w:val="24"/>
        </w:rPr>
      </w:pPr>
      <w:r w:rsidRPr="008B1465">
        <w:rPr>
          <w:noProof/>
        </w:rPr>
        <mc:AlternateContent>
          <mc:Choice Requires="wpg">
            <w:drawing>
              <wp:anchor distT="0" distB="0" distL="114300" distR="114300" simplePos="0" relativeHeight="251701760" behindDoc="0" locked="0" layoutInCell="1" allowOverlap="1" wp14:anchorId="0EF19487" wp14:editId="5D3D1907">
                <wp:simplePos x="0" y="0"/>
                <wp:positionH relativeFrom="column">
                  <wp:posOffset>-168697</wp:posOffset>
                </wp:positionH>
                <wp:positionV relativeFrom="paragraph">
                  <wp:posOffset>-218</wp:posOffset>
                </wp:positionV>
                <wp:extent cx="5829300" cy="8479155"/>
                <wp:effectExtent l="0" t="0" r="19050" b="17145"/>
                <wp:wrapTopAndBottom/>
                <wp:docPr id="31" name="Group 31"/>
                <wp:cNvGraphicFramePr/>
                <a:graphic xmlns:a="http://schemas.openxmlformats.org/drawingml/2006/main">
                  <a:graphicData uri="http://schemas.microsoft.com/office/word/2010/wordprocessingGroup">
                    <wpg:wgp>
                      <wpg:cNvGrpSpPr/>
                      <wpg:grpSpPr>
                        <a:xfrm>
                          <a:off x="0" y="0"/>
                          <a:ext cx="5829300" cy="8479155"/>
                          <a:chOff x="0" y="0"/>
                          <a:chExt cx="5829300" cy="8479391"/>
                        </a:xfrm>
                      </wpg:grpSpPr>
                      <wpg:grpSp>
                        <wpg:cNvPr id="9" name="Group 9"/>
                        <wpg:cNvGrpSpPr/>
                        <wpg:grpSpPr>
                          <a:xfrm>
                            <a:off x="0" y="579991"/>
                            <a:ext cx="5829300" cy="7899400"/>
                            <a:chOff x="0" y="0"/>
                            <a:chExt cx="5797685" cy="7957226"/>
                          </a:xfrm>
                          <a:solidFill>
                            <a:schemeClr val="bg1"/>
                          </a:solidFill>
                        </wpg:grpSpPr>
                        <wps:wsp>
                          <wps:cNvPr id="10" name="Rectangle 10"/>
                          <wps:cNvSpPr/>
                          <wps:spPr>
                            <a:xfrm>
                              <a:off x="126459" y="68094"/>
                              <a:ext cx="1190625" cy="389106"/>
                            </a:xfrm>
                            <a:prstGeom prst="rect">
                              <a:avLst/>
                            </a:prstGeom>
                            <a:grpFill/>
                          </wps:spPr>
                          <wps:style>
                            <a:lnRef idx="2">
                              <a:schemeClr val="dk1"/>
                            </a:lnRef>
                            <a:fillRef idx="1">
                              <a:schemeClr val="lt1"/>
                            </a:fillRef>
                            <a:effectRef idx="0">
                              <a:schemeClr val="dk1"/>
                            </a:effectRef>
                            <a:fontRef idx="minor">
                              <a:schemeClr val="dk1"/>
                            </a:fontRef>
                          </wps:style>
                          <wps:txbx>
                            <w:txbxContent>
                              <w:p w14:paraId="29E90EAB" w14:textId="77777777" w:rsidR="00FE7438" w:rsidRDefault="00FE7438" w:rsidP="002E089B">
                                <w:pPr>
                                  <w:pageBreakBefore/>
                                  <w:jc w:val="center"/>
                                  <w:rPr>
                                    <w:rFonts w:ascii="Times New Roman" w:hAnsi="Times New Roman"/>
                                    <w:b/>
                                    <w:sz w:val="20"/>
                                    <w:szCs w:val="20"/>
                                  </w:rPr>
                                </w:pPr>
                                <w:r>
                                  <w:rPr>
                                    <w:rFonts w:ascii="Times New Roman" w:hAnsi="Times New Roman"/>
                                    <w:b/>
                                    <w:sz w:val="20"/>
                                    <w:szCs w:val="20"/>
                                  </w:rPr>
                                  <w:t>Corruption</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1" name="Rectangle 11"/>
                          <wps:cNvSpPr/>
                          <wps:spPr>
                            <a:xfrm>
                              <a:off x="4445540" y="0"/>
                              <a:ext cx="1190625" cy="39687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17260589" w14:textId="77777777" w:rsidR="00FE7438" w:rsidRDefault="00FE7438" w:rsidP="002E089B">
                                <w:pPr>
                                  <w:pageBreakBefore/>
                                  <w:spacing w:line="240" w:lineRule="auto"/>
                                  <w:jc w:val="center"/>
                                  <w:rPr>
                                    <w:rFonts w:ascii="Times New Roman" w:hAnsi="Times New Roman"/>
                                    <w:b/>
                                    <w:sz w:val="20"/>
                                    <w:szCs w:val="20"/>
                                  </w:rPr>
                                </w:pPr>
                                <w:r>
                                  <w:rPr>
                                    <w:rFonts w:ascii="Times New Roman" w:hAnsi="Times New Roman"/>
                                    <w:b/>
                                    <w:sz w:val="20"/>
                                    <w:szCs w:val="20"/>
                                  </w:rPr>
                                  <w:t>Fraudulent Statements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2" name="Rectangle 12"/>
                          <wps:cNvSpPr/>
                          <wps:spPr>
                            <a:xfrm>
                              <a:off x="2441642" y="23745"/>
                              <a:ext cx="1266825" cy="413657"/>
                            </a:xfrm>
                            <a:prstGeom prst="rect">
                              <a:avLst/>
                            </a:prstGeom>
                            <a:grpFill/>
                          </wps:spPr>
                          <wps:style>
                            <a:lnRef idx="2">
                              <a:schemeClr val="dk1"/>
                            </a:lnRef>
                            <a:fillRef idx="1">
                              <a:schemeClr val="lt1"/>
                            </a:fillRef>
                            <a:effectRef idx="0">
                              <a:schemeClr val="dk1"/>
                            </a:effectRef>
                            <a:fontRef idx="minor">
                              <a:schemeClr val="dk1"/>
                            </a:fontRef>
                          </wps:style>
                          <wps:txbx>
                            <w:txbxContent>
                              <w:p w14:paraId="5DD4A5CD" w14:textId="77777777" w:rsidR="00FE7438" w:rsidRDefault="00FE7438" w:rsidP="002E089B">
                                <w:pPr>
                                  <w:pageBreakBefore/>
                                  <w:spacing w:line="240" w:lineRule="auto"/>
                                  <w:jc w:val="center"/>
                                  <w:rPr>
                                    <w:rFonts w:ascii="Times New Roman" w:hAnsi="Times New Roman"/>
                                    <w:b/>
                                    <w:sz w:val="20"/>
                                    <w:szCs w:val="20"/>
                                  </w:rPr>
                                </w:pPr>
                                <w:r>
                                  <w:rPr>
                                    <w:rFonts w:ascii="Times New Roman" w:hAnsi="Times New Roman"/>
                                    <w:b/>
                                    <w:sz w:val="20"/>
                                    <w:szCs w:val="20"/>
                                  </w:rPr>
                                  <w:t>Asset Misappropriation</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3" name="Straight Connector 13"/>
                          <wps:cNvCnPr/>
                          <wps:spPr>
                            <a:xfrm>
                              <a:off x="1332689" y="262647"/>
                              <a:ext cx="1095375" cy="1714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4" name="Straight Connector 14"/>
                          <wps:cNvCnPr/>
                          <wps:spPr>
                            <a:xfrm>
                              <a:off x="3735421" y="252919"/>
                              <a:ext cx="693501" cy="10449"/>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5" name="Straight Connector 15"/>
                          <wps:cNvCnPr/>
                          <wps:spPr>
                            <a:xfrm>
                              <a:off x="5009744" y="398834"/>
                              <a:ext cx="0" cy="133350"/>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6" name="Straight Connector 16"/>
                          <wps:cNvCnPr/>
                          <wps:spPr>
                            <a:xfrm>
                              <a:off x="4056434" y="515566"/>
                              <a:ext cx="1400721" cy="19705"/>
                            </a:xfrm>
                            <a:prstGeom prst="line">
                              <a:avLst/>
                            </a:prstGeom>
                            <a:grpFill/>
                          </wps:spPr>
                          <wps:style>
                            <a:lnRef idx="1">
                              <a:schemeClr val="dk1"/>
                            </a:lnRef>
                            <a:fillRef idx="0">
                              <a:schemeClr val="dk1"/>
                            </a:fillRef>
                            <a:effectRef idx="0">
                              <a:schemeClr val="dk1"/>
                            </a:effectRef>
                            <a:fontRef idx="minor">
                              <a:schemeClr val="tx1"/>
                            </a:fontRef>
                          </wps:style>
                          <wps:bodyPr/>
                        </wps:wsp>
                        <wpg:grpSp>
                          <wpg:cNvPr id="17" name="Group 17"/>
                          <wpg:cNvGrpSpPr/>
                          <wpg:grpSpPr>
                            <a:xfrm>
                              <a:off x="5000017" y="544749"/>
                              <a:ext cx="797668" cy="1769820"/>
                              <a:chOff x="0" y="0"/>
                              <a:chExt cx="797668" cy="1769820"/>
                            </a:xfrm>
                            <a:grpFill/>
                          </wpg:grpSpPr>
                          <wps:wsp>
                            <wps:cNvPr id="18" name="Straight Connector 18"/>
                            <wps:cNvCnPr/>
                            <wps:spPr>
                              <a:xfrm>
                                <a:off x="447472" y="0"/>
                                <a:ext cx="0" cy="9715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9" name="Rectangle 19"/>
                            <wps:cNvSpPr/>
                            <wps:spPr>
                              <a:xfrm>
                                <a:off x="38910" y="87549"/>
                                <a:ext cx="723900" cy="32067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3665257A"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Non-Financial</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0" name="Straight Connector 20"/>
                            <wps:cNvCnPr/>
                            <wps:spPr>
                              <a:xfrm>
                                <a:off x="408561" y="398834"/>
                                <a:ext cx="0" cy="133350"/>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21" name="Rectangle 21"/>
                            <wps:cNvSpPr/>
                            <wps:spPr>
                              <a:xfrm>
                                <a:off x="0" y="515456"/>
                                <a:ext cx="772538" cy="33438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0FDBEC92"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Employment Credentials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2" name="Straight Connector 22"/>
                            <wps:cNvCnPr/>
                            <wps:spPr>
                              <a:xfrm>
                                <a:off x="457200" y="856034"/>
                                <a:ext cx="0" cy="133350"/>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23" name="Rectangle 23"/>
                            <wps:cNvSpPr/>
                            <wps:spPr>
                              <a:xfrm>
                                <a:off x="19442" y="982284"/>
                                <a:ext cx="768498" cy="330200"/>
                              </a:xfrm>
                              <a:prstGeom prst="rect">
                                <a:avLst/>
                              </a:prstGeom>
                              <a:grpFill/>
                            </wps:spPr>
                            <wps:style>
                              <a:lnRef idx="2">
                                <a:schemeClr val="dk1"/>
                              </a:lnRef>
                              <a:fillRef idx="1">
                                <a:schemeClr val="lt1"/>
                              </a:fillRef>
                              <a:effectRef idx="0">
                                <a:schemeClr val="dk1"/>
                              </a:effectRef>
                              <a:fontRef idx="minor">
                                <a:schemeClr val="dk1"/>
                              </a:fontRef>
                            </wps:style>
                            <wps:txbx>
                              <w:txbxContent>
                                <w:p w14:paraId="0025CBE2"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Internal Documents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4" name="Straight Connector 34"/>
                            <wps:cNvCnPr/>
                            <wps:spPr>
                              <a:xfrm>
                                <a:off x="466927" y="1322962"/>
                                <a:ext cx="0" cy="94439"/>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35" name="Rectangle 35"/>
                            <wps:cNvSpPr/>
                            <wps:spPr>
                              <a:xfrm>
                                <a:off x="29163" y="1419935"/>
                                <a:ext cx="768505" cy="34988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5FBD13CF"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External Documents</w:t>
                                  </w:r>
                                </w:p>
                              </w:txbxContent>
                            </wps:txbx>
                            <wps:bodyPr rot="0" spcFirstLastPara="0" vertOverflow="overflow" horzOverflow="overflow" vert="horz" wrap="square" lIns="91440" tIns="45720" rIns="91440" bIns="45720" numCol="1" spcCol="0" rtlCol="0" fromWordArt="0" anchor="ctr" anchorCtr="0" forceAA="0" compatLnSpc="1">
                              <a:noAutofit/>
                            </wps:bodyPr>
                          </wps:wsp>
                        </wpg:grpSp>
                        <wpg:grpSp>
                          <wpg:cNvPr id="86" name="Group 86"/>
                          <wpg:cNvGrpSpPr/>
                          <wpg:grpSpPr>
                            <a:xfrm>
                              <a:off x="3112851" y="525294"/>
                              <a:ext cx="1791105" cy="2918297"/>
                              <a:chOff x="0" y="0"/>
                              <a:chExt cx="1791105" cy="2918297"/>
                            </a:xfrm>
                            <a:grpFill/>
                          </wpg:grpSpPr>
                          <wps:wsp>
                            <wps:cNvPr id="87" name="Straight Connector 87"/>
                            <wps:cNvCnPr/>
                            <wps:spPr>
                              <a:xfrm>
                                <a:off x="953310" y="0"/>
                                <a:ext cx="0" cy="8699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88" name="Rectangle 88"/>
                            <wps:cNvSpPr/>
                            <wps:spPr>
                              <a:xfrm>
                                <a:off x="680936" y="87549"/>
                                <a:ext cx="676275" cy="20002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71840666" w14:textId="77777777" w:rsidR="00FE7438" w:rsidRDefault="00FE7438" w:rsidP="002E089B">
                                  <w:pPr>
                                    <w:pageBreakBefore/>
                                    <w:jc w:val="center"/>
                                    <w:rPr>
                                      <w:rFonts w:ascii="Times New Roman" w:hAnsi="Times New Roman"/>
                                      <w:sz w:val="16"/>
                                      <w:szCs w:val="16"/>
                                    </w:rPr>
                                  </w:pPr>
                                  <w:r>
                                    <w:rPr>
                                      <w:rFonts w:ascii="Times New Roman" w:hAnsi="Times New Roman"/>
                                      <w:sz w:val="16"/>
                                      <w:szCs w:val="16"/>
                                    </w:rPr>
                                    <w:t>Financial</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89" name="Straight Connector 89"/>
                            <wps:cNvCnPr/>
                            <wps:spPr>
                              <a:xfrm>
                                <a:off x="972766" y="291829"/>
                                <a:ext cx="0" cy="106680"/>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90" name="Straight Connector 90"/>
                            <wps:cNvCnPr/>
                            <wps:spPr>
                              <a:xfrm>
                                <a:off x="535021" y="389106"/>
                                <a:ext cx="800100" cy="1079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91" name="Straight Connector 91"/>
                            <wps:cNvCnPr/>
                            <wps:spPr>
                              <a:xfrm>
                                <a:off x="1332689" y="398834"/>
                                <a:ext cx="0" cy="114300"/>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92" name="Straight Connector 92"/>
                            <wps:cNvCnPr/>
                            <wps:spPr>
                              <a:xfrm>
                                <a:off x="535021" y="398834"/>
                                <a:ext cx="0" cy="77470"/>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93" name="Rectangle 93"/>
                            <wps:cNvSpPr/>
                            <wps:spPr>
                              <a:xfrm>
                                <a:off x="0" y="486383"/>
                                <a:ext cx="857250" cy="330200"/>
                              </a:xfrm>
                              <a:prstGeom prst="rect">
                                <a:avLst/>
                              </a:prstGeom>
                              <a:grpFill/>
                            </wps:spPr>
                            <wps:style>
                              <a:lnRef idx="2">
                                <a:schemeClr val="dk1"/>
                              </a:lnRef>
                              <a:fillRef idx="1">
                                <a:schemeClr val="lt1"/>
                              </a:fillRef>
                              <a:effectRef idx="0">
                                <a:schemeClr val="dk1"/>
                              </a:effectRef>
                              <a:fontRef idx="minor">
                                <a:schemeClr val="dk1"/>
                              </a:fontRef>
                            </wps:style>
                            <wps:txbx>
                              <w:txbxContent>
                                <w:p w14:paraId="38B782D4"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Asset/Revenue Overstatement</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94" name="Rectangle 94"/>
                            <wps:cNvSpPr/>
                            <wps:spPr>
                              <a:xfrm>
                                <a:off x="933855" y="525293"/>
                                <a:ext cx="857250" cy="317500"/>
                              </a:xfrm>
                              <a:prstGeom prst="rect">
                                <a:avLst/>
                              </a:prstGeom>
                              <a:grpFill/>
                            </wps:spPr>
                            <wps:style>
                              <a:lnRef idx="2">
                                <a:schemeClr val="dk1"/>
                              </a:lnRef>
                              <a:fillRef idx="1">
                                <a:schemeClr val="lt1"/>
                              </a:fillRef>
                              <a:effectRef idx="0">
                                <a:schemeClr val="dk1"/>
                              </a:effectRef>
                              <a:fontRef idx="minor">
                                <a:schemeClr val="dk1"/>
                              </a:fontRef>
                            </wps:style>
                            <wps:txbx>
                              <w:txbxContent>
                                <w:p w14:paraId="1C1C8D44"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 xml:space="preserve">Asset/ Revenue Understatement </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95" name="Rectangle 95"/>
                            <wps:cNvSpPr/>
                            <wps:spPr>
                              <a:xfrm>
                                <a:off x="107004" y="894944"/>
                                <a:ext cx="723900" cy="321013"/>
                              </a:xfrm>
                              <a:prstGeom prst="rect">
                                <a:avLst/>
                              </a:prstGeom>
                              <a:grpFill/>
                            </wps:spPr>
                            <wps:style>
                              <a:lnRef idx="2">
                                <a:schemeClr val="dk1"/>
                              </a:lnRef>
                              <a:fillRef idx="1">
                                <a:schemeClr val="lt1"/>
                              </a:fillRef>
                              <a:effectRef idx="0">
                                <a:schemeClr val="dk1"/>
                              </a:effectRef>
                              <a:fontRef idx="minor">
                                <a:schemeClr val="dk1"/>
                              </a:fontRef>
                            </wps:style>
                            <wps:txbx>
                              <w:txbxContent>
                                <w:p w14:paraId="33FF2585"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Timing Differences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96" name="Straight Connector 96"/>
                            <wps:cNvCnPr/>
                            <wps:spPr>
                              <a:xfrm>
                                <a:off x="476655" y="817123"/>
                                <a:ext cx="0" cy="82842"/>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97" name="Rectangle 97"/>
                            <wps:cNvSpPr/>
                            <wps:spPr>
                              <a:xfrm>
                                <a:off x="116732" y="1303506"/>
                                <a:ext cx="723900" cy="311150"/>
                              </a:xfrm>
                              <a:prstGeom prst="rect">
                                <a:avLst/>
                              </a:prstGeom>
                              <a:grpFill/>
                            </wps:spPr>
                            <wps:style>
                              <a:lnRef idx="2">
                                <a:schemeClr val="dk1"/>
                              </a:lnRef>
                              <a:fillRef idx="1">
                                <a:schemeClr val="lt1"/>
                              </a:fillRef>
                              <a:effectRef idx="0">
                                <a:schemeClr val="dk1"/>
                              </a:effectRef>
                              <a:fontRef idx="minor">
                                <a:schemeClr val="dk1"/>
                              </a:fontRef>
                            </wps:style>
                            <wps:txbx>
                              <w:txbxContent>
                                <w:p w14:paraId="1D76660E"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Fictitious Revenues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98" name="Straight Connector 98"/>
                            <wps:cNvCnPr/>
                            <wps:spPr>
                              <a:xfrm>
                                <a:off x="476655" y="1215957"/>
                                <a:ext cx="0" cy="90373"/>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99" name="Rectangle 99"/>
                            <wps:cNvSpPr/>
                            <wps:spPr>
                              <a:xfrm>
                                <a:off x="126459" y="1702340"/>
                                <a:ext cx="723900" cy="311150"/>
                              </a:xfrm>
                              <a:prstGeom prst="rect">
                                <a:avLst/>
                              </a:prstGeom>
                              <a:grpFill/>
                            </wps:spPr>
                            <wps:style>
                              <a:lnRef idx="2">
                                <a:schemeClr val="dk1"/>
                              </a:lnRef>
                              <a:fillRef idx="1">
                                <a:schemeClr val="lt1"/>
                              </a:fillRef>
                              <a:effectRef idx="0">
                                <a:schemeClr val="dk1"/>
                              </a:effectRef>
                              <a:fontRef idx="minor">
                                <a:schemeClr val="dk1"/>
                              </a:fontRef>
                            </wps:style>
                            <wps:txbx>
                              <w:txbxContent>
                                <w:p w14:paraId="48A105E1"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Concealed Liabilities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00" name="Straight Connector 100"/>
                            <wps:cNvCnPr/>
                            <wps:spPr>
                              <a:xfrm>
                                <a:off x="486383" y="1614791"/>
                                <a:ext cx="0" cy="90373"/>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01" name="Rectangle 101"/>
                            <wps:cNvSpPr/>
                            <wps:spPr>
                              <a:xfrm>
                                <a:off x="136187" y="2091446"/>
                                <a:ext cx="723900" cy="311286"/>
                              </a:xfrm>
                              <a:prstGeom prst="rect">
                                <a:avLst/>
                              </a:prstGeom>
                              <a:grpFill/>
                            </wps:spPr>
                            <wps:style>
                              <a:lnRef idx="2">
                                <a:schemeClr val="dk1"/>
                              </a:lnRef>
                              <a:fillRef idx="1">
                                <a:schemeClr val="lt1"/>
                              </a:fillRef>
                              <a:effectRef idx="0">
                                <a:schemeClr val="dk1"/>
                              </a:effectRef>
                              <a:fontRef idx="minor">
                                <a:schemeClr val="dk1"/>
                              </a:fontRef>
                            </wps:style>
                            <wps:txbx>
                              <w:txbxContent>
                                <w:p w14:paraId="0666DCCE"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Improper Disclosures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02" name="Straight Connector 102"/>
                            <wps:cNvCnPr/>
                            <wps:spPr>
                              <a:xfrm>
                                <a:off x="496110" y="2023353"/>
                                <a:ext cx="0" cy="6794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03" name="Rectangle 103"/>
                            <wps:cNvSpPr/>
                            <wps:spPr>
                              <a:xfrm>
                                <a:off x="145914" y="2480553"/>
                                <a:ext cx="723900" cy="437744"/>
                              </a:xfrm>
                              <a:prstGeom prst="rect">
                                <a:avLst/>
                              </a:prstGeom>
                              <a:grpFill/>
                            </wps:spPr>
                            <wps:style>
                              <a:lnRef idx="2">
                                <a:schemeClr val="dk1"/>
                              </a:lnRef>
                              <a:fillRef idx="1">
                                <a:schemeClr val="lt1"/>
                              </a:fillRef>
                              <a:effectRef idx="0">
                                <a:schemeClr val="dk1"/>
                              </a:effectRef>
                              <a:fontRef idx="minor">
                                <a:schemeClr val="dk1"/>
                              </a:fontRef>
                            </wps:style>
                            <wps:txbx>
                              <w:txbxContent>
                                <w:p w14:paraId="0B85A339"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Improper Asset Valuation</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04" name="Straight Connector 104"/>
                            <wps:cNvCnPr/>
                            <wps:spPr>
                              <a:xfrm>
                                <a:off x="505838" y="2393004"/>
                                <a:ext cx="0" cy="89535"/>
                              </a:xfrm>
                              <a:prstGeom prst="line">
                                <a:avLst/>
                              </a:prstGeom>
                              <a:grpFill/>
                            </wps:spPr>
                            <wps:style>
                              <a:lnRef idx="1">
                                <a:schemeClr val="dk1"/>
                              </a:lnRef>
                              <a:fillRef idx="0">
                                <a:schemeClr val="dk1"/>
                              </a:fillRef>
                              <a:effectRef idx="0">
                                <a:schemeClr val="dk1"/>
                              </a:effectRef>
                              <a:fontRef idx="minor">
                                <a:schemeClr val="tx1"/>
                              </a:fontRef>
                            </wps:style>
                            <wps:bodyPr/>
                          </wps:wsp>
                        </wpg:grpSp>
                        <wpg:grpSp>
                          <wpg:cNvPr id="105" name="Group 105"/>
                          <wpg:cNvGrpSpPr/>
                          <wpg:grpSpPr>
                            <a:xfrm>
                              <a:off x="0" y="466928"/>
                              <a:ext cx="2884170" cy="1769745"/>
                              <a:chOff x="0" y="0"/>
                              <a:chExt cx="2884454" cy="1770015"/>
                            </a:xfrm>
                            <a:grpFill/>
                          </wpg:grpSpPr>
                          <wps:wsp>
                            <wps:cNvPr id="106" name="Straight Connector 106"/>
                            <wps:cNvCnPr/>
                            <wps:spPr>
                              <a:xfrm>
                                <a:off x="836579" y="0"/>
                                <a:ext cx="0" cy="2381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07" name="Straight Connector 107"/>
                            <wps:cNvCnPr/>
                            <wps:spPr>
                              <a:xfrm>
                                <a:off x="252919" y="116732"/>
                                <a:ext cx="2333625" cy="31750"/>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08" name="Straight Connector 108"/>
                            <wps:cNvCnPr/>
                            <wps:spPr>
                              <a:xfrm>
                                <a:off x="252919" y="126460"/>
                                <a:ext cx="0" cy="114300"/>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09" name="Straight Connector 109"/>
                            <wps:cNvCnPr/>
                            <wps:spPr>
                              <a:xfrm>
                                <a:off x="1809345" y="145915"/>
                                <a:ext cx="0" cy="114300"/>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10" name="Straight Connector 110"/>
                            <wps:cNvCnPr/>
                            <wps:spPr>
                              <a:xfrm>
                                <a:off x="2568102" y="155643"/>
                                <a:ext cx="0" cy="114300"/>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11" name="Rectangle 111"/>
                            <wps:cNvSpPr/>
                            <wps:spPr>
                              <a:xfrm>
                                <a:off x="9728" y="233464"/>
                                <a:ext cx="676275" cy="32067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6B601C73"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Conflicts of Interest</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12" name="Rectangle 112"/>
                            <wps:cNvSpPr/>
                            <wps:spPr>
                              <a:xfrm>
                                <a:off x="739302" y="243191"/>
                                <a:ext cx="676275" cy="27622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18935FA0" w14:textId="77777777" w:rsidR="00FE7438" w:rsidRDefault="00FE7438" w:rsidP="002E089B">
                                  <w:pPr>
                                    <w:pageBreakBefore/>
                                    <w:jc w:val="center"/>
                                    <w:rPr>
                                      <w:rFonts w:ascii="Times New Roman" w:hAnsi="Times New Roman"/>
                                      <w:sz w:val="16"/>
                                      <w:szCs w:val="16"/>
                                    </w:rPr>
                                  </w:pPr>
                                  <w:r>
                                    <w:rPr>
                                      <w:rFonts w:ascii="Times New Roman" w:hAnsi="Times New Roman"/>
                                      <w:sz w:val="16"/>
                                      <w:szCs w:val="16"/>
                                    </w:rPr>
                                    <w:t>Bribery</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13" name="Rectangle 113"/>
                            <wps:cNvSpPr/>
                            <wps:spPr>
                              <a:xfrm>
                                <a:off x="1478604" y="252919"/>
                                <a:ext cx="676275" cy="340360"/>
                              </a:xfrm>
                              <a:prstGeom prst="rect">
                                <a:avLst/>
                              </a:prstGeom>
                              <a:grpFill/>
                            </wps:spPr>
                            <wps:style>
                              <a:lnRef idx="2">
                                <a:schemeClr val="dk1"/>
                              </a:lnRef>
                              <a:fillRef idx="1">
                                <a:schemeClr val="lt1"/>
                              </a:fillRef>
                              <a:effectRef idx="0">
                                <a:schemeClr val="dk1"/>
                              </a:effectRef>
                              <a:fontRef idx="minor">
                                <a:schemeClr val="dk1"/>
                              </a:fontRef>
                            </wps:style>
                            <wps:txbx>
                              <w:txbxContent>
                                <w:p w14:paraId="6264FC78" w14:textId="77777777" w:rsidR="00FE7438" w:rsidRDefault="00FE7438" w:rsidP="002E089B">
                                  <w:pPr>
                                    <w:pageBreakBefore/>
                                    <w:jc w:val="center"/>
                                    <w:rPr>
                                      <w:rFonts w:ascii="Times New Roman" w:hAnsi="Times New Roman"/>
                                      <w:sz w:val="16"/>
                                      <w:szCs w:val="16"/>
                                    </w:rPr>
                                  </w:pPr>
                                  <w:r>
                                    <w:rPr>
                                      <w:rFonts w:ascii="Times New Roman" w:hAnsi="Times New Roman"/>
                                      <w:sz w:val="16"/>
                                      <w:szCs w:val="16"/>
                                    </w:rPr>
                                    <w:t>Illegal Gratuities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14" name="Rectangle 114"/>
                            <wps:cNvSpPr/>
                            <wps:spPr>
                              <a:xfrm>
                                <a:off x="2208179" y="252919"/>
                                <a:ext cx="676275" cy="340360"/>
                              </a:xfrm>
                              <a:prstGeom prst="rect">
                                <a:avLst/>
                              </a:prstGeom>
                              <a:grpFill/>
                            </wps:spPr>
                            <wps:style>
                              <a:lnRef idx="2">
                                <a:schemeClr val="dk1"/>
                              </a:lnRef>
                              <a:fillRef idx="1">
                                <a:schemeClr val="lt1"/>
                              </a:fillRef>
                              <a:effectRef idx="0">
                                <a:schemeClr val="dk1"/>
                              </a:effectRef>
                              <a:fontRef idx="minor">
                                <a:schemeClr val="dk1"/>
                              </a:fontRef>
                            </wps:style>
                            <wps:txbx>
                              <w:txbxContent>
                                <w:p w14:paraId="602FE3DC"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Economic Extortion</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15" name="Straight Connector 115"/>
                            <wps:cNvCnPr/>
                            <wps:spPr>
                              <a:xfrm>
                                <a:off x="330740" y="554477"/>
                                <a:ext cx="0" cy="133350"/>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16" name="Straight Connector 116"/>
                            <wps:cNvCnPr/>
                            <wps:spPr>
                              <a:xfrm>
                                <a:off x="1089498" y="525294"/>
                                <a:ext cx="0" cy="152400"/>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17" name="Rectangle 117"/>
                            <wps:cNvSpPr/>
                            <wps:spPr>
                              <a:xfrm>
                                <a:off x="0" y="690560"/>
                                <a:ext cx="676275" cy="321271"/>
                              </a:xfrm>
                              <a:prstGeom prst="rect">
                                <a:avLst/>
                              </a:prstGeom>
                              <a:grpFill/>
                            </wps:spPr>
                            <wps:style>
                              <a:lnRef idx="2">
                                <a:schemeClr val="dk1"/>
                              </a:lnRef>
                              <a:fillRef idx="1">
                                <a:schemeClr val="lt1"/>
                              </a:fillRef>
                              <a:effectRef idx="0">
                                <a:schemeClr val="dk1"/>
                              </a:effectRef>
                              <a:fontRef idx="minor">
                                <a:schemeClr val="dk1"/>
                              </a:fontRef>
                            </wps:style>
                            <wps:txbx>
                              <w:txbxContent>
                                <w:p w14:paraId="07E2318A"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Purchase Schemes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18" name="Rectangle 118"/>
                            <wps:cNvSpPr/>
                            <wps:spPr>
                              <a:xfrm>
                                <a:off x="758757" y="661481"/>
                                <a:ext cx="676275" cy="32067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261CE31E"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Invoice Kickbacks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19" name="Straight Connector 119"/>
                            <wps:cNvCnPr/>
                            <wps:spPr>
                              <a:xfrm>
                                <a:off x="340468" y="1001951"/>
                                <a:ext cx="0" cy="10477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20" name="Rectangle 120"/>
                            <wps:cNvSpPr/>
                            <wps:spPr>
                              <a:xfrm>
                                <a:off x="9728" y="1099226"/>
                                <a:ext cx="676275" cy="32067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1C562AAD"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Sales Schemes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21" name="Straight Connector 121"/>
                            <wps:cNvCnPr/>
                            <wps:spPr>
                              <a:xfrm>
                                <a:off x="1099225" y="982494"/>
                                <a:ext cx="0" cy="10477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22" name="Rectangle 122"/>
                            <wps:cNvSpPr/>
                            <wps:spPr>
                              <a:xfrm>
                                <a:off x="768485" y="1079770"/>
                                <a:ext cx="676275" cy="33337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6A3091CB"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Bid Rigging</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23" name="Straight Connector 123"/>
                            <wps:cNvCnPr/>
                            <wps:spPr>
                              <a:xfrm>
                                <a:off x="340468" y="1439694"/>
                                <a:ext cx="0" cy="10477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24" name="Rectangle 124"/>
                            <wps:cNvSpPr/>
                            <wps:spPr>
                              <a:xfrm>
                                <a:off x="9728" y="1536970"/>
                                <a:ext cx="676275" cy="23304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50B8511F"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Other</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25" name="Straight Connector 125"/>
                            <wps:cNvCnPr/>
                            <wps:spPr>
                              <a:xfrm>
                                <a:off x="1108953" y="1420238"/>
                                <a:ext cx="0" cy="10477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26" name="Rectangle 126"/>
                            <wps:cNvSpPr/>
                            <wps:spPr>
                              <a:xfrm>
                                <a:off x="778213" y="1536970"/>
                                <a:ext cx="676275" cy="21907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6BA2606F"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Other</w:t>
                                  </w:r>
                                </w:p>
                              </w:txbxContent>
                            </wps:txbx>
                            <wps:bodyPr rot="0" spcFirstLastPara="0" vertOverflow="overflow" horzOverflow="overflow" vert="horz" wrap="square" lIns="91440" tIns="45720" rIns="91440" bIns="45720" numCol="1" spcCol="0" rtlCol="0" fromWordArt="0" anchor="ctr" anchorCtr="0" forceAA="0" compatLnSpc="1">
                              <a:noAutofit/>
                            </wps:bodyPr>
                          </wps:wsp>
                        </wpg:grpSp>
                        <wps:wsp>
                          <wps:cNvPr id="127" name="Straight Connector 127"/>
                          <wps:cNvCnPr/>
                          <wps:spPr>
                            <a:xfrm>
                              <a:off x="1478604" y="3492230"/>
                              <a:ext cx="3122643" cy="0"/>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28" name="Straight Connector 128"/>
                          <wps:cNvCnPr/>
                          <wps:spPr>
                            <a:xfrm>
                              <a:off x="2986321" y="437400"/>
                              <a:ext cx="0" cy="305353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29" name="Rectangle 129"/>
                          <wps:cNvSpPr/>
                          <wps:spPr>
                            <a:xfrm>
                              <a:off x="856034" y="3394953"/>
                              <a:ext cx="676275" cy="21907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5E9BE35F"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Cash</w:t>
                                </w:r>
                              </w:p>
                            </w:txbxContent>
                          </wps:txbx>
                          <wps:bodyPr rot="0" spcFirstLastPara="0" vertOverflow="overflow" horzOverflow="overflow" vert="horz" wrap="square" lIns="91440" tIns="45720" rIns="91440" bIns="45720" numCol="1" spcCol="0" rtlCol="0" fromWordArt="0" anchor="ctr" anchorCtr="0" forceAA="0" compatLnSpc="1">
                            <a:noAutofit/>
                          </wps:bodyPr>
                        </wps:wsp>
                        <wpg:grpSp>
                          <wpg:cNvPr id="130" name="Group 130"/>
                          <wpg:cNvGrpSpPr/>
                          <wpg:grpSpPr>
                            <a:xfrm>
                              <a:off x="4163438" y="3258766"/>
                              <a:ext cx="1584458" cy="2426677"/>
                              <a:chOff x="0" y="0"/>
                              <a:chExt cx="1584458" cy="2426677"/>
                            </a:xfrm>
                            <a:grpFill/>
                          </wpg:grpSpPr>
                          <wps:wsp>
                            <wps:cNvPr id="131" name="Rectangle 131"/>
                            <wps:cNvSpPr/>
                            <wps:spPr>
                              <a:xfrm>
                                <a:off x="439615" y="0"/>
                                <a:ext cx="723900" cy="448283"/>
                              </a:xfrm>
                              <a:prstGeom prst="rect">
                                <a:avLst/>
                              </a:prstGeom>
                              <a:grpFill/>
                            </wps:spPr>
                            <wps:style>
                              <a:lnRef idx="2">
                                <a:schemeClr val="dk1"/>
                              </a:lnRef>
                              <a:fillRef idx="1">
                                <a:schemeClr val="lt1"/>
                              </a:fillRef>
                              <a:effectRef idx="0">
                                <a:schemeClr val="dk1"/>
                              </a:effectRef>
                              <a:fontRef idx="minor">
                                <a:schemeClr val="dk1"/>
                              </a:fontRef>
                            </wps:style>
                            <wps:txbx>
                              <w:txbxContent>
                                <w:p w14:paraId="37C9897E"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Inventory and all Other Assets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32" name="Straight Connector 132"/>
                            <wps:cNvCnPr/>
                            <wps:spPr>
                              <a:xfrm>
                                <a:off x="773723" y="448408"/>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33" name="Straight Connector 133"/>
                            <wps:cNvCnPr/>
                            <wps:spPr>
                              <a:xfrm>
                                <a:off x="325315" y="527539"/>
                                <a:ext cx="923925" cy="0"/>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34" name="Straight Connector 134"/>
                            <wps:cNvCnPr/>
                            <wps:spPr>
                              <a:xfrm>
                                <a:off x="1248508" y="527539"/>
                                <a:ext cx="0" cy="61546"/>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35" name="Straight Connector 135"/>
                            <wps:cNvCnPr/>
                            <wps:spPr>
                              <a:xfrm>
                                <a:off x="325315" y="536331"/>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36" name="Rectangle 136"/>
                            <wps:cNvSpPr/>
                            <wps:spPr>
                              <a:xfrm>
                                <a:off x="0" y="633046"/>
                                <a:ext cx="676275" cy="21907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7ACEAD32"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Misuse</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37" name="Rectangle 137"/>
                            <wps:cNvSpPr/>
                            <wps:spPr>
                              <a:xfrm>
                                <a:off x="826477" y="597877"/>
                                <a:ext cx="676275" cy="21907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0DF548DE"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Larceny</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38" name="Straight Connector 138"/>
                            <wps:cNvCnPr/>
                            <wps:spPr>
                              <a:xfrm>
                                <a:off x="1178169" y="817685"/>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39" name="Rectangle 139"/>
                            <wps:cNvSpPr/>
                            <wps:spPr>
                              <a:xfrm>
                                <a:off x="808892" y="888023"/>
                                <a:ext cx="723900" cy="33000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105268CF"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Asset Reg &amp; Transfers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40" name="Straight Connector 140"/>
                            <wps:cNvCnPr/>
                            <wps:spPr>
                              <a:xfrm>
                                <a:off x="1186961" y="1213339"/>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41" name="Rectangle 141"/>
                            <wps:cNvSpPr/>
                            <wps:spPr>
                              <a:xfrm>
                                <a:off x="791308" y="1274885"/>
                                <a:ext cx="781050" cy="334107"/>
                              </a:xfrm>
                              <a:prstGeom prst="rect">
                                <a:avLst/>
                              </a:prstGeom>
                              <a:grpFill/>
                            </wps:spPr>
                            <wps:style>
                              <a:lnRef idx="2">
                                <a:schemeClr val="dk1"/>
                              </a:lnRef>
                              <a:fillRef idx="1">
                                <a:schemeClr val="lt1"/>
                              </a:fillRef>
                              <a:effectRef idx="0">
                                <a:schemeClr val="dk1"/>
                              </a:effectRef>
                              <a:fontRef idx="minor">
                                <a:schemeClr val="dk1"/>
                              </a:fontRef>
                            </wps:style>
                            <wps:txbx>
                              <w:txbxContent>
                                <w:p w14:paraId="39FBFA2E"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False sales &amp; shipping</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42" name="Straight Connector 142"/>
                            <wps:cNvCnPr/>
                            <wps:spPr>
                              <a:xfrm>
                                <a:off x="1186961" y="1608992"/>
                                <a:ext cx="0" cy="70338"/>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43" name="Rectangle 143"/>
                            <wps:cNvSpPr/>
                            <wps:spPr>
                              <a:xfrm>
                                <a:off x="755783" y="1660342"/>
                                <a:ext cx="828675" cy="341239"/>
                              </a:xfrm>
                              <a:prstGeom prst="rect">
                                <a:avLst/>
                              </a:prstGeom>
                              <a:grpFill/>
                            </wps:spPr>
                            <wps:style>
                              <a:lnRef idx="2">
                                <a:schemeClr val="dk1"/>
                              </a:lnRef>
                              <a:fillRef idx="1">
                                <a:schemeClr val="lt1"/>
                              </a:fillRef>
                              <a:effectRef idx="0">
                                <a:schemeClr val="dk1"/>
                              </a:effectRef>
                              <a:fontRef idx="minor">
                                <a:schemeClr val="dk1"/>
                              </a:fontRef>
                            </wps:style>
                            <wps:txbx>
                              <w:txbxContent>
                                <w:p w14:paraId="72C8EFF4"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Purchasing &amp; Receiving</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44" name="Straight Connector 144"/>
                            <wps:cNvCnPr/>
                            <wps:spPr>
                              <a:xfrm>
                                <a:off x="1178169" y="1987061"/>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45" name="Rectangle 145"/>
                            <wps:cNvSpPr/>
                            <wps:spPr>
                              <a:xfrm>
                                <a:off x="791308" y="2066192"/>
                                <a:ext cx="790575" cy="36048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1FD691E0"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Unconcealed Larceny</w:t>
                                  </w:r>
                                </w:p>
                              </w:txbxContent>
                            </wps:txbx>
                            <wps:bodyPr rot="0" spcFirstLastPara="0" vertOverflow="overflow" horzOverflow="overflow" vert="horz" wrap="square" lIns="91440" tIns="45720" rIns="91440" bIns="45720" numCol="1" spcCol="0" rtlCol="0" fromWordArt="0" anchor="ctr" anchorCtr="0" forceAA="0" compatLnSpc="1">
                              <a:noAutofit/>
                            </wps:bodyPr>
                          </wps:wsp>
                        </wpg:grpSp>
                        <wps:wsp>
                          <wps:cNvPr id="146" name="Straight Connector 146"/>
                          <wps:cNvCnPr/>
                          <wps:spPr>
                            <a:xfrm>
                              <a:off x="1293778" y="3628417"/>
                              <a:ext cx="0" cy="61546"/>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47" name="Straight Connector 147"/>
                          <wps:cNvCnPr/>
                          <wps:spPr>
                            <a:xfrm>
                              <a:off x="690663" y="3686783"/>
                              <a:ext cx="2022231" cy="0"/>
                            </a:xfrm>
                            <a:prstGeom prst="line">
                              <a:avLst/>
                            </a:prstGeom>
                            <a:grpFill/>
                          </wps:spPr>
                          <wps:style>
                            <a:lnRef idx="1">
                              <a:schemeClr val="dk1"/>
                            </a:lnRef>
                            <a:fillRef idx="0">
                              <a:schemeClr val="dk1"/>
                            </a:fillRef>
                            <a:effectRef idx="0">
                              <a:schemeClr val="dk1"/>
                            </a:effectRef>
                            <a:fontRef idx="minor">
                              <a:schemeClr val="tx1"/>
                            </a:fontRef>
                          </wps:style>
                          <wps:bodyPr/>
                        </wps:wsp>
                        <wpg:grpSp>
                          <wpg:cNvPr id="148" name="Group 148"/>
                          <wpg:cNvGrpSpPr/>
                          <wpg:grpSpPr>
                            <a:xfrm>
                              <a:off x="330740" y="3686783"/>
                              <a:ext cx="723900" cy="1362075"/>
                              <a:chOff x="0" y="0"/>
                              <a:chExt cx="723900" cy="1362075"/>
                            </a:xfrm>
                            <a:grpFill/>
                          </wpg:grpSpPr>
                          <wps:wsp>
                            <wps:cNvPr id="149" name="Straight Connector 149"/>
                            <wps:cNvCnPr/>
                            <wps:spPr>
                              <a:xfrm>
                                <a:off x="351693" y="0"/>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50" name="Rectangle 150"/>
                            <wps:cNvSpPr/>
                            <wps:spPr>
                              <a:xfrm>
                                <a:off x="17585" y="70339"/>
                                <a:ext cx="676275" cy="21907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75CBEDFC"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Larceny</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51" name="Straight Connector 151"/>
                            <wps:cNvCnPr/>
                            <wps:spPr>
                              <a:xfrm>
                                <a:off x="369277" y="281354"/>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52" name="Rectangle 152"/>
                            <wps:cNvSpPr/>
                            <wps:spPr>
                              <a:xfrm>
                                <a:off x="53690" y="341964"/>
                                <a:ext cx="600075" cy="329243"/>
                              </a:xfrm>
                              <a:prstGeom prst="rect">
                                <a:avLst/>
                              </a:prstGeom>
                              <a:grpFill/>
                            </wps:spPr>
                            <wps:style>
                              <a:lnRef idx="2">
                                <a:schemeClr val="dk1"/>
                              </a:lnRef>
                              <a:fillRef idx="1">
                                <a:schemeClr val="lt1"/>
                              </a:fillRef>
                              <a:effectRef idx="0">
                                <a:schemeClr val="dk1"/>
                              </a:effectRef>
                              <a:fontRef idx="minor">
                                <a:schemeClr val="dk1"/>
                              </a:fontRef>
                            </wps:style>
                            <wps:txbx>
                              <w:txbxContent>
                                <w:p w14:paraId="651552BD"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Of cash on hand</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53" name="Straight Connector 153"/>
                            <wps:cNvCnPr/>
                            <wps:spPr>
                              <a:xfrm>
                                <a:off x="369277" y="659423"/>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54" name="Rectangle 154"/>
                            <wps:cNvSpPr/>
                            <wps:spPr>
                              <a:xfrm>
                                <a:off x="0" y="729762"/>
                                <a:ext cx="723900" cy="334108"/>
                              </a:xfrm>
                              <a:prstGeom prst="rect">
                                <a:avLst/>
                              </a:prstGeom>
                              <a:grpFill/>
                            </wps:spPr>
                            <wps:style>
                              <a:lnRef idx="2">
                                <a:schemeClr val="dk1"/>
                              </a:lnRef>
                              <a:fillRef idx="1">
                                <a:schemeClr val="lt1"/>
                              </a:fillRef>
                              <a:effectRef idx="0">
                                <a:schemeClr val="dk1"/>
                              </a:effectRef>
                              <a:fontRef idx="minor">
                                <a:schemeClr val="dk1"/>
                              </a:fontRef>
                            </wps:style>
                            <wps:txbx>
                              <w:txbxContent>
                                <w:p w14:paraId="5FA4F581"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From the Deposit</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55" name="Rectangle 155"/>
                            <wps:cNvSpPr/>
                            <wps:spPr>
                              <a:xfrm>
                                <a:off x="17585" y="1143000"/>
                                <a:ext cx="676275" cy="21907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6DA0E98E"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Other</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56" name="Straight Connector 156"/>
                            <wps:cNvCnPr/>
                            <wps:spPr>
                              <a:xfrm>
                                <a:off x="369277" y="1063870"/>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g:grpSp>
                        <wpg:grpSp>
                          <wpg:cNvPr id="157" name="Group 157"/>
                          <wpg:cNvGrpSpPr/>
                          <wpg:grpSpPr>
                            <a:xfrm>
                              <a:off x="1780161" y="3686783"/>
                              <a:ext cx="2332355" cy="1830330"/>
                              <a:chOff x="0" y="0"/>
                              <a:chExt cx="2332871" cy="1830630"/>
                            </a:xfrm>
                            <a:grpFill/>
                          </wpg:grpSpPr>
                          <wps:wsp>
                            <wps:cNvPr id="158" name="Straight Connector 158"/>
                            <wps:cNvCnPr/>
                            <wps:spPr>
                              <a:xfrm>
                                <a:off x="940777" y="0"/>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59" name="Rectangle 159"/>
                            <wps:cNvSpPr/>
                            <wps:spPr>
                              <a:xfrm>
                                <a:off x="562708" y="87923"/>
                                <a:ext cx="676275" cy="21907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3FECFC84"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Skimming</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60" name="Straight Connector 160"/>
                            <wps:cNvCnPr/>
                            <wps:spPr>
                              <a:xfrm>
                                <a:off x="967154" y="298939"/>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61" name="Straight Connector 161"/>
                            <wps:cNvCnPr/>
                            <wps:spPr>
                              <a:xfrm>
                                <a:off x="386860" y="386862"/>
                                <a:ext cx="1503462" cy="0"/>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62" name="Straight Connector 162"/>
                            <wps:cNvCnPr/>
                            <wps:spPr>
                              <a:xfrm>
                                <a:off x="1890325" y="386862"/>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63" name="Straight Connector 163"/>
                            <wps:cNvCnPr/>
                            <wps:spPr>
                              <a:xfrm>
                                <a:off x="386862" y="395654"/>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64" name="Rectangle 164"/>
                            <wps:cNvSpPr/>
                            <wps:spPr>
                              <a:xfrm>
                                <a:off x="52754" y="492369"/>
                                <a:ext cx="676275" cy="21907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766BD48C"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Sales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65" name="Straight Connector 165"/>
                            <wps:cNvCnPr/>
                            <wps:spPr>
                              <a:xfrm>
                                <a:off x="1134208" y="395654"/>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66" name="Rectangle 166"/>
                            <wps:cNvSpPr/>
                            <wps:spPr>
                              <a:xfrm>
                                <a:off x="800100" y="492369"/>
                                <a:ext cx="733425" cy="21907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43F0C4DC"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Receivables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67" name="Rectangle 167"/>
                            <wps:cNvSpPr/>
                            <wps:spPr>
                              <a:xfrm>
                                <a:off x="1608971" y="474785"/>
                                <a:ext cx="723900" cy="307730"/>
                              </a:xfrm>
                              <a:prstGeom prst="rect">
                                <a:avLst/>
                              </a:prstGeom>
                              <a:grpFill/>
                            </wps:spPr>
                            <wps:style>
                              <a:lnRef idx="2">
                                <a:schemeClr val="dk1"/>
                              </a:lnRef>
                              <a:fillRef idx="1">
                                <a:schemeClr val="lt1"/>
                              </a:fillRef>
                              <a:effectRef idx="0">
                                <a:schemeClr val="dk1"/>
                              </a:effectRef>
                              <a:fontRef idx="minor">
                                <a:schemeClr val="dk1"/>
                              </a:fontRef>
                            </wps:style>
                            <wps:txbx>
                              <w:txbxContent>
                                <w:p w14:paraId="1C8A3BE7"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Refunds &amp; others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68" name="Straight Connector 168"/>
                            <wps:cNvCnPr/>
                            <wps:spPr>
                              <a:xfrm>
                                <a:off x="378070" y="712177"/>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69" name="Rectangle 169"/>
                            <wps:cNvSpPr/>
                            <wps:spPr>
                              <a:xfrm>
                                <a:off x="43962" y="808892"/>
                                <a:ext cx="676275" cy="21907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7E32BFCC"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Unrecorded</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70" name="Straight Connector 170"/>
                            <wps:cNvCnPr/>
                            <wps:spPr>
                              <a:xfrm>
                                <a:off x="395654" y="1037492"/>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71" name="Rectangle 171"/>
                            <wps:cNvSpPr/>
                            <wps:spPr>
                              <a:xfrm>
                                <a:off x="0" y="1134208"/>
                                <a:ext cx="733425" cy="20002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7EEF95C1"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Understated</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72" name="Straight Connector 172"/>
                            <wps:cNvCnPr/>
                            <wps:spPr>
                              <a:xfrm>
                                <a:off x="1099039" y="712177"/>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73" name="Rectangle 173"/>
                            <wps:cNvSpPr/>
                            <wps:spPr>
                              <a:xfrm>
                                <a:off x="828676" y="1514107"/>
                                <a:ext cx="723900" cy="316523"/>
                              </a:xfrm>
                              <a:prstGeom prst="rect">
                                <a:avLst/>
                              </a:prstGeom>
                              <a:grpFill/>
                            </wps:spPr>
                            <wps:style>
                              <a:lnRef idx="2">
                                <a:schemeClr val="dk1"/>
                              </a:lnRef>
                              <a:fillRef idx="1">
                                <a:schemeClr val="lt1"/>
                              </a:fillRef>
                              <a:effectRef idx="0">
                                <a:schemeClr val="dk1"/>
                              </a:effectRef>
                              <a:fontRef idx="minor">
                                <a:schemeClr val="dk1"/>
                              </a:fontRef>
                            </wps:style>
                            <wps:txbx>
                              <w:txbxContent>
                                <w:p w14:paraId="691F66AB"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Write-off Schemes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74" name="Straight Connector 174"/>
                            <wps:cNvCnPr/>
                            <wps:spPr>
                              <a:xfrm>
                                <a:off x="1125416" y="1090246"/>
                                <a:ext cx="0" cy="68434"/>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75" name="Rectangle 175"/>
                            <wps:cNvSpPr/>
                            <wps:spPr>
                              <a:xfrm>
                                <a:off x="787862" y="808892"/>
                                <a:ext cx="723900" cy="323850"/>
                              </a:xfrm>
                              <a:prstGeom prst="rect">
                                <a:avLst/>
                              </a:prstGeom>
                              <a:grpFill/>
                            </wps:spPr>
                            <wps:style>
                              <a:lnRef idx="2">
                                <a:schemeClr val="dk1"/>
                              </a:lnRef>
                              <a:fillRef idx="1">
                                <a:schemeClr val="lt1"/>
                              </a:fillRef>
                              <a:effectRef idx="0">
                                <a:schemeClr val="dk1"/>
                              </a:effectRef>
                              <a:fontRef idx="minor">
                                <a:schemeClr val="dk1"/>
                              </a:fontRef>
                            </wps:style>
                            <wps:txbx>
                              <w:txbxContent>
                                <w:p w14:paraId="057D5BD6"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Lapping Schemes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76" name="Straight Connector 176"/>
                            <wps:cNvCnPr/>
                            <wps:spPr>
                              <a:xfrm>
                                <a:off x="1134207" y="1154493"/>
                                <a:ext cx="0" cy="85725"/>
                              </a:xfrm>
                              <a:prstGeom prst="line">
                                <a:avLst/>
                              </a:prstGeom>
                              <a:solidFill>
                                <a:schemeClr val="bg1"/>
                              </a:solidFill>
                            </wps:spPr>
                            <wps:style>
                              <a:lnRef idx="1">
                                <a:schemeClr val="dk1"/>
                              </a:lnRef>
                              <a:fillRef idx="0">
                                <a:schemeClr val="dk1"/>
                              </a:fillRef>
                              <a:effectRef idx="0">
                                <a:schemeClr val="dk1"/>
                              </a:effectRef>
                              <a:fontRef idx="minor">
                                <a:schemeClr val="tx1"/>
                              </a:fontRef>
                            </wps:style>
                            <wps:bodyPr/>
                          </wps:wsp>
                          <wps:wsp>
                            <wps:cNvPr id="177" name="Rectangle 177"/>
                            <wps:cNvSpPr/>
                            <wps:spPr>
                              <a:xfrm>
                                <a:off x="800100" y="1251208"/>
                                <a:ext cx="752475" cy="209550"/>
                              </a:xfrm>
                              <a:prstGeom prst="rect">
                                <a:avLst/>
                              </a:prstGeom>
                              <a:grpFill/>
                            </wps:spPr>
                            <wps:style>
                              <a:lnRef idx="2">
                                <a:schemeClr val="dk1"/>
                              </a:lnRef>
                              <a:fillRef idx="1">
                                <a:schemeClr val="lt1"/>
                              </a:fillRef>
                              <a:effectRef idx="0">
                                <a:schemeClr val="dk1"/>
                              </a:effectRef>
                              <a:fontRef idx="minor">
                                <a:schemeClr val="dk1"/>
                              </a:fontRef>
                            </wps:style>
                            <wps:txbx>
                              <w:txbxContent>
                                <w:p w14:paraId="6209A4CE"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Unconcealed</w:t>
                                  </w:r>
                                </w:p>
                              </w:txbxContent>
                            </wps:txbx>
                            <wps:bodyPr rot="0" spcFirstLastPara="0" vertOverflow="overflow" horzOverflow="overflow" vert="horz" wrap="square" lIns="91440" tIns="45720" rIns="91440" bIns="45720" numCol="1" spcCol="0" rtlCol="0" fromWordArt="0" anchor="ctr" anchorCtr="0" forceAA="0" compatLnSpc="1">
                              <a:noAutofit/>
                            </wps:bodyPr>
                          </wps:wsp>
                        </wpg:grpSp>
                        <wps:wsp>
                          <wps:cNvPr id="178" name="Straight Connector 178"/>
                          <wps:cNvCnPr/>
                          <wps:spPr>
                            <a:xfrm>
                              <a:off x="1332689" y="3696511"/>
                              <a:ext cx="0" cy="1415562"/>
                            </a:xfrm>
                            <a:prstGeom prst="line">
                              <a:avLst/>
                            </a:prstGeom>
                            <a:grpFill/>
                          </wps:spPr>
                          <wps:style>
                            <a:lnRef idx="1">
                              <a:schemeClr val="dk1"/>
                            </a:lnRef>
                            <a:fillRef idx="0">
                              <a:schemeClr val="dk1"/>
                            </a:fillRef>
                            <a:effectRef idx="0">
                              <a:schemeClr val="dk1"/>
                            </a:effectRef>
                            <a:fontRef idx="minor">
                              <a:schemeClr val="tx1"/>
                            </a:fontRef>
                          </wps:style>
                          <wps:bodyPr/>
                        </wps:wsp>
                        <wpg:grpSp>
                          <wpg:cNvPr id="179" name="Group 179"/>
                          <wpg:cNvGrpSpPr/>
                          <wpg:grpSpPr>
                            <a:xfrm>
                              <a:off x="233458" y="5087566"/>
                              <a:ext cx="4622805" cy="2869660"/>
                              <a:chOff x="-5" y="0"/>
                              <a:chExt cx="4623294" cy="2870005"/>
                            </a:xfrm>
                            <a:grpFill/>
                          </wpg:grpSpPr>
                          <wps:wsp>
                            <wps:cNvPr id="180" name="Rectangle 180"/>
                            <wps:cNvSpPr/>
                            <wps:spPr>
                              <a:xfrm>
                                <a:off x="782516" y="0"/>
                                <a:ext cx="838200" cy="31432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6D2081F2"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Fraudulent Disbursement</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81" name="Straight Connector 181"/>
                            <wps:cNvCnPr/>
                            <wps:spPr>
                              <a:xfrm>
                                <a:off x="228600" y="448408"/>
                                <a:ext cx="4000500" cy="0"/>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82" name="Straight Connector 182"/>
                            <wps:cNvCnPr/>
                            <wps:spPr>
                              <a:xfrm>
                                <a:off x="1169377" y="316523"/>
                                <a:ext cx="0" cy="2381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83" name="Straight Connector 183"/>
                            <wps:cNvCnPr/>
                            <wps:spPr>
                              <a:xfrm>
                                <a:off x="2224454" y="457200"/>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84" name="Straight Connector 184"/>
                            <wps:cNvCnPr/>
                            <wps:spPr>
                              <a:xfrm>
                                <a:off x="3147646" y="448408"/>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85" name="Straight Connector 185"/>
                            <wps:cNvCnPr/>
                            <wps:spPr>
                              <a:xfrm>
                                <a:off x="4229100" y="448408"/>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86" name="Rectangle 186"/>
                            <wps:cNvSpPr/>
                            <wps:spPr>
                              <a:xfrm>
                                <a:off x="8793" y="545123"/>
                                <a:ext cx="723900" cy="31432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36646995"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Billing Schemes</w:t>
                                  </w:r>
                                </w:p>
                                <w:p w14:paraId="45333AEA" w14:textId="77777777" w:rsidR="00FE7438" w:rsidRDefault="00FE7438" w:rsidP="002E089B">
                                  <w:pPr>
                                    <w:pageBreakBefore/>
                                    <w:spacing w:line="240" w:lineRule="auto"/>
                                    <w:jc w:val="center"/>
                                    <w:rPr>
                                      <w:rFonts w:ascii="Times New Roman" w:hAnsi="Times New Roman"/>
                                      <w:sz w:val="16"/>
                                      <w:szCs w:val="16"/>
                                    </w:rP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87" name="Rectangle 187"/>
                            <wps:cNvSpPr/>
                            <wps:spPr>
                              <a:xfrm>
                                <a:off x="852854" y="553915"/>
                                <a:ext cx="723900" cy="31432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081F02B2"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Payroll Schemes</w:t>
                                  </w:r>
                                </w:p>
                                <w:p w14:paraId="28B7095C" w14:textId="77777777" w:rsidR="00FE7438" w:rsidRDefault="00FE7438" w:rsidP="002E089B">
                                  <w:pPr>
                                    <w:pageBreakBefore/>
                                    <w:spacing w:line="240" w:lineRule="auto"/>
                                    <w:jc w:val="center"/>
                                    <w:rPr>
                                      <w:rFonts w:ascii="Times New Roman" w:hAnsi="Times New Roman"/>
                                      <w:sz w:val="16"/>
                                      <w:szCs w:val="16"/>
                                    </w:rP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88" name="Rectangle 188"/>
                            <wps:cNvSpPr/>
                            <wps:spPr>
                              <a:xfrm>
                                <a:off x="1784839" y="545123"/>
                                <a:ext cx="847725" cy="430823"/>
                              </a:xfrm>
                              <a:prstGeom prst="rect">
                                <a:avLst/>
                              </a:prstGeom>
                              <a:grpFill/>
                            </wps:spPr>
                            <wps:style>
                              <a:lnRef idx="2">
                                <a:schemeClr val="dk1"/>
                              </a:lnRef>
                              <a:fillRef idx="1">
                                <a:schemeClr val="lt1"/>
                              </a:fillRef>
                              <a:effectRef idx="0">
                                <a:schemeClr val="dk1"/>
                              </a:effectRef>
                              <a:fontRef idx="minor">
                                <a:schemeClr val="dk1"/>
                              </a:fontRef>
                            </wps:style>
                            <wps:txbx>
                              <w:txbxContent>
                                <w:p w14:paraId="3323FFA2"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Expense Reimbursement Scheme</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89" name="Rectangle 189"/>
                            <wps:cNvSpPr/>
                            <wps:spPr>
                              <a:xfrm>
                                <a:off x="2778370" y="536331"/>
                                <a:ext cx="723900" cy="334108"/>
                              </a:xfrm>
                              <a:prstGeom prst="rect">
                                <a:avLst/>
                              </a:prstGeom>
                              <a:grpFill/>
                            </wps:spPr>
                            <wps:style>
                              <a:lnRef idx="2">
                                <a:schemeClr val="dk1"/>
                              </a:lnRef>
                              <a:fillRef idx="1">
                                <a:schemeClr val="lt1"/>
                              </a:fillRef>
                              <a:effectRef idx="0">
                                <a:schemeClr val="dk1"/>
                              </a:effectRef>
                              <a:fontRef idx="minor">
                                <a:schemeClr val="dk1"/>
                              </a:fontRef>
                            </wps:style>
                            <wps:txbx>
                              <w:txbxContent>
                                <w:p w14:paraId="7318AF6E"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Check Tampering</w:t>
                                  </w:r>
                                </w:p>
                                <w:p w14:paraId="150F0D4B" w14:textId="77777777" w:rsidR="00FE7438" w:rsidRDefault="00FE7438" w:rsidP="002E089B">
                                  <w:pPr>
                                    <w:pageBreakBefore/>
                                    <w:spacing w:line="240" w:lineRule="auto"/>
                                    <w:jc w:val="center"/>
                                    <w:rPr>
                                      <w:rFonts w:ascii="Times New Roman" w:hAnsi="Times New Roman"/>
                                      <w:sz w:val="16"/>
                                      <w:szCs w:val="16"/>
                                    </w:rP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90" name="Rectangle 190"/>
                            <wps:cNvSpPr/>
                            <wps:spPr>
                              <a:xfrm>
                                <a:off x="3771900" y="545123"/>
                                <a:ext cx="809625" cy="31432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5A54DF53"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Register Disbursement Schemes</w:t>
                                  </w:r>
                                </w:p>
                                <w:p w14:paraId="05085649" w14:textId="77777777" w:rsidR="00FE7438" w:rsidRDefault="00FE7438" w:rsidP="002E089B">
                                  <w:pPr>
                                    <w:pageBreakBefore/>
                                    <w:spacing w:line="240" w:lineRule="auto"/>
                                    <w:jc w:val="center"/>
                                    <w:rPr>
                                      <w:rFonts w:ascii="Times New Roman" w:hAnsi="Times New Roman"/>
                                      <w:sz w:val="16"/>
                                      <w:szCs w:val="16"/>
                                    </w:rP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91" name="Straight Connector 191"/>
                            <wps:cNvCnPr/>
                            <wps:spPr>
                              <a:xfrm>
                                <a:off x="395654" y="861646"/>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92" name="Rectangle 192"/>
                            <wps:cNvSpPr/>
                            <wps:spPr>
                              <a:xfrm>
                                <a:off x="-5" y="958331"/>
                                <a:ext cx="733425" cy="335946"/>
                              </a:xfrm>
                              <a:prstGeom prst="rect">
                                <a:avLst/>
                              </a:prstGeom>
                              <a:grpFill/>
                            </wps:spPr>
                            <wps:style>
                              <a:lnRef idx="2">
                                <a:schemeClr val="dk1"/>
                              </a:lnRef>
                              <a:fillRef idx="1">
                                <a:schemeClr val="lt1"/>
                              </a:fillRef>
                              <a:effectRef idx="0">
                                <a:schemeClr val="dk1"/>
                              </a:effectRef>
                              <a:fontRef idx="minor">
                                <a:schemeClr val="dk1"/>
                              </a:fontRef>
                            </wps:style>
                            <wps:txbx>
                              <w:txbxContent>
                                <w:p w14:paraId="3BCDD0BF"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Shell Company</w:t>
                                  </w:r>
                                </w:p>
                                <w:p w14:paraId="61CE05B4" w14:textId="77777777" w:rsidR="00FE7438" w:rsidRDefault="00FE7438" w:rsidP="002E089B">
                                  <w:pPr>
                                    <w:pageBreakBefore/>
                                    <w:spacing w:line="240" w:lineRule="auto"/>
                                    <w:jc w:val="center"/>
                                    <w:rPr>
                                      <w:rFonts w:ascii="Times New Roman" w:hAnsi="Times New Roman"/>
                                      <w:sz w:val="16"/>
                                      <w:szCs w:val="16"/>
                                    </w:rP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93" name="Straight Connector 193"/>
                            <wps:cNvCnPr/>
                            <wps:spPr>
                              <a:xfrm>
                                <a:off x="395654" y="1294344"/>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94" name="Rectangle 194"/>
                            <wps:cNvSpPr/>
                            <wps:spPr>
                              <a:xfrm>
                                <a:off x="0" y="1371600"/>
                                <a:ext cx="762000" cy="44767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02C22C8E"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Non-accomplice Vendor</w:t>
                                  </w:r>
                                </w:p>
                                <w:p w14:paraId="6E340033" w14:textId="77777777" w:rsidR="00FE7438" w:rsidRDefault="00FE7438" w:rsidP="002E089B">
                                  <w:pPr>
                                    <w:pageBreakBefore/>
                                    <w:spacing w:line="240" w:lineRule="auto"/>
                                    <w:jc w:val="center"/>
                                    <w:rPr>
                                      <w:rFonts w:ascii="Times New Roman" w:hAnsi="Times New Roman"/>
                                      <w:sz w:val="16"/>
                                      <w:szCs w:val="16"/>
                                    </w:rP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95" name="Straight Connector 195"/>
                            <wps:cNvCnPr/>
                            <wps:spPr>
                              <a:xfrm>
                                <a:off x="404446" y="1828800"/>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96" name="Rectangle 196"/>
                            <wps:cNvSpPr/>
                            <wps:spPr>
                              <a:xfrm>
                                <a:off x="8793" y="1925515"/>
                                <a:ext cx="733425" cy="31432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6C86E62C"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Personal Purchase</w:t>
                                  </w:r>
                                </w:p>
                                <w:p w14:paraId="0E391FD2" w14:textId="77777777" w:rsidR="00FE7438" w:rsidRDefault="00FE7438" w:rsidP="002E089B">
                                  <w:pPr>
                                    <w:pageBreakBefore/>
                                    <w:spacing w:line="240" w:lineRule="auto"/>
                                    <w:jc w:val="center"/>
                                    <w:rPr>
                                      <w:rFonts w:ascii="Times New Roman" w:hAnsi="Times New Roman"/>
                                      <w:sz w:val="16"/>
                                      <w:szCs w:val="16"/>
                                    </w:rP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97" name="Straight Connector 197"/>
                            <wps:cNvCnPr/>
                            <wps:spPr>
                              <a:xfrm>
                                <a:off x="1248508" y="861646"/>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198" name="Rectangle 198"/>
                            <wps:cNvSpPr/>
                            <wps:spPr>
                              <a:xfrm>
                                <a:off x="861646" y="958363"/>
                                <a:ext cx="733425" cy="342899"/>
                              </a:xfrm>
                              <a:prstGeom prst="rect">
                                <a:avLst/>
                              </a:prstGeom>
                              <a:grpFill/>
                            </wps:spPr>
                            <wps:style>
                              <a:lnRef idx="2">
                                <a:schemeClr val="dk1"/>
                              </a:lnRef>
                              <a:fillRef idx="1">
                                <a:schemeClr val="lt1"/>
                              </a:fillRef>
                              <a:effectRef idx="0">
                                <a:schemeClr val="dk1"/>
                              </a:effectRef>
                              <a:fontRef idx="minor">
                                <a:schemeClr val="dk1"/>
                              </a:fontRef>
                            </wps:style>
                            <wps:txbx>
                              <w:txbxContent>
                                <w:p w14:paraId="02598F9A"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Ghost Employees</w:t>
                                  </w:r>
                                </w:p>
                                <w:p w14:paraId="40E6AD16" w14:textId="77777777" w:rsidR="00FE7438" w:rsidRDefault="00FE7438" w:rsidP="002E089B">
                                  <w:pPr>
                                    <w:pageBreakBefore/>
                                    <w:spacing w:line="240" w:lineRule="auto"/>
                                    <w:jc w:val="center"/>
                                    <w:rPr>
                                      <w:rFonts w:ascii="Times New Roman" w:hAnsi="Times New Roman"/>
                                      <w:sz w:val="16"/>
                                      <w:szCs w:val="16"/>
                                    </w:rP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99" name="Straight Connector 199"/>
                            <wps:cNvCnPr/>
                            <wps:spPr>
                              <a:xfrm>
                                <a:off x="1239716" y="1294344"/>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200" name="Rectangle 200"/>
                            <wps:cNvSpPr/>
                            <wps:spPr>
                              <a:xfrm>
                                <a:off x="852854" y="1371600"/>
                                <a:ext cx="733425" cy="31432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283D1E23"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Commission Schemes</w:t>
                                  </w:r>
                                </w:p>
                                <w:p w14:paraId="4BB9F410" w14:textId="77777777" w:rsidR="00FE7438" w:rsidRDefault="00FE7438" w:rsidP="002E089B">
                                  <w:pPr>
                                    <w:pageBreakBefore/>
                                    <w:spacing w:line="240" w:lineRule="auto"/>
                                    <w:jc w:val="center"/>
                                    <w:rPr>
                                      <w:rFonts w:ascii="Times New Roman" w:hAnsi="Times New Roman"/>
                                      <w:sz w:val="16"/>
                                      <w:szCs w:val="16"/>
                                    </w:rP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01" name="Straight Connector 201"/>
                            <wps:cNvCnPr/>
                            <wps:spPr>
                              <a:xfrm>
                                <a:off x="1239716" y="1696915"/>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202" name="Rectangle 202"/>
                            <wps:cNvSpPr/>
                            <wps:spPr>
                              <a:xfrm>
                                <a:off x="835270" y="1784839"/>
                                <a:ext cx="847725" cy="334107"/>
                              </a:xfrm>
                              <a:prstGeom prst="rect">
                                <a:avLst/>
                              </a:prstGeom>
                              <a:grpFill/>
                            </wps:spPr>
                            <wps:style>
                              <a:lnRef idx="2">
                                <a:schemeClr val="dk1"/>
                              </a:lnRef>
                              <a:fillRef idx="1">
                                <a:schemeClr val="lt1"/>
                              </a:fillRef>
                              <a:effectRef idx="0">
                                <a:schemeClr val="dk1"/>
                              </a:effectRef>
                              <a:fontRef idx="minor">
                                <a:schemeClr val="dk1"/>
                              </a:fontRef>
                            </wps:style>
                            <wps:txbx>
                              <w:txbxContent>
                                <w:p w14:paraId="7F3C57AB"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Workers Compensations</w:t>
                                  </w:r>
                                </w:p>
                                <w:p w14:paraId="48FC47FC" w14:textId="77777777" w:rsidR="00FE7438" w:rsidRDefault="00FE7438" w:rsidP="002E089B">
                                  <w:pPr>
                                    <w:pageBreakBefore/>
                                    <w:spacing w:line="240" w:lineRule="auto"/>
                                    <w:jc w:val="center"/>
                                    <w:rPr>
                                      <w:rFonts w:ascii="Times New Roman" w:hAnsi="Times New Roman"/>
                                      <w:sz w:val="16"/>
                                      <w:szCs w:val="16"/>
                                    </w:rP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03" name="Straight Connector 203"/>
                            <wps:cNvCnPr/>
                            <wps:spPr>
                              <a:xfrm>
                                <a:off x="1257300" y="2110154"/>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204" name="Rectangle 204"/>
                            <wps:cNvSpPr/>
                            <wps:spPr>
                              <a:xfrm>
                                <a:off x="861646" y="2206869"/>
                                <a:ext cx="771525" cy="342900"/>
                              </a:xfrm>
                              <a:prstGeom prst="rect">
                                <a:avLst/>
                              </a:prstGeom>
                              <a:grpFill/>
                            </wps:spPr>
                            <wps:style>
                              <a:lnRef idx="2">
                                <a:schemeClr val="dk1"/>
                              </a:lnRef>
                              <a:fillRef idx="1">
                                <a:schemeClr val="lt1"/>
                              </a:fillRef>
                              <a:effectRef idx="0">
                                <a:schemeClr val="dk1"/>
                              </a:effectRef>
                              <a:fontRef idx="minor">
                                <a:schemeClr val="dk1"/>
                              </a:fontRef>
                            </wps:style>
                            <wps:txbx>
                              <w:txbxContent>
                                <w:p w14:paraId="0A144F91"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Falsified Wages</w:t>
                                  </w:r>
                                </w:p>
                                <w:p w14:paraId="483D2E7D" w14:textId="77777777" w:rsidR="00FE7438" w:rsidRDefault="00FE7438" w:rsidP="002E089B">
                                  <w:pPr>
                                    <w:pageBreakBefore/>
                                    <w:spacing w:line="240" w:lineRule="auto"/>
                                    <w:jc w:val="center"/>
                                    <w:rPr>
                                      <w:rFonts w:ascii="Times New Roman" w:hAnsi="Times New Roman"/>
                                      <w:sz w:val="16"/>
                                      <w:szCs w:val="16"/>
                                    </w:rP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05" name="Straight Connector 205"/>
                            <wps:cNvCnPr/>
                            <wps:spPr>
                              <a:xfrm>
                                <a:off x="2224454" y="958362"/>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206" name="Rectangle 206"/>
                            <wps:cNvSpPr/>
                            <wps:spPr>
                              <a:xfrm>
                                <a:off x="1749670" y="1055077"/>
                                <a:ext cx="942975" cy="32531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5B5C0008"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Mischaracterized Expenses</w:t>
                                  </w:r>
                                </w:p>
                                <w:p w14:paraId="737A1D87" w14:textId="77777777" w:rsidR="00FE7438" w:rsidRDefault="00FE7438" w:rsidP="002E089B">
                                  <w:pPr>
                                    <w:pageBreakBefore/>
                                    <w:spacing w:line="240" w:lineRule="auto"/>
                                    <w:jc w:val="center"/>
                                    <w:rPr>
                                      <w:rFonts w:ascii="Times New Roman" w:hAnsi="Times New Roman"/>
                                      <w:sz w:val="16"/>
                                      <w:szCs w:val="16"/>
                                    </w:rP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07" name="Straight Connector 207"/>
                            <wps:cNvCnPr/>
                            <wps:spPr>
                              <a:xfrm>
                                <a:off x="2259623" y="1380392"/>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208" name="Rectangle 208"/>
                            <wps:cNvSpPr/>
                            <wps:spPr>
                              <a:xfrm>
                                <a:off x="1811216" y="1477108"/>
                                <a:ext cx="866775" cy="31432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572F397F"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Overstated Expenses</w:t>
                                  </w:r>
                                </w:p>
                                <w:p w14:paraId="49BDA07E" w14:textId="77777777" w:rsidR="00FE7438" w:rsidRDefault="00FE7438" w:rsidP="002E089B">
                                  <w:pPr>
                                    <w:pageBreakBefore/>
                                    <w:spacing w:line="240" w:lineRule="auto"/>
                                    <w:jc w:val="center"/>
                                    <w:rPr>
                                      <w:rFonts w:ascii="Times New Roman" w:hAnsi="Times New Roman"/>
                                      <w:sz w:val="16"/>
                                      <w:szCs w:val="16"/>
                                    </w:rP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09" name="Straight Connector 209"/>
                            <wps:cNvCnPr/>
                            <wps:spPr>
                              <a:xfrm>
                                <a:off x="2259623" y="1784839"/>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210" name="Rectangle 210"/>
                            <wps:cNvSpPr/>
                            <wps:spPr>
                              <a:xfrm>
                                <a:off x="1811168" y="1881518"/>
                                <a:ext cx="866775" cy="346384"/>
                              </a:xfrm>
                              <a:prstGeom prst="rect">
                                <a:avLst/>
                              </a:prstGeom>
                              <a:grpFill/>
                            </wps:spPr>
                            <wps:style>
                              <a:lnRef idx="2">
                                <a:schemeClr val="dk1"/>
                              </a:lnRef>
                              <a:fillRef idx="1">
                                <a:schemeClr val="lt1"/>
                              </a:fillRef>
                              <a:effectRef idx="0">
                                <a:schemeClr val="dk1"/>
                              </a:effectRef>
                              <a:fontRef idx="minor">
                                <a:schemeClr val="dk1"/>
                              </a:fontRef>
                            </wps:style>
                            <wps:txbx>
                              <w:txbxContent>
                                <w:p w14:paraId="6F9B3146"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Fictitious Expenses</w:t>
                                  </w:r>
                                </w:p>
                                <w:p w14:paraId="2FBE483C" w14:textId="77777777" w:rsidR="00FE7438" w:rsidRDefault="00FE7438" w:rsidP="002E089B">
                                  <w:pPr>
                                    <w:pageBreakBefore/>
                                    <w:spacing w:line="240" w:lineRule="auto"/>
                                    <w:jc w:val="center"/>
                                    <w:rPr>
                                      <w:rFonts w:ascii="Times New Roman" w:hAnsi="Times New Roman"/>
                                      <w:sz w:val="16"/>
                                      <w:szCs w:val="16"/>
                                    </w:rP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11" name="Straight Connector 211"/>
                            <wps:cNvCnPr/>
                            <wps:spPr>
                              <a:xfrm>
                                <a:off x="2250831" y="2208744"/>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212" name="Rectangle 212"/>
                            <wps:cNvSpPr/>
                            <wps:spPr>
                              <a:xfrm>
                                <a:off x="1802423" y="2286000"/>
                                <a:ext cx="866775" cy="31432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5F6A6370"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Multiple Reimbursements</w:t>
                                  </w:r>
                                </w:p>
                                <w:p w14:paraId="0F75A42B" w14:textId="77777777" w:rsidR="00FE7438" w:rsidRDefault="00FE7438" w:rsidP="002E089B">
                                  <w:pPr>
                                    <w:pageBreakBefore/>
                                    <w:spacing w:line="240" w:lineRule="auto"/>
                                    <w:jc w:val="center"/>
                                    <w:rPr>
                                      <w:rFonts w:ascii="Times New Roman" w:hAnsi="Times New Roman"/>
                                      <w:sz w:val="16"/>
                                      <w:szCs w:val="16"/>
                                    </w:rP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13" name="Straight Connector 213"/>
                            <wps:cNvCnPr/>
                            <wps:spPr>
                              <a:xfrm>
                                <a:off x="228600" y="448408"/>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214" name="Straight Connector 214"/>
                            <wps:cNvCnPr/>
                            <wps:spPr>
                              <a:xfrm>
                                <a:off x="3147646" y="870439"/>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215" name="Rectangle 215"/>
                            <wps:cNvSpPr/>
                            <wps:spPr>
                              <a:xfrm>
                                <a:off x="2804675" y="967123"/>
                                <a:ext cx="704850" cy="327187"/>
                              </a:xfrm>
                              <a:prstGeom prst="rect">
                                <a:avLst/>
                              </a:prstGeom>
                              <a:grpFill/>
                            </wps:spPr>
                            <wps:style>
                              <a:lnRef idx="2">
                                <a:schemeClr val="dk1"/>
                              </a:lnRef>
                              <a:fillRef idx="1">
                                <a:schemeClr val="lt1"/>
                              </a:fillRef>
                              <a:effectRef idx="0">
                                <a:schemeClr val="dk1"/>
                              </a:effectRef>
                              <a:fontRef idx="minor">
                                <a:schemeClr val="dk1"/>
                              </a:fontRef>
                            </wps:style>
                            <wps:txbx>
                              <w:txbxContent>
                                <w:p w14:paraId="254A7F59"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Forged Maker</w:t>
                                  </w:r>
                                </w:p>
                                <w:p w14:paraId="36043008" w14:textId="77777777" w:rsidR="00FE7438" w:rsidRDefault="00FE7438" w:rsidP="002E089B">
                                  <w:pPr>
                                    <w:pageBreakBefore/>
                                    <w:spacing w:line="240" w:lineRule="auto"/>
                                    <w:jc w:val="center"/>
                                    <w:rPr>
                                      <w:rFonts w:ascii="Times New Roman" w:hAnsi="Times New Roman"/>
                                      <w:sz w:val="16"/>
                                      <w:szCs w:val="16"/>
                                    </w:rP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16" name="Straight Connector 216"/>
                            <wps:cNvCnPr/>
                            <wps:spPr>
                              <a:xfrm>
                                <a:off x="3165231" y="1301262"/>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217" name="Rectangle 217"/>
                            <wps:cNvSpPr/>
                            <wps:spPr>
                              <a:xfrm>
                                <a:off x="2795954" y="1380392"/>
                                <a:ext cx="781050" cy="314325"/>
                              </a:xfrm>
                              <a:prstGeom prst="rect">
                                <a:avLst/>
                              </a:prstGeom>
                              <a:grpFill/>
                            </wps:spPr>
                            <wps:style>
                              <a:lnRef idx="2">
                                <a:schemeClr val="dk1"/>
                              </a:lnRef>
                              <a:fillRef idx="1">
                                <a:schemeClr val="lt1"/>
                              </a:fillRef>
                              <a:effectRef idx="0">
                                <a:schemeClr val="dk1"/>
                              </a:effectRef>
                              <a:fontRef idx="minor">
                                <a:schemeClr val="dk1"/>
                              </a:fontRef>
                            </wps:style>
                            <wps:txbx>
                              <w:txbxContent>
                                <w:p w14:paraId="537557B3"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Forged Endorsement</w:t>
                                  </w:r>
                                </w:p>
                                <w:p w14:paraId="57B24C5C" w14:textId="77777777" w:rsidR="00FE7438" w:rsidRDefault="00FE7438" w:rsidP="002E089B">
                                  <w:pPr>
                                    <w:pageBreakBefore/>
                                    <w:spacing w:line="240" w:lineRule="auto"/>
                                    <w:jc w:val="center"/>
                                    <w:rPr>
                                      <w:rFonts w:ascii="Times New Roman" w:hAnsi="Times New Roman"/>
                                      <w:sz w:val="16"/>
                                      <w:szCs w:val="16"/>
                                    </w:rP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18" name="Straight Connector 218"/>
                            <wps:cNvCnPr/>
                            <wps:spPr>
                              <a:xfrm>
                                <a:off x="3182816" y="1705708"/>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219" name="Rectangle 219"/>
                            <wps:cNvSpPr/>
                            <wps:spPr>
                              <a:xfrm>
                                <a:off x="2813539" y="1784839"/>
                                <a:ext cx="781050" cy="285750"/>
                              </a:xfrm>
                              <a:prstGeom prst="rect">
                                <a:avLst/>
                              </a:prstGeom>
                              <a:grpFill/>
                            </wps:spPr>
                            <wps:style>
                              <a:lnRef idx="2">
                                <a:schemeClr val="dk1"/>
                              </a:lnRef>
                              <a:fillRef idx="1">
                                <a:schemeClr val="lt1"/>
                              </a:fillRef>
                              <a:effectRef idx="0">
                                <a:schemeClr val="dk1"/>
                              </a:effectRef>
                              <a:fontRef idx="minor">
                                <a:schemeClr val="dk1"/>
                              </a:fontRef>
                            </wps:style>
                            <wps:txbx>
                              <w:txbxContent>
                                <w:p w14:paraId="1D00B19F"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Altered Payee</w:t>
                                  </w:r>
                                </w:p>
                                <w:p w14:paraId="3EAADF2D" w14:textId="77777777" w:rsidR="00FE7438" w:rsidRDefault="00FE7438" w:rsidP="002E089B">
                                  <w:pPr>
                                    <w:pageBreakBefore/>
                                    <w:spacing w:line="240" w:lineRule="auto"/>
                                    <w:jc w:val="center"/>
                                    <w:rPr>
                                      <w:rFonts w:ascii="Times New Roman" w:hAnsi="Times New Roman"/>
                                      <w:sz w:val="16"/>
                                      <w:szCs w:val="16"/>
                                    </w:rP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20" name="Straight Connector 220"/>
                            <wps:cNvCnPr/>
                            <wps:spPr>
                              <a:xfrm>
                                <a:off x="3174023" y="2066192"/>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221" name="Rectangle 221"/>
                            <wps:cNvSpPr/>
                            <wps:spPr>
                              <a:xfrm>
                                <a:off x="2804746" y="2145323"/>
                                <a:ext cx="781050" cy="316523"/>
                              </a:xfrm>
                              <a:prstGeom prst="rect">
                                <a:avLst/>
                              </a:prstGeom>
                              <a:grpFill/>
                            </wps:spPr>
                            <wps:style>
                              <a:lnRef idx="2">
                                <a:schemeClr val="dk1"/>
                              </a:lnRef>
                              <a:fillRef idx="1">
                                <a:schemeClr val="lt1"/>
                              </a:fillRef>
                              <a:effectRef idx="0">
                                <a:schemeClr val="dk1"/>
                              </a:effectRef>
                              <a:fontRef idx="minor">
                                <a:schemeClr val="dk1"/>
                              </a:fontRef>
                            </wps:style>
                            <wps:txbx>
                              <w:txbxContent>
                                <w:p w14:paraId="17519DCF"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Concealed Checks</w:t>
                                  </w:r>
                                </w:p>
                                <w:p w14:paraId="311FC666" w14:textId="77777777" w:rsidR="00FE7438" w:rsidRDefault="00FE7438" w:rsidP="002E089B">
                                  <w:pPr>
                                    <w:pageBreakBefore/>
                                    <w:spacing w:line="240" w:lineRule="auto"/>
                                    <w:jc w:val="center"/>
                                    <w:rPr>
                                      <w:rFonts w:ascii="Times New Roman" w:hAnsi="Times New Roman"/>
                                      <w:sz w:val="16"/>
                                      <w:szCs w:val="16"/>
                                    </w:rP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22" name="Straight Connector 222"/>
                            <wps:cNvCnPr/>
                            <wps:spPr>
                              <a:xfrm>
                                <a:off x="3156439" y="2444262"/>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223" name="Rectangle 223"/>
                            <wps:cNvSpPr/>
                            <wps:spPr>
                              <a:xfrm>
                                <a:off x="2778300" y="2540418"/>
                                <a:ext cx="781050" cy="329587"/>
                              </a:xfrm>
                              <a:prstGeom prst="rect">
                                <a:avLst/>
                              </a:prstGeom>
                              <a:grpFill/>
                            </wps:spPr>
                            <wps:style>
                              <a:lnRef idx="2">
                                <a:schemeClr val="dk1"/>
                              </a:lnRef>
                              <a:fillRef idx="1">
                                <a:schemeClr val="lt1"/>
                              </a:fillRef>
                              <a:effectRef idx="0">
                                <a:schemeClr val="dk1"/>
                              </a:effectRef>
                              <a:fontRef idx="minor">
                                <a:schemeClr val="dk1"/>
                              </a:fontRef>
                            </wps:style>
                            <wps:txbx>
                              <w:txbxContent>
                                <w:p w14:paraId="5E2765D1"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Authorized Maker</w:t>
                                  </w:r>
                                </w:p>
                                <w:p w14:paraId="2879E8C1" w14:textId="77777777" w:rsidR="00FE7438" w:rsidRDefault="00FE7438" w:rsidP="002E089B">
                                  <w:pPr>
                                    <w:pageBreakBefore/>
                                    <w:spacing w:line="240" w:lineRule="auto"/>
                                    <w:jc w:val="center"/>
                                    <w:rPr>
                                      <w:rFonts w:ascii="Times New Roman" w:hAnsi="Times New Roman"/>
                                      <w:sz w:val="16"/>
                                      <w:szCs w:val="16"/>
                                    </w:rP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24" name="Straight Connector 224"/>
                            <wps:cNvCnPr/>
                            <wps:spPr>
                              <a:xfrm>
                                <a:off x="4193931" y="861646"/>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225" name="Rectangle 225"/>
                            <wps:cNvSpPr/>
                            <wps:spPr>
                              <a:xfrm>
                                <a:off x="3824654" y="949569"/>
                                <a:ext cx="781050" cy="304800"/>
                              </a:xfrm>
                              <a:prstGeom prst="rect">
                                <a:avLst/>
                              </a:prstGeom>
                              <a:grpFill/>
                            </wps:spPr>
                            <wps:style>
                              <a:lnRef idx="2">
                                <a:schemeClr val="dk1"/>
                              </a:lnRef>
                              <a:fillRef idx="1">
                                <a:schemeClr val="lt1"/>
                              </a:fillRef>
                              <a:effectRef idx="0">
                                <a:schemeClr val="dk1"/>
                              </a:effectRef>
                              <a:fontRef idx="minor">
                                <a:schemeClr val="dk1"/>
                              </a:fontRef>
                            </wps:style>
                            <wps:txbx>
                              <w:txbxContent>
                                <w:p w14:paraId="0BBDC546"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False Voids</w:t>
                                  </w:r>
                                </w:p>
                                <w:p w14:paraId="0A45CBE0" w14:textId="77777777" w:rsidR="00FE7438" w:rsidRDefault="00FE7438" w:rsidP="002E089B">
                                  <w:pPr>
                                    <w:pageBreakBefore/>
                                    <w:spacing w:line="240" w:lineRule="auto"/>
                                    <w:jc w:val="center"/>
                                    <w:rPr>
                                      <w:rFonts w:ascii="Times New Roman" w:hAnsi="Times New Roman"/>
                                      <w:sz w:val="16"/>
                                      <w:szCs w:val="16"/>
                                    </w:rP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26" name="Straight Connector 226"/>
                            <wps:cNvCnPr/>
                            <wps:spPr>
                              <a:xfrm>
                                <a:off x="4211516" y="1257300"/>
                                <a:ext cx="0" cy="85725"/>
                              </a:xfrm>
                              <a:prstGeom prst="line">
                                <a:avLst/>
                              </a:prstGeom>
                              <a:grpFill/>
                            </wps:spPr>
                            <wps:style>
                              <a:lnRef idx="1">
                                <a:schemeClr val="dk1"/>
                              </a:lnRef>
                              <a:fillRef idx="0">
                                <a:schemeClr val="dk1"/>
                              </a:fillRef>
                              <a:effectRef idx="0">
                                <a:schemeClr val="dk1"/>
                              </a:effectRef>
                              <a:fontRef idx="minor">
                                <a:schemeClr val="tx1"/>
                              </a:fontRef>
                            </wps:style>
                            <wps:bodyPr/>
                          </wps:wsp>
                          <wps:wsp>
                            <wps:cNvPr id="227" name="Rectangle 227"/>
                            <wps:cNvSpPr/>
                            <wps:spPr>
                              <a:xfrm>
                                <a:off x="3842239" y="1345223"/>
                                <a:ext cx="781050" cy="304800"/>
                              </a:xfrm>
                              <a:prstGeom prst="rect">
                                <a:avLst/>
                              </a:prstGeom>
                              <a:grpFill/>
                            </wps:spPr>
                            <wps:style>
                              <a:lnRef idx="2">
                                <a:schemeClr val="dk1"/>
                              </a:lnRef>
                              <a:fillRef idx="1">
                                <a:schemeClr val="lt1"/>
                              </a:fillRef>
                              <a:effectRef idx="0">
                                <a:schemeClr val="dk1"/>
                              </a:effectRef>
                              <a:fontRef idx="minor">
                                <a:schemeClr val="dk1"/>
                              </a:fontRef>
                            </wps:style>
                            <wps:txbx>
                              <w:txbxContent>
                                <w:p w14:paraId="656F177C"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False Refund</w:t>
                                  </w:r>
                                </w:p>
                                <w:p w14:paraId="71E4F019" w14:textId="77777777" w:rsidR="00FE7438" w:rsidRDefault="00FE7438" w:rsidP="002E089B">
                                  <w:pPr>
                                    <w:pageBreakBefore/>
                                    <w:spacing w:line="240" w:lineRule="auto"/>
                                    <w:jc w:val="center"/>
                                    <w:rPr>
                                      <w:rFonts w:ascii="Times New Roman" w:hAnsi="Times New Roman"/>
                                      <w:sz w:val="16"/>
                                      <w:szCs w:val="16"/>
                                    </w:rPr>
                                  </w:pPr>
                                </w:p>
                              </w:txbxContent>
                            </wps:txbx>
                            <wps:bodyPr rot="0" spcFirstLastPara="0" vertOverflow="overflow" horzOverflow="overflow" vert="horz" wrap="square" lIns="91440" tIns="45720" rIns="91440" bIns="45720" numCol="1" spcCol="0" rtlCol="0" fromWordArt="0" anchor="ctr" anchorCtr="0" forceAA="0" compatLnSpc="1">
                              <a:noAutofit/>
                            </wps:bodyPr>
                          </wps:wsp>
                        </wpg:grpSp>
                      </wpg:grpSp>
                      <wps:wsp>
                        <wps:cNvPr id="30" name="Text Box 2"/>
                        <wps:cNvSpPr txBox="1">
                          <a:spLocks noChangeArrowheads="1"/>
                        </wps:cNvSpPr>
                        <wps:spPr bwMode="auto">
                          <a:xfrm>
                            <a:off x="78377" y="0"/>
                            <a:ext cx="5688696" cy="564316"/>
                          </a:xfrm>
                          <a:prstGeom prst="rect">
                            <a:avLst/>
                          </a:prstGeom>
                          <a:solidFill>
                            <a:srgbClr val="FFFFFF"/>
                          </a:solidFill>
                          <a:ln w="9525">
                            <a:noFill/>
                            <a:miter lim="800000"/>
                            <a:headEnd/>
                            <a:tailEnd/>
                          </a:ln>
                        </wps:spPr>
                        <wps:txbx>
                          <w:txbxContent>
                            <w:p w14:paraId="58AA52A1" w14:textId="26547CE6" w:rsidR="00FE7438" w:rsidRPr="00263773" w:rsidRDefault="00FE7438" w:rsidP="008742C6">
                              <w:pPr>
                                <w:spacing w:after="0" w:line="360" w:lineRule="auto"/>
                                <w:jc w:val="both"/>
                                <w:rPr>
                                  <w:rFonts w:ascii="Times New Roman" w:eastAsia="Calibri" w:hAnsi="Times New Roman"/>
                                  <w:sz w:val="24"/>
                                  <w:szCs w:val="24"/>
                                </w:rPr>
                              </w:pPr>
                              <w:r w:rsidRPr="000B5622">
                                <w:rPr>
                                  <w:rFonts w:ascii="Times New Roman" w:eastAsia="Calibri" w:hAnsi="Times New Roman"/>
                                  <w:bCs/>
                                  <w:sz w:val="24"/>
                                  <w:szCs w:val="24"/>
                                </w:rPr>
                                <w:t xml:space="preserve">Under these branches, there is different individual fraud schemes grouped in subcategories and called “The Fraud Tree” (Figure </w:t>
                              </w:r>
                              <w:r>
                                <w:rPr>
                                  <w:rFonts w:ascii="Times New Roman" w:eastAsia="Calibri" w:hAnsi="Times New Roman"/>
                                  <w:bCs/>
                                  <w:sz w:val="24"/>
                                  <w:szCs w:val="24"/>
                                </w:rPr>
                                <w:t>2.1).</w:t>
                              </w:r>
                            </w:p>
                            <w:p w14:paraId="500C2E37" w14:textId="19E94DA5" w:rsidR="00FE7438" w:rsidRDefault="00FE7438"/>
                          </w:txbxContent>
                        </wps:txbx>
                        <wps:bodyPr rot="0" vert="horz" wrap="square" lIns="91440" tIns="45720" rIns="91440" bIns="45720" anchor="t" anchorCtr="0">
                          <a:noAutofit/>
                        </wps:bodyPr>
                      </wps:wsp>
                    </wpg:wg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EF19487" id="Group 31" o:spid="_x0000_s1026" style="position:absolute;left:0;text-align:left;margin-left:-13.3pt;margin-top:0;width:459pt;height:667.65pt;z-index:251701760" coordsize="58293,847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">
                <v:group id="_x0000_s1027" style="position:absolute;top:5799;width:58293;height:78994" coordsize="57976,795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">
                  <v:rect id="Rectangle 10" o:spid="_x0000_s1028" style="position:absolute;left:1264;top:680;width:11906;height:38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" filled="f" strokecolor="black [3200]" strokeweight="1pt">
                    <v:textbox>
                      <w:txbxContent>
                        <w:p w14:paraId="29E90EAB" w14:textId="77777777" w:rsidR="00FE7438" w:rsidRDefault="00FE7438" w:rsidP="002E089B">
                          <w:pPr>
                            <w:pageBreakBefore/>
                            <w:jc w:val="center"/>
                            <w:rPr>
                              <w:rFonts w:ascii="Times New Roman" w:hAnsi="Times New Roman"/>
                              <w:b/>
                              <w:sz w:val="20"/>
                              <w:szCs w:val="20"/>
                            </w:rPr>
                          </w:pPr>
                          <w:r>
                            <w:rPr>
                              <w:rFonts w:ascii="Times New Roman" w:hAnsi="Times New Roman"/>
                              <w:b/>
                              <w:sz w:val="20"/>
                              <w:szCs w:val="20"/>
                            </w:rPr>
                            <w:t>Corruption</w:t>
                          </w:r>
                        </w:p>
                      </w:txbxContent>
                    </v:textbox>
                  </v:rect>
                  <v:rect id="Rectangle 11" o:spid="_x0000_s1029" style="position:absolute;left:44455;width:11906;height:39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" filled="f" strokecolor="black [3200]" strokeweight="1pt">
                    <v:textbox>
                      <w:txbxContent>
                        <w:p w14:paraId="17260589" w14:textId="77777777" w:rsidR="00FE7438" w:rsidRDefault="00FE7438" w:rsidP="002E089B">
                          <w:pPr>
                            <w:pageBreakBefore/>
                            <w:spacing w:line="240" w:lineRule="auto"/>
                            <w:jc w:val="center"/>
                            <w:rPr>
                              <w:rFonts w:ascii="Times New Roman" w:hAnsi="Times New Roman"/>
                              <w:b/>
                              <w:sz w:val="20"/>
                              <w:szCs w:val="20"/>
                            </w:rPr>
                          </w:pPr>
                          <w:r>
                            <w:rPr>
                              <w:rFonts w:ascii="Times New Roman" w:hAnsi="Times New Roman"/>
                              <w:b/>
                              <w:sz w:val="20"/>
                              <w:szCs w:val="20"/>
                            </w:rPr>
                            <w:t>Fraudulent Statements</w:t>
                          </w:r>
                        </w:p>
                      </w:txbxContent>
                    </v:textbox>
                  </v:rect>
                  <v:rect id="Rectangle 12" o:spid="_x0000_s1030" style="position:absolute;left:24416;top:237;width:12668;height:41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" filled="f" strokecolor="black [3200]" strokeweight="1pt">
                    <v:textbox>
                      <w:txbxContent>
                        <w:p w14:paraId="5DD4A5CD" w14:textId="77777777" w:rsidR="00FE7438" w:rsidRDefault="00FE7438" w:rsidP="002E089B">
                          <w:pPr>
                            <w:pageBreakBefore/>
                            <w:spacing w:line="240" w:lineRule="auto"/>
                            <w:jc w:val="center"/>
                            <w:rPr>
                              <w:rFonts w:ascii="Times New Roman" w:hAnsi="Times New Roman"/>
                              <w:b/>
                              <w:sz w:val="20"/>
                              <w:szCs w:val="20"/>
                            </w:rPr>
                          </w:pPr>
                          <w:r>
                            <w:rPr>
                              <w:rFonts w:ascii="Times New Roman" w:hAnsi="Times New Roman"/>
                              <w:b/>
                              <w:sz w:val="20"/>
                              <w:szCs w:val="20"/>
                            </w:rPr>
                            <w:t>Asset Misappropriation</w:t>
                          </w:r>
                        </w:p>
                      </w:txbxContent>
                    </v:textbox>
                  </v:rect>
                  <v:line id="Straight Connector 13" o:spid="_x0000_s1031" style="position:absolute;visibility:visible;mso-wrap-style:square" from="13326,2626" to="24280,27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" strokecolor="black [3200]" strokeweight=".5pt">
                    <v:stroke joinstyle="miter"/>
                  </v:line>
                  <v:line id="Straight Connector 14" o:spid="_x0000_s1032" style="position:absolute;visibility:visible;mso-wrap-style:square" from="37354,2529" to="44289,26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" strokecolor="black [3200]" strokeweight=".5pt">
                    <v:stroke joinstyle="miter"/>
                  </v:line>
                  <v:line id="Straight Connector 15" o:spid="_x0000_s1033" style="position:absolute;visibility:visible;mso-wrap-style:square" from="50097,3988" to="50097,53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" strokecolor="black [3200]" strokeweight=".5pt">
                    <v:stroke joinstyle="miter"/>
                  </v:line>
                  <v:line id="Straight Connector 16" o:spid="_x0000_s1034" style="position:absolute;visibility:visible;mso-wrap-style:square" from="40564,5155" to="54571,53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" strokecolor="black [3200]" strokeweight=".5pt">
                    <v:stroke joinstyle="miter"/>
                  </v:line>
                  <v:group id="Group 17" o:spid="_x0000_s1035" style="position:absolute;left:50000;top:5447;width:7976;height:17698" coordsize="7976,176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line id="Straight Connector 18" o:spid="_x0000_s1036" style="position:absolute;visibility:visible;mso-wrap-style:square" from="4474,0" to="4474,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" strokecolor="black [3200]" strokeweight=".5pt">
                      <v:stroke joinstyle="miter"/>
                    </v:line>
                    <v:rect id="Rectangle 19" o:spid="_x0000_s1037" style="position:absolute;left:389;top:875;width:7239;height:32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" filled="f" strokecolor="black [3200]" strokeweight="1pt">
                      <v:textbox>
                        <w:txbxContent>
                          <w:p w14:paraId="3665257A"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Non-Financial</w:t>
                            </w:r>
                          </w:p>
                        </w:txbxContent>
                      </v:textbox>
                    </v:rect>
                    <v:line id="Straight Connector 20" o:spid="_x0000_s1038" style="position:absolute;visibility:visible;mso-wrap-style:square" from="4085,3988" to="4085,53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" strokecolor="black [3200]" strokeweight=".5pt">
                      <v:stroke joinstyle="miter"/>
                    </v:line>
                    <v:rect id="Rectangle 21" o:spid="_x0000_s1039" style="position:absolute;top:5154;width:7725;height:33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" filled="f" strokecolor="black [3200]" strokeweight="1pt">
                      <v:textbox>
                        <w:txbxContent>
                          <w:p w14:paraId="0FDBEC92"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Employment Credentials</w:t>
                            </w:r>
                          </w:p>
                        </w:txbxContent>
                      </v:textbox>
                    </v:rect>
                    <v:line id="Straight Connector 22" o:spid="_x0000_s1040" style="position:absolute;visibility:visible;mso-wrap-style:square" from="4572,8560" to="4572,98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" strokecolor="black [3200]" strokeweight=".5pt">
                      <v:stroke joinstyle="miter"/>
                    </v:line>
                    <v:rect id="Rectangle 23" o:spid="_x0000_s1041" style="position:absolute;left:194;top:9822;width:7685;height:33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" filled="f" strokecolor="black [3200]" strokeweight="1pt">
                      <v:textbox>
                        <w:txbxContent>
                          <w:p w14:paraId="0025CBE2"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Internal Documents</w:t>
                            </w:r>
                          </w:p>
                        </w:txbxContent>
                      </v:textbox>
                    </v:rect>
                    <v:line id="Straight Connector 34" o:spid="_x0000_s1042" style="position:absolute;visibility:visible;mso-wrap-style:square" from="4669,13229" to="4669,14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" strokecolor="black [3200]" strokeweight=".5pt">
                      <v:stroke joinstyle="miter"/>
                    </v:line>
                    <v:rect id="Rectangle 35" o:spid="_x0000_s1043" style="position:absolute;left:291;top:14199;width:7685;height:34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" filled="f" strokecolor="black [3200]" strokeweight="1pt">
                      <v:textbox>
                        <w:txbxContent>
                          <w:p w14:paraId="5FBD13CF"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External Documents</w:t>
                            </w:r>
                          </w:p>
                        </w:txbxContent>
                      </v:textbox>
                    </v:rect>
                  </v:group>
                  <v:group id="Group 86" o:spid="_x0000_s1044" style="position:absolute;left:31128;top:5252;width:17911;height:29183" coordsize="17911,291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">
                    <v:line id="Straight Connector 87" o:spid="_x0000_s1045" style="position:absolute;visibility:visible;mso-wrap-style:square" from="9533,0" to="9533,8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" strokecolor="black [3200]" strokeweight=".5pt">
                      <v:stroke joinstyle="miter"/>
                    </v:line>
                    <v:rect id="Rectangle 88" o:spid="_x0000_s1046" style="position:absolute;left:6809;top:875;width:6763;height:2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" filled="f" strokecolor="black [3200]" strokeweight="1pt">
                      <v:textbox>
                        <w:txbxContent>
                          <w:p w14:paraId="71840666" w14:textId="77777777" w:rsidR="00FE7438" w:rsidRDefault="00FE7438" w:rsidP="002E089B">
                            <w:pPr>
                              <w:pageBreakBefore/>
                              <w:jc w:val="center"/>
                              <w:rPr>
                                <w:rFonts w:ascii="Times New Roman" w:hAnsi="Times New Roman"/>
                                <w:sz w:val="16"/>
                                <w:szCs w:val="16"/>
                              </w:rPr>
                            </w:pPr>
                            <w:r>
                              <w:rPr>
                                <w:rFonts w:ascii="Times New Roman" w:hAnsi="Times New Roman"/>
                                <w:sz w:val="16"/>
                                <w:szCs w:val="16"/>
                              </w:rPr>
                              <w:t>Financial</w:t>
                            </w:r>
                          </w:p>
                        </w:txbxContent>
                      </v:textbox>
                    </v:rect>
                    <v:line id="Straight Connector 89" o:spid="_x0000_s1047" style="position:absolute;visibility:visible;mso-wrap-style:square" from="9727,2918" to="9727,39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" strokecolor="black [3200]" strokeweight=".5pt">
                      <v:stroke joinstyle="miter"/>
                    </v:line>
                    <v:line id="Straight Connector 90" o:spid="_x0000_s1048" style="position:absolute;visibility:visible;mso-wrap-style:square" from="5350,3891" to="13351,3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" strokecolor="black [3200]" strokeweight=".5pt">
                      <v:stroke joinstyle="miter"/>
                    </v:line>
                    <v:line id="Straight Connector 91" o:spid="_x0000_s1049" style="position:absolute;visibility:visible;mso-wrap-style:square" from="13326,3988" to="13326,51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" strokecolor="black [3200]" strokeweight=".5pt">
                      <v:stroke joinstyle="miter"/>
                    </v:line>
                    <v:line id="Straight Connector 92" o:spid="_x0000_s1050" style="position:absolute;visibility:visible;mso-wrap-style:square" from="5350,3988" to="5350,4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" strokecolor="black [3200]" strokeweight=".5pt">
                      <v:stroke joinstyle="miter"/>
                    </v:line>
                    <v:rect id="Rectangle 93" o:spid="_x0000_s1051" style="position:absolute;top:4863;width:8572;height:33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" filled="f" strokecolor="black [3200]" strokeweight="1pt">
                      <v:textbox>
                        <w:txbxContent>
                          <w:p w14:paraId="38B782D4"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Asset/Revenue Overstatement</w:t>
                            </w:r>
                          </w:p>
                        </w:txbxContent>
                      </v:textbox>
                    </v:rect>
                    <v:rect id="Rectangle 94" o:spid="_x0000_s1052" style="position:absolute;left:9338;top:5252;width:8573;height:31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" filled="f" strokecolor="black [3200]" strokeweight="1pt">
                      <v:textbox>
                        <w:txbxContent>
                          <w:p w14:paraId="1C1C8D44"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 xml:space="preserve">Asset/ Revenue Understatement </w:t>
                            </w:r>
                          </w:p>
                        </w:txbxContent>
                      </v:textbox>
                    </v:rect>
                    <v:rect id="Rectangle 95" o:spid="_x0000_s1053" style="position:absolute;left:1070;top:8949;width:7239;height:32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" filled="f" strokecolor="black [3200]" strokeweight="1pt">
                      <v:textbox>
                        <w:txbxContent>
                          <w:p w14:paraId="33FF2585"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Timing Differences</w:t>
                            </w:r>
                          </w:p>
                        </w:txbxContent>
                      </v:textbox>
                    </v:rect>
                    <v:line id="Straight Connector 96" o:spid="_x0000_s1054" style="position:absolute;visibility:visible;mso-wrap-style:square" from="4766,8171" to="4766,8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" strokecolor="black [3200]" strokeweight=".5pt">
                      <v:stroke joinstyle="miter"/>
                    </v:line>
                    <v:rect id="Rectangle 97" o:spid="_x0000_s1055" style="position:absolute;left:1167;top:13035;width:7239;height:31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" filled="f" strokecolor="black [3200]" strokeweight="1pt">
                      <v:textbox>
                        <w:txbxContent>
                          <w:p w14:paraId="1D76660E"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Fictitious Revenues</w:t>
                            </w:r>
                          </w:p>
                        </w:txbxContent>
                      </v:textbox>
                    </v:rect>
                    <v:line id="Straight Connector 98" o:spid="_x0000_s1056" style="position:absolute;visibility:visible;mso-wrap-style:square" from="4766,12159" to="4766,130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" strokecolor="black [3200]" strokeweight=".5pt">
                      <v:stroke joinstyle="miter"/>
                    </v:line>
                    <v:rect id="Rectangle 99" o:spid="_x0000_s1057" style="position:absolute;left:1264;top:17023;width:7239;height:31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" filled="f" strokecolor="black [3200]" strokeweight="1pt">
                      <v:textbox>
                        <w:txbxContent>
                          <w:p w14:paraId="48A105E1"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Concealed Liabilities</w:t>
                            </w:r>
                          </w:p>
                        </w:txbxContent>
                      </v:textbox>
                    </v:rect>
                    <v:line id="Straight Connector 100" o:spid="_x0000_s1058" style="position:absolute;visibility:visible;mso-wrap-style:square" from="4863,16147" to="4863,170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" strokecolor="black [3200]" strokeweight=".5pt">
                      <v:stroke joinstyle="miter"/>
                    </v:line>
                    <v:rect id="Rectangle 101" o:spid="_x0000_s1059" style="position:absolute;left:1361;top:20914;width:7239;height:31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" filled="f" strokecolor="black [3200]" strokeweight="1pt">
                      <v:textbox>
                        <w:txbxContent>
                          <w:p w14:paraId="0666DCCE"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Improper Disclosures</w:t>
                            </w:r>
                          </w:p>
                        </w:txbxContent>
                      </v:textbox>
                    </v:rect>
                    <v:line id="Straight Connector 102" o:spid="_x0000_s1060" style="position:absolute;visibility:visible;mso-wrap-style:square" from="4961,20233" to="4961,209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" strokecolor="black [3200]" strokeweight=".5pt">
                      <v:stroke joinstyle="miter"/>
                    </v:line>
                    <v:rect id="Rectangle 103" o:spid="_x0000_s1061" style="position:absolute;left:1459;top:24805;width:7239;height:43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" filled="f" strokecolor="black [3200]" strokeweight="1pt">
                      <v:textbox>
                        <w:txbxContent>
                          <w:p w14:paraId="0B85A339"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Improper Asset Valuation</w:t>
                            </w:r>
                          </w:p>
                        </w:txbxContent>
                      </v:textbox>
                    </v:rect>
                    <v:line id="Straight Connector 104" o:spid="_x0000_s1062" style="position:absolute;visibility:visible;mso-wrap-style:square" from="5058,23930" to="5058,248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" strokecolor="black [3200]" strokeweight=".5pt">
                      <v:stroke joinstyle="miter"/>
                    </v:line>
                  </v:group>
                  <v:group id="Group 105" o:spid="_x0000_s1063" style="position:absolute;top:4669;width:28841;height:17697" coordsize="28844,1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">
                    <v:line id="Straight Connector 106" o:spid="_x0000_s1064" style="position:absolute;visibility:visible;mso-wrap-style:square" from="8365,0" to="8365,2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" strokecolor="black [3200]" strokeweight=".5pt">
                      <v:stroke joinstyle="miter"/>
                    </v:line>
                    <v:line id="Straight Connector 107" o:spid="_x0000_s1065" style="position:absolute;visibility:visible;mso-wrap-style:square" from="2529,1167" to="25865,1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" strokecolor="black [3200]" strokeweight=".5pt">
                      <v:stroke joinstyle="miter"/>
                    </v:line>
                    <v:line id="Straight Connector 108" o:spid="_x0000_s1066" style="position:absolute;visibility:visible;mso-wrap-style:square" from="2529,1264" to="2529,24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" strokecolor="black [3200]" strokeweight=".5pt">
                      <v:stroke joinstyle="miter"/>
                    </v:line>
                    <v:line id="Straight Connector 109" o:spid="_x0000_s1067" style="position:absolute;visibility:visible;mso-wrap-style:square" from="18093,1459" to="18093,26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" strokecolor="black [3200]" strokeweight=".5pt">
                      <v:stroke joinstyle="miter"/>
                    </v:line>
                    <v:line id="Straight Connector 110" o:spid="_x0000_s1068" style="position:absolute;visibility:visible;mso-wrap-style:square" from="25681,1556" to="25681,26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" strokecolor="black [3200]" strokeweight=".5pt">
                      <v:stroke joinstyle="miter"/>
                    </v:line>
                    <v:rect id="Rectangle 111" o:spid="_x0000_s1069" style="position:absolute;left:97;top:2334;width:6763;height:32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" filled="f" strokecolor="black [3200]" strokeweight="1pt">
                      <v:textbox>
                        <w:txbxContent>
                          <w:p w14:paraId="6B601C73"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Conflicts of Interest</w:t>
                            </w:r>
                          </w:p>
                        </w:txbxContent>
                      </v:textbox>
                    </v:rect>
                    <v:rect id="Rectangle 112" o:spid="_x0000_s1070" style="position:absolute;left:7393;top:2431;width:6762;height:2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" filled="f" strokecolor="black [3200]" strokeweight="1pt">
                      <v:textbox>
                        <w:txbxContent>
                          <w:p w14:paraId="18935FA0" w14:textId="77777777" w:rsidR="00FE7438" w:rsidRDefault="00FE7438" w:rsidP="002E089B">
                            <w:pPr>
                              <w:pageBreakBefore/>
                              <w:jc w:val="center"/>
                              <w:rPr>
                                <w:rFonts w:ascii="Times New Roman" w:hAnsi="Times New Roman"/>
                                <w:sz w:val="16"/>
                                <w:szCs w:val="16"/>
                              </w:rPr>
                            </w:pPr>
                            <w:r>
                              <w:rPr>
                                <w:rFonts w:ascii="Times New Roman" w:hAnsi="Times New Roman"/>
                                <w:sz w:val="16"/>
                                <w:szCs w:val="16"/>
                              </w:rPr>
                              <w:t>Bribery</w:t>
                            </w:r>
                          </w:p>
                        </w:txbxContent>
                      </v:textbox>
                    </v:rect>
                    <v:rect id="Rectangle 113" o:spid="_x0000_s1071" style="position:absolute;left:14786;top:2529;width:6762;height:34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" filled="f" strokecolor="black [3200]" strokeweight="1pt">
                      <v:textbox>
                        <w:txbxContent>
                          <w:p w14:paraId="6264FC78" w14:textId="77777777" w:rsidR="00FE7438" w:rsidRDefault="00FE7438" w:rsidP="002E089B">
                            <w:pPr>
                              <w:pageBreakBefore/>
                              <w:jc w:val="center"/>
                              <w:rPr>
                                <w:rFonts w:ascii="Times New Roman" w:hAnsi="Times New Roman"/>
                                <w:sz w:val="16"/>
                                <w:szCs w:val="16"/>
                              </w:rPr>
                            </w:pPr>
                            <w:r>
                              <w:rPr>
                                <w:rFonts w:ascii="Times New Roman" w:hAnsi="Times New Roman"/>
                                <w:sz w:val="16"/>
                                <w:szCs w:val="16"/>
                              </w:rPr>
                              <w:t>Illegal Gratuities</w:t>
                            </w:r>
                          </w:p>
                        </w:txbxContent>
                      </v:textbox>
                    </v:rect>
                    <v:rect id="Rectangle 114" o:spid="_x0000_s1072" style="position:absolute;left:22081;top:2529;width:6763;height:34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" filled="f" strokecolor="black [3200]" strokeweight="1pt">
                      <v:textbox>
                        <w:txbxContent>
                          <w:p w14:paraId="602FE3DC"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Economic Extortion</w:t>
                            </w:r>
                          </w:p>
                        </w:txbxContent>
                      </v:textbox>
                    </v:rect>
                    <v:line id="Straight Connector 115" o:spid="_x0000_s1073" style="position:absolute;visibility:visible;mso-wrap-style:square" from="3307,5544" to="3307,68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" strokecolor="black [3200]" strokeweight=".5pt">
                      <v:stroke joinstyle="miter"/>
                    </v:line>
                    <v:line id="Straight Connector 116" o:spid="_x0000_s1074" style="position:absolute;visibility:visible;mso-wrap-style:square" from="10894,5252" to="10894,67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" strokecolor="black [3200]" strokeweight=".5pt">
                      <v:stroke joinstyle="miter"/>
                    </v:line>
                    <v:rect id="Rectangle 117" o:spid="_x0000_s1075" style="position:absolute;top:6905;width:6762;height:32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" filled="f" strokecolor="black [3200]" strokeweight="1pt">
                      <v:textbox>
                        <w:txbxContent>
                          <w:p w14:paraId="07E2318A"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Purchase Schemes</w:t>
                            </w:r>
                          </w:p>
                        </w:txbxContent>
                      </v:textbox>
                    </v:rect>
                    <v:rect id="Rectangle 118" o:spid="_x0000_s1076" style="position:absolute;left:7587;top:6614;width:6763;height:32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" filled="f" strokecolor="black [3200]" strokeweight="1pt">
                      <v:textbox>
                        <w:txbxContent>
                          <w:p w14:paraId="261CE31E"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Invoice Kickbacks</w:t>
                            </w:r>
                          </w:p>
                        </w:txbxContent>
                      </v:textbox>
                    </v:rect>
                    <v:line id="Straight Connector 119" o:spid="_x0000_s1077" style="position:absolute;visibility:visible;mso-wrap-style:square" from="3404,10019" to="3404,11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" strokecolor="black [3200]" strokeweight=".5pt">
                      <v:stroke joinstyle="miter"/>
                    </v:line>
                    <v:rect id="Rectangle 120" o:spid="_x0000_s1078" style="position:absolute;left:97;top:10992;width:6763;height:32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" filled="f" strokecolor="black [3200]" strokeweight="1pt">
                      <v:textbox>
                        <w:txbxContent>
                          <w:p w14:paraId="1C562AAD"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Sales Schemes</w:t>
                            </w:r>
                          </w:p>
                        </w:txbxContent>
                      </v:textbox>
                    </v:rect>
                    <v:line id="Straight Connector 121" o:spid="_x0000_s1079" style="position:absolute;visibility:visible;mso-wrap-style:square" from="10992,9824" to="10992,108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" strokecolor="black [3200]" strokeweight=".5pt">
                      <v:stroke joinstyle="miter"/>
                    </v:line>
                    <v:rect id="Rectangle 122" o:spid="_x0000_s1080" style="position:absolute;left:7684;top:10797;width:6763;height:3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" filled="f" strokecolor="black [3200]" strokeweight="1pt">
                      <v:textbox>
                        <w:txbxContent>
                          <w:p w14:paraId="6A3091CB"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Bid Rigging</w:t>
                            </w:r>
                          </w:p>
                        </w:txbxContent>
                      </v:textbox>
                    </v:rect>
                    <v:line id="Straight Connector 123" o:spid="_x0000_s1081" style="position:absolute;visibility:visible;mso-wrap-style:square" from="3404,14396" to="3404,154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" strokecolor="black [3200]" strokeweight=".5pt">
                      <v:stroke joinstyle="miter"/>
                    </v:line>
                    <v:rect id="Rectangle 124" o:spid="_x0000_s1082" style="position:absolute;left:97;top:15369;width:6763;height:23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" filled="f" strokecolor="black [3200]" strokeweight="1pt">
                      <v:textbox>
                        <w:txbxContent>
                          <w:p w14:paraId="50B8511F"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Other</w:t>
                            </w:r>
                          </w:p>
                        </w:txbxContent>
                      </v:textbox>
                    </v:rect>
                    <v:line id="Straight Connector 125" o:spid="_x0000_s1083" style="position:absolute;visibility:visible;mso-wrap-style:square" from="11089,14202" to="11089,15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" strokecolor="black [3200]" strokeweight=".5pt">
                      <v:stroke joinstyle="miter"/>
                    </v:line>
                    <v:rect id="Rectangle 126" o:spid="_x0000_s1084" style="position:absolute;left:7782;top:15369;width:6762;height:2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" filled="f" strokecolor="black [3200]" strokeweight="1pt">
                      <v:textbox>
                        <w:txbxContent>
                          <w:p w14:paraId="6BA2606F"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Other</w:t>
                            </w:r>
                          </w:p>
                        </w:txbxContent>
                      </v:textbox>
                    </v:rect>
                  </v:group>
                  <v:line id="Straight Connector 127" o:spid="_x0000_s1085" style="position:absolute;visibility:visible;mso-wrap-style:square" from="14786,34922" to="46012,349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" strokecolor="black [3200]" strokeweight=".5pt">
                    <v:stroke joinstyle="miter"/>
                  </v:line>
                  <v:line id="Straight Connector 128" o:spid="_x0000_s1086" style="position:absolute;visibility:visible;mso-wrap-style:square" from="29863,4374" to="29863,349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" strokecolor="black [3200]" strokeweight=".5pt">
                    <v:stroke joinstyle="miter"/>
                  </v:line>
                  <v:rect id="Rectangle 129" o:spid="_x0000_s1087" style="position:absolute;left:8560;top:33949;width:6763;height:2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" filled="f" strokecolor="black [3200]" strokeweight="1pt">
                    <v:textbox>
                      <w:txbxContent>
                        <w:p w14:paraId="5E9BE35F"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Cash</w:t>
                          </w:r>
                        </w:p>
                      </w:txbxContent>
                    </v:textbox>
                  </v:rect>
                  <v:group id="Group 130" o:spid="_x0000_s1088" style="position:absolute;left:41634;top:32587;width:15844;height:24267" coordsize="15844,24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">
                    <v:rect id="Rectangle 131" o:spid="_x0000_s1089" style="position:absolute;left:4396;width:7239;height:44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" filled="f" strokecolor="black [3200]" strokeweight="1pt">
                      <v:textbox>
                        <w:txbxContent>
                          <w:p w14:paraId="37C9897E"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Inventory and all Other Assets</w:t>
                            </w:r>
                          </w:p>
                        </w:txbxContent>
                      </v:textbox>
                    </v:rect>
                    <v:line id="Straight Connector 132" o:spid="_x0000_s1090" style="position:absolute;visibility:visible;mso-wrap-style:square" from="7737,4484" to="7737,53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" strokecolor="black [3200]" strokeweight=".5pt">
                      <v:stroke joinstyle="miter"/>
                    </v:line>
                    <v:line id="Straight Connector 133" o:spid="_x0000_s1091" style="position:absolute;visibility:visible;mso-wrap-style:square" from="3253,5275" to="12492,5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" strokecolor="black [3200]" strokeweight=".5pt">
                      <v:stroke joinstyle="miter"/>
                    </v:line>
                    <v:line id="Straight Connector 134" o:spid="_x0000_s1092" style="position:absolute;visibility:visible;mso-wrap-style:square" from="12485,5275" to="12485,58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" strokecolor="black [3200]" strokeweight=".5pt">
                      <v:stroke joinstyle="miter"/>
                    </v:line>
                    <v:line id="Straight Connector 135" o:spid="_x0000_s1093" style="position:absolute;visibility:visible;mso-wrap-style:square" from="3253,5363" to="3253,62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" strokecolor="black [3200]" strokeweight=".5pt">
                      <v:stroke joinstyle="miter"/>
                    </v:line>
                    <v:rect id="Rectangle 136" o:spid="_x0000_s1094" style="position:absolute;top:6330;width:6762;height:2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" filled="f" strokecolor="black [3200]" strokeweight="1pt">
                      <v:textbox>
                        <w:txbxContent>
                          <w:p w14:paraId="7ACEAD32"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Misuse</w:t>
                            </w:r>
                          </w:p>
                        </w:txbxContent>
                      </v:textbox>
                    </v:rect>
                    <v:rect id="Rectangle 137" o:spid="_x0000_s1095" style="position:absolute;left:8264;top:5978;width:6763;height:2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" filled="f" strokecolor="black [3200]" strokeweight="1pt">
                      <v:textbox>
                        <w:txbxContent>
                          <w:p w14:paraId="0DF548DE"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Larceny</w:t>
                            </w:r>
                          </w:p>
                        </w:txbxContent>
                      </v:textbox>
                    </v:rect>
                    <v:line id="Straight Connector 138" o:spid="_x0000_s1096" style="position:absolute;visibility:visible;mso-wrap-style:square" from="11781,8176" to="11781,90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" strokecolor="black [3200]" strokeweight=".5pt">
                      <v:stroke joinstyle="miter"/>
                    </v:line>
                    <v:rect id="Rectangle 139" o:spid="_x0000_s1097" style="position:absolute;left:8088;top:8880;width:7239;height:33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" filled="f" strokecolor="black [3200]" strokeweight="1pt">
                      <v:textbox>
                        <w:txbxContent>
                          <w:p w14:paraId="105268CF"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Asset Reg &amp; Transfers</w:t>
                            </w:r>
                          </w:p>
                        </w:txbxContent>
                      </v:textbox>
                    </v:rect>
                    <v:line id="Straight Connector 140" o:spid="_x0000_s1098" style="position:absolute;visibility:visible;mso-wrap-style:square" from="11869,12133" to="11869,129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" strokecolor="black [3200]" strokeweight=".5pt">
                      <v:stroke joinstyle="miter"/>
                    </v:line>
                    <v:rect id="Rectangle 141" o:spid="_x0000_s1099" style="position:absolute;left:7913;top:12748;width:7810;height:33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" filled="f" strokecolor="black [3200]" strokeweight="1pt">
                      <v:textbox>
                        <w:txbxContent>
                          <w:p w14:paraId="39FBFA2E"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False sales &amp; shipping</w:t>
                            </w:r>
                          </w:p>
                        </w:txbxContent>
                      </v:textbox>
                    </v:rect>
                    <v:line id="Straight Connector 142" o:spid="_x0000_s1100" style="position:absolute;visibility:visible;mso-wrap-style:square" from="11869,16089" to="11869,167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" strokecolor="black [3200]" strokeweight=".5pt">
                      <v:stroke joinstyle="miter"/>
                    </v:line>
                    <v:rect id="Rectangle 143" o:spid="_x0000_s1101" style="position:absolute;left:7557;top:16603;width:8287;height:34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" filled="f" strokecolor="black [3200]" strokeweight="1pt">
                      <v:textbox>
                        <w:txbxContent>
                          <w:p w14:paraId="72C8EFF4"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Purchasing &amp; Receiving</w:t>
                            </w:r>
                          </w:p>
                        </w:txbxContent>
                      </v:textbox>
                    </v:rect>
                    <v:line id="Straight Connector 144" o:spid="_x0000_s1102" style="position:absolute;visibility:visible;mso-wrap-style:square" from="11781,19870" to="11781,207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" strokecolor="black [3200]" strokeweight=".5pt">
                      <v:stroke joinstyle="miter"/>
                    </v:line>
                    <v:rect id="Rectangle 145" o:spid="_x0000_s1103" style="position:absolute;left:7913;top:20661;width:7905;height:36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" filled="f" strokecolor="black [3200]" strokeweight="1pt">
                      <v:textbox>
                        <w:txbxContent>
                          <w:p w14:paraId="1FD691E0"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Unconcealed Larceny</w:t>
                            </w:r>
                          </w:p>
                        </w:txbxContent>
                      </v:textbox>
                    </v:rect>
                  </v:group>
                  <v:line id="Straight Connector 146" o:spid="_x0000_s1104" style="position:absolute;visibility:visible;mso-wrap-style:square" from="12937,36284" to="12937,36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" strokecolor="black [3200]" strokeweight=".5pt">
                    <v:stroke joinstyle="miter"/>
                  </v:line>
                  <v:line id="Straight Connector 147" o:spid="_x0000_s1105" style="position:absolute;visibility:visible;mso-wrap-style:square" from="6906,36867" to="27128,368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" strokecolor="black [3200]" strokeweight=".5pt">
                    <v:stroke joinstyle="miter"/>
                  </v:line>
                  <v:group id="Group 148" o:spid="_x0000_s1106" style="position:absolute;left:3307;top:36867;width:7239;height:13621" coordsize="7239,13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">
                    <v:line id="Straight Connector 149" o:spid="_x0000_s1107" style="position:absolute;visibility:visible;mso-wrap-style:square" from="3516,0" to="3516,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" strokecolor="black [3200]" strokeweight=".5pt">
                      <v:stroke joinstyle="miter"/>
                    </v:line>
                    <v:rect id="Rectangle 150" o:spid="_x0000_s1108" style="position:absolute;left:175;top:703;width:6763;height:2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" filled="f" strokecolor="black [3200]" strokeweight="1pt">
                      <v:textbox>
                        <w:txbxContent>
                          <w:p w14:paraId="75CBEDFC"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Larceny</w:t>
                            </w:r>
                          </w:p>
                        </w:txbxContent>
                      </v:textbox>
                    </v:rect>
                    <v:line id="Straight Connector 151" o:spid="_x0000_s1109" style="position:absolute;visibility:visible;mso-wrap-style:square" from="3692,2813" to="3692,3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" strokecolor="black [3200]" strokeweight=".5pt">
                      <v:stroke joinstyle="miter"/>
                    </v:line>
                    <v:rect id="Rectangle 152" o:spid="_x0000_s1110" style="position:absolute;left:536;top:3419;width:6001;height:32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" filled="f" strokecolor="black [3200]" strokeweight="1pt">
                      <v:textbox>
                        <w:txbxContent>
                          <w:p w14:paraId="651552BD"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Of cash on hand</w:t>
                            </w:r>
                          </w:p>
                        </w:txbxContent>
                      </v:textbox>
                    </v:rect>
                    <v:line id="Straight Connector 153" o:spid="_x0000_s1111" style="position:absolute;visibility:visible;mso-wrap-style:square" from="3692,6594" to="3692,74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" strokecolor="black [3200]" strokeweight=".5pt">
                      <v:stroke joinstyle="miter"/>
                    </v:line>
                    <v:rect id="Rectangle 154" o:spid="_x0000_s1112" style="position:absolute;top:7297;width:7239;height:33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" filled="f" strokecolor="black [3200]" strokeweight="1pt">
                      <v:textbox>
                        <w:txbxContent>
                          <w:p w14:paraId="5FA4F581"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From the Deposit</w:t>
                            </w:r>
                          </w:p>
                        </w:txbxContent>
                      </v:textbox>
                    </v:rect>
                    <v:rect id="Rectangle 155" o:spid="_x0000_s1113" style="position:absolute;left:175;top:11430;width:6763;height:21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" filled="f" strokecolor="black [3200]" strokeweight="1pt">
                      <v:textbox>
                        <w:txbxContent>
                          <w:p w14:paraId="6DA0E98E"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Other</w:t>
                            </w:r>
                          </w:p>
                        </w:txbxContent>
                      </v:textbox>
                    </v:rect>
                    <v:line id="Straight Connector 156" o:spid="_x0000_s1114" style="position:absolute;visibility:visible;mso-wrap-style:square" from="3692,10638" to="3692,114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" strokecolor="black [3200]" strokeweight=".5pt">
                      <v:stroke joinstyle="miter"/>
                    </v:line>
                  </v:group>
                  <v:group id="Group 157" o:spid="_x0000_s1115" style="position:absolute;left:17801;top:36867;width:23324;height:18304" coordsize="23328,183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">
                    <v:line id="Straight Connector 158" o:spid="_x0000_s1116" style="position:absolute;visibility:visible;mso-wrap-style:square" from="9407,0" to="9407,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" strokecolor="black [3200]" strokeweight=".5pt">
                      <v:stroke joinstyle="miter"/>
                    </v:line>
                    <v:rect id="Rectangle 159" o:spid="_x0000_s1117" style="position:absolute;left:5627;top:879;width:6762;height:21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" filled="f" strokecolor="black [3200]" strokeweight="1pt">
                      <v:textbox>
                        <w:txbxContent>
                          <w:p w14:paraId="3FECFC84"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Skimming</w:t>
                            </w:r>
                          </w:p>
                        </w:txbxContent>
                      </v:textbox>
                    </v:rect>
                    <v:line id="Straight Connector 160" o:spid="_x0000_s1118" style="position:absolute;visibility:visible;mso-wrap-style:square" from="9671,2989" to="9671,38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" strokecolor="black [3200]" strokeweight=".5pt">
                      <v:stroke joinstyle="miter"/>
                    </v:line>
                    <v:line id="Straight Connector 161" o:spid="_x0000_s1119" style="position:absolute;visibility:visible;mso-wrap-style:square" from="3868,3868" to="18903,38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" strokecolor="black [3200]" strokeweight=".5pt">
                      <v:stroke joinstyle="miter"/>
                    </v:line>
                    <v:line id="Straight Connector 162" o:spid="_x0000_s1120" style="position:absolute;visibility:visible;mso-wrap-style:square" from="18903,3868" to="18903,4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" strokecolor="black [3200]" strokeweight=".5pt">
                      <v:stroke joinstyle="miter"/>
                    </v:line>
                    <v:line id="Straight Connector 163" o:spid="_x0000_s1121" style="position:absolute;visibility:visible;mso-wrap-style:square" from="3868,3956" to="3868,48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" strokecolor="black [3200]" strokeweight=".5pt">
                      <v:stroke joinstyle="miter"/>
                    </v:line>
                    <v:rect id="Rectangle 164" o:spid="_x0000_s1122" style="position:absolute;left:527;top:4923;width:6763;height:2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" filled="f" strokecolor="black [3200]" strokeweight="1pt">
                      <v:textbox>
                        <w:txbxContent>
                          <w:p w14:paraId="766BD48C"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Sales</w:t>
                            </w:r>
                          </w:p>
                        </w:txbxContent>
                      </v:textbox>
                    </v:rect>
                    <v:line id="Straight Connector 165" o:spid="_x0000_s1123" style="position:absolute;visibility:visible;mso-wrap-style:square" from="11342,3956" to="11342,48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" strokecolor="black [3200]" strokeweight=".5pt">
                      <v:stroke joinstyle="miter"/>
                    </v:line>
                    <v:rect id="Rectangle 166" o:spid="_x0000_s1124" style="position:absolute;left:8001;top:4923;width:7334;height:2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" filled="f" strokecolor="black [3200]" strokeweight="1pt">
                      <v:textbox>
                        <w:txbxContent>
                          <w:p w14:paraId="43F0C4DC"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Receivables</w:t>
                            </w:r>
                          </w:p>
                        </w:txbxContent>
                      </v:textbox>
                    </v:rect>
                    <v:rect id="Rectangle 167" o:spid="_x0000_s1125" style="position:absolute;left:16089;top:4747;width:7239;height:30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" filled="f" strokecolor="black [3200]" strokeweight="1pt">
                      <v:textbox>
                        <w:txbxContent>
                          <w:p w14:paraId="1C8A3BE7"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Refunds &amp; others</w:t>
                            </w:r>
                          </w:p>
                        </w:txbxContent>
                      </v:textbox>
                    </v:rect>
                    <v:line id="Straight Connector 168" o:spid="_x0000_s1126" style="position:absolute;visibility:visible;mso-wrap-style:square" from="3780,7121" to="3780,7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" strokecolor="black [3200]" strokeweight=".5pt">
                      <v:stroke joinstyle="miter"/>
                    </v:line>
                    <v:rect id="Rectangle 169" o:spid="_x0000_s1127" style="position:absolute;left:439;top:8088;width:6763;height:2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" filled="f" strokecolor="black [3200]" strokeweight="1pt">
                      <v:textbox>
                        <w:txbxContent>
                          <w:p w14:paraId="7E32BFCC"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Unrecorded</w:t>
                            </w:r>
                          </w:p>
                        </w:txbxContent>
                      </v:textbox>
                    </v:rect>
                    <v:line id="Straight Connector 170" o:spid="_x0000_s1128" style="position:absolute;visibility:visible;mso-wrap-style:square" from="3956,10374" to="3956,112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" strokecolor="black [3200]" strokeweight=".5pt">
                      <v:stroke joinstyle="miter"/>
                    </v:line>
                    <v:rect id="Rectangle 171" o:spid="_x0000_s1129" style="position:absolute;top:11342;width:7334;height:2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" filled="f" strokecolor="black [3200]" strokeweight="1pt">
                      <v:textbox>
                        <w:txbxContent>
                          <w:p w14:paraId="7EEF95C1"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Understated</w:t>
                            </w:r>
                          </w:p>
                        </w:txbxContent>
                      </v:textbox>
                    </v:rect>
                    <v:line id="Straight Connector 172" o:spid="_x0000_s1130" style="position:absolute;visibility:visible;mso-wrap-style:square" from="10990,7121" to="10990,7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" strokecolor="black [3200]" strokeweight=".5pt">
                      <v:stroke joinstyle="miter"/>
                    </v:line>
                    <v:rect id="Rectangle 173" o:spid="_x0000_s1131" style="position:absolute;left:8286;top:15141;width:7239;height:31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" filled="f" strokecolor="black [3200]" strokeweight="1pt">
                      <v:textbox>
                        <w:txbxContent>
                          <w:p w14:paraId="691F66AB"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Write-off Schemes</w:t>
                            </w:r>
                          </w:p>
                        </w:txbxContent>
                      </v:textbox>
                    </v:rect>
                    <v:line id="Straight Connector 174" o:spid="_x0000_s1132" style="position:absolute;visibility:visible;mso-wrap-style:square" from="11254,10902" to="11254,115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" strokecolor="black [3200]" strokeweight=".5pt">
                      <v:stroke joinstyle="miter"/>
                    </v:line>
                    <v:rect id="Rectangle 175" o:spid="_x0000_s1133" style="position:absolute;left:7878;top:8088;width:7239;height:3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" filled="f" strokecolor="black [3200]" strokeweight="1pt">
                      <v:textbox>
                        <w:txbxContent>
                          <w:p w14:paraId="057D5BD6"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Lapping Schemes</w:t>
                            </w:r>
                          </w:p>
                        </w:txbxContent>
                      </v:textbox>
                    </v:rect>
                    <v:line id="Straight Connector 176" o:spid="_x0000_s1134" style="position:absolute;visibility:visible;mso-wrap-style:square" from="11342,11544" to="11342,124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" filled="t" fillcolor="white [3212]" strokecolor="black [3200]" strokeweight=".5pt">
                      <v:stroke joinstyle="miter"/>
                    </v:line>
                    <v:rect id="Rectangle 177" o:spid="_x0000_s1135" style="position:absolute;left:8001;top:12512;width:7524;height:20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" filled="f" strokecolor="black [3200]" strokeweight="1pt">
                      <v:textbox>
                        <w:txbxContent>
                          <w:p w14:paraId="6209A4CE"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Unconcealed</w:t>
                            </w:r>
                          </w:p>
                        </w:txbxContent>
                      </v:textbox>
                    </v:rect>
                  </v:group>
                  <v:line id="Straight Connector 178" o:spid="_x0000_s1136" style="position:absolute;visibility:visible;mso-wrap-style:square" from="13326,36965" to="13326,51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" strokecolor="black [3200]" strokeweight=".5pt">
                    <v:stroke joinstyle="miter"/>
                  </v:line>
                  <v:group id="Group 179" o:spid="_x0000_s1137" style="position:absolute;left:2334;top:50875;width:46228;height:28697" coordorigin="" coordsize="46232,28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">
                    <v:rect id="Rectangle 180" o:spid="_x0000_s1138" style="position:absolute;left:7825;width:8382;height:3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" filled="f" strokecolor="black [3200]" strokeweight="1pt">
                      <v:textbox>
                        <w:txbxContent>
                          <w:p w14:paraId="6D2081F2"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Fraudulent Disbursement</w:t>
                            </w:r>
                          </w:p>
                        </w:txbxContent>
                      </v:textbox>
                    </v:rect>
                    <v:line id="Straight Connector 181" o:spid="_x0000_s1139" style="position:absolute;visibility:visible;mso-wrap-style:square" from="2286,4484" to="42291,4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" strokecolor="black [3200]" strokeweight=".5pt">
                      <v:stroke joinstyle="miter"/>
                    </v:line>
                    <v:line id="Straight Connector 182" o:spid="_x0000_s1140" style="position:absolute;visibility:visible;mso-wrap-style:square" from="11693,3165" to="11693,55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" strokecolor="black [3200]" strokeweight=".5pt">
                      <v:stroke joinstyle="miter"/>
                    </v:line>
                    <v:line id="Straight Connector 183" o:spid="_x0000_s1141" style="position:absolute;visibility:visible;mso-wrap-style:square" from="22244,4572" to="22244,5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" strokecolor="black [3200]" strokeweight=".5pt">
                      <v:stroke joinstyle="miter"/>
                    </v:line>
                    <v:line id="Straight Connector 184" o:spid="_x0000_s1142" style="position:absolute;visibility:visible;mso-wrap-style:square" from="31476,4484" to="31476,53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" strokecolor="black [3200]" strokeweight=".5pt">
                      <v:stroke joinstyle="miter"/>
                    </v:line>
                    <v:line id="Straight Connector 185" o:spid="_x0000_s1143" style="position:absolute;visibility:visible;mso-wrap-style:square" from="42291,4484" to="42291,53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" strokecolor="black [3200]" strokeweight=".5pt">
                      <v:stroke joinstyle="miter"/>
                    </v:line>
                    <v:rect id="Rectangle 186" o:spid="_x0000_s1144" style="position:absolute;left:87;top:5451;width:7239;height:3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" filled="f" strokecolor="black [3200]" strokeweight="1pt">
                      <v:textbox>
                        <w:txbxContent>
                          <w:p w14:paraId="36646995"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Billing Schemes</w:t>
                            </w:r>
                          </w:p>
                          <w:p w14:paraId="45333AEA" w14:textId="77777777" w:rsidR="00FE7438" w:rsidRDefault="00FE7438" w:rsidP="002E089B">
                            <w:pPr>
                              <w:pageBreakBefore/>
                              <w:spacing w:line="240" w:lineRule="auto"/>
                              <w:jc w:val="center"/>
                              <w:rPr>
                                <w:rFonts w:ascii="Times New Roman" w:hAnsi="Times New Roman"/>
                                <w:sz w:val="16"/>
                                <w:szCs w:val="16"/>
                              </w:rPr>
                            </w:pPr>
                          </w:p>
                        </w:txbxContent>
                      </v:textbox>
                    </v:rect>
                    <v:rect id="Rectangle 187" o:spid="_x0000_s1145" style="position:absolute;left:8528;top:5539;width:7239;height:3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" filled="f" strokecolor="black [3200]" strokeweight="1pt">
                      <v:textbox>
                        <w:txbxContent>
                          <w:p w14:paraId="081F02B2"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Payroll Schemes</w:t>
                            </w:r>
                          </w:p>
                          <w:p w14:paraId="28B7095C" w14:textId="77777777" w:rsidR="00FE7438" w:rsidRDefault="00FE7438" w:rsidP="002E089B">
                            <w:pPr>
                              <w:pageBreakBefore/>
                              <w:spacing w:line="240" w:lineRule="auto"/>
                              <w:jc w:val="center"/>
                              <w:rPr>
                                <w:rFonts w:ascii="Times New Roman" w:hAnsi="Times New Roman"/>
                                <w:sz w:val="16"/>
                                <w:szCs w:val="16"/>
                              </w:rPr>
                            </w:pPr>
                          </w:p>
                        </w:txbxContent>
                      </v:textbox>
                    </v:rect>
                    <v:rect id="Rectangle 188" o:spid="_x0000_s1146" style="position:absolute;left:17848;top:5451;width:8477;height:43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" filled="f" strokecolor="black [3200]" strokeweight="1pt">
                      <v:textbox>
                        <w:txbxContent>
                          <w:p w14:paraId="3323FFA2"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Expense Reimbursement Scheme</w:t>
                            </w:r>
                          </w:p>
                        </w:txbxContent>
                      </v:textbox>
                    </v:rect>
                    <v:rect id="Rectangle 189" o:spid="_x0000_s1147" style="position:absolute;left:27783;top:5363;width:7239;height:33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" filled="f" strokecolor="black [3200]" strokeweight="1pt">
                      <v:textbox>
                        <w:txbxContent>
                          <w:p w14:paraId="7318AF6E"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Check Tampering</w:t>
                            </w:r>
                          </w:p>
                          <w:p w14:paraId="150F0D4B" w14:textId="77777777" w:rsidR="00FE7438" w:rsidRDefault="00FE7438" w:rsidP="002E089B">
                            <w:pPr>
                              <w:pageBreakBefore/>
                              <w:spacing w:line="240" w:lineRule="auto"/>
                              <w:jc w:val="center"/>
                              <w:rPr>
                                <w:rFonts w:ascii="Times New Roman" w:hAnsi="Times New Roman"/>
                                <w:sz w:val="16"/>
                                <w:szCs w:val="16"/>
                              </w:rPr>
                            </w:pPr>
                          </w:p>
                        </w:txbxContent>
                      </v:textbox>
                    </v:rect>
                    <v:rect id="Rectangle 190" o:spid="_x0000_s1148" style="position:absolute;left:37719;top:5451;width:8096;height:3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" filled="f" strokecolor="black [3200]" strokeweight="1pt">
                      <v:textbox>
                        <w:txbxContent>
                          <w:p w14:paraId="5A54DF53"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Register Disbursement Schemes</w:t>
                            </w:r>
                          </w:p>
                          <w:p w14:paraId="05085649" w14:textId="77777777" w:rsidR="00FE7438" w:rsidRDefault="00FE7438" w:rsidP="002E089B">
                            <w:pPr>
                              <w:pageBreakBefore/>
                              <w:spacing w:line="240" w:lineRule="auto"/>
                              <w:jc w:val="center"/>
                              <w:rPr>
                                <w:rFonts w:ascii="Times New Roman" w:hAnsi="Times New Roman"/>
                                <w:sz w:val="16"/>
                                <w:szCs w:val="16"/>
                              </w:rPr>
                            </w:pPr>
                          </w:p>
                        </w:txbxContent>
                      </v:textbox>
                    </v:rect>
                    <v:line id="Straight Connector 191" o:spid="_x0000_s1149" style="position:absolute;visibility:visible;mso-wrap-style:square" from="3956,8616" to="3956,94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" strokecolor="black [3200]" strokeweight=".5pt">
                      <v:stroke joinstyle="miter"/>
                    </v:line>
                    <v:rect id="Rectangle 192" o:spid="_x0000_s1150" style="position:absolute;top:9583;width:7334;height:33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" filled="f" strokecolor="black [3200]" strokeweight="1pt">
                      <v:textbox>
                        <w:txbxContent>
                          <w:p w14:paraId="3BCDD0BF"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Shell Company</w:t>
                            </w:r>
                          </w:p>
                          <w:p w14:paraId="61CE05B4" w14:textId="77777777" w:rsidR="00FE7438" w:rsidRDefault="00FE7438" w:rsidP="002E089B">
                            <w:pPr>
                              <w:pageBreakBefore/>
                              <w:spacing w:line="240" w:lineRule="auto"/>
                              <w:jc w:val="center"/>
                              <w:rPr>
                                <w:rFonts w:ascii="Times New Roman" w:hAnsi="Times New Roman"/>
                                <w:sz w:val="16"/>
                                <w:szCs w:val="16"/>
                              </w:rPr>
                            </w:pPr>
                          </w:p>
                        </w:txbxContent>
                      </v:textbox>
                    </v:rect>
                    <v:line id="Straight Connector 193" o:spid="_x0000_s1151" style="position:absolute;visibility:visible;mso-wrap-style:square" from="3956,12943" to="3956,138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" strokecolor="black [3200]" strokeweight=".5pt">
                      <v:stroke joinstyle="miter"/>
                    </v:line>
                    <v:rect id="Rectangle 194" o:spid="_x0000_s1152" style="position:absolute;top:13716;width:7620;height:4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" filled="f" strokecolor="black [3200]" strokeweight="1pt">
                      <v:textbox>
                        <w:txbxContent>
                          <w:p w14:paraId="02C22C8E"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Non-accomplice Vendor</w:t>
                            </w:r>
                          </w:p>
                          <w:p w14:paraId="6E340033" w14:textId="77777777" w:rsidR="00FE7438" w:rsidRDefault="00FE7438" w:rsidP="002E089B">
                            <w:pPr>
                              <w:pageBreakBefore/>
                              <w:spacing w:line="240" w:lineRule="auto"/>
                              <w:jc w:val="center"/>
                              <w:rPr>
                                <w:rFonts w:ascii="Times New Roman" w:hAnsi="Times New Roman"/>
                                <w:sz w:val="16"/>
                                <w:szCs w:val="16"/>
                              </w:rPr>
                            </w:pPr>
                          </w:p>
                        </w:txbxContent>
                      </v:textbox>
                    </v:rect>
                    <v:line id="Straight Connector 195" o:spid="_x0000_s1153" style="position:absolute;visibility:visible;mso-wrap-style:square" from="4044,18288" to="4044,19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" strokecolor="black [3200]" strokeweight=".5pt">
                      <v:stroke joinstyle="miter"/>
                    </v:line>
                    <v:rect id="Rectangle 196" o:spid="_x0000_s1154" style="position:absolute;left:87;top:19255;width:7335;height:3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" filled="f" strokecolor="black [3200]" strokeweight="1pt">
                      <v:textbox>
                        <w:txbxContent>
                          <w:p w14:paraId="6C86E62C"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Personal Purchase</w:t>
                            </w:r>
                          </w:p>
                          <w:p w14:paraId="0E391FD2" w14:textId="77777777" w:rsidR="00FE7438" w:rsidRDefault="00FE7438" w:rsidP="002E089B">
                            <w:pPr>
                              <w:pageBreakBefore/>
                              <w:spacing w:line="240" w:lineRule="auto"/>
                              <w:jc w:val="center"/>
                              <w:rPr>
                                <w:rFonts w:ascii="Times New Roman" w:hAnsi="Times New Roman"/>
                                <w:sz w:val="16"/>
                                <w:szCs w:val="16"/>
                              </w:rPr>
                            </w:pPr>
                          </w:p>
                        </w:txbxContent>
                      </v:textbox>
                    </v:rect>
                    <v:line id="Straight Connector 197" o:spid="_x0000_s1155" style="position:absolute;visibility:visible;mso-wrap-style:square" from="12485,8616" to="12485,94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" strokecolor="black [3200]" strokeweight=".5pt">
                      <v:stroke joinstyle="miter"/>
                    </v:line>
                    <v:rect id="Rectangle 198" o:spid="_x0000_s1156" style="position:absolute;left:8616;top:9583;width:7334;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" filled="f" strokecolor="black [3200]" strokeweight="1pt">
                      <v:textbox>
                        <w:txbxContent>
                          <w:p w14:paraId="02598F9A"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Ghost Employees</w:t>
                            </w:r>
                          </w:p>
                          <w:p w14:paraId="40E6AD16" w14:textId="77777777" w:rsidR="00FE7438" w:rsidRDefault="00FE7438" w:rsidP="002E089B">
                            <w:pPr>
                              <w:pageBreakBefore/>
                              <w:spacing w:line="240" w:lineRule="auto"/>
                              <w:jc w:val="center"/>
                              <w:rPr>
                                <w:rFonts w:ascii="Times New Roman" w:hAnsi="Times New Roman"/>
                                <w:sz w:val="16"/>
                                <w:szCs w:val="16"/>
                              </w:rPr>
                            </w:pPr>
                          </w:p>
                        </w:txbxContent>
                      </v:textbox>
                    </v:rect>
                    <v:line id="Straight Connector 199" o:spid="_x0000_s1157" style="position:absolute;visibility:visible;mso-wrap-style:square" from="12397,12943" to="12397,138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" strokecolor="black [3200]" strokeweight=".5pt">
                      <v:stroke joinstyle="miter"/>
                    </v:line>
                    <v:rect id="Rectangle 200" o:spid="_x0000_s1158" style="position:absolute;left:8528;top:13716;width:7334;height:3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" filled="f" strokecolor="black [3200]" strokeweight="1pt">
                      <v:textbox>
                        <w:txbxContent>
                          <w:p w14:paraId="283D1E23"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Commission Schemes</w:t>
                            </w:r>
                          </w:p>
                          <w:p w14:paraId="4BB9F410" w14:textId="77777777" w:rsidR="00FE7438" w:rsidRDefault="00FE7438" w:rsidP="002E089B">
                            <w:pPr>
                              <w:pageBreakBefore/>
                              <w:spacing w:line="240" w:lineRule="auto"/>
                              <w:jc w:val="center"/>
                              <w:rPr>
                                <w:rFonts w:ascii="Times New Roman" w:hAnsi="Times New Roman"/>
                                <w:sz w:val="16"/>
                                <w:szCs w:val="16"/>
                              </w:rPr>
                            </w:pPr>
                          </w:p>
                        </w:txbxContent>
                      </v:textbox>
                    </v:rect>
                    <v:line id="Straight Connector 201" o:spid="_x0000_s1159" style="position:absolute;visibility:visible;mso-wrap-style:square" from="12397,16969" to="12397,178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" strokecolor="black [3200]" strokeweight=".5pt">
                      <v:stroke joinstyle="miter"/>
                    </v:line>
                    <v:rect id="Rectangle 202" o:spid="_x0000_s1160" style="position:absolute;left:8352;top:17848;width:8477;height:33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" filled="f" strokecolor="black [3200]" strokeweight="1pt">
                      <v:textbox>
                        <w:txbxContent>
                          <w:p w14:paraId="7F3C57AB"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Workers Compensations</w:t>
                            </w:r>
                          </w:p>
                          <w:p w14:paraId="48FC47FC" w14:textId="77777777" w:rsidR="00FE7438" w:rsidRDefault="00FE7438" w:rsidP="002E089B">
                            <w:pPr>
                              <w:pageBreakBefore/>
                              <w:spacing w:line="240" w:lineRule="auto"/>
                              <w:jc w:val="center"/>
                              <w:rPr>
                                <w:rFonts w:ascii="Times New Roman" w:hAnsi="Times New Roman"/>
                                <w:sz w:val="16"/>
                                <w:szCs w:val="16"/>
                              </w:rPr>
                            </w:pPr>
                          </w:p>
                        </w:txbxContent>
                      </v:textbox>
                    </v:rect>
                    <v:line id="Straight Connector 203" o:spid="_x0000_s1161" style="position:absolute;visibility:visible;mso-wrap-style:square" from="12573,21101" to="12573,219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" strokecolor="black [3200]" strokeweight=".5pt">
                      <v:stroke joinstyle="miter"/>
                    </v:line>
                    <v:rect id="Rectangle 204" o:spid="_x0000_s1162" style="position:absolute;left:8616;top:22068;width:7715;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" filled="f" strokecolor="black [3200]" strokeweight="1pt">
                      <v:textbox>
                        <w:txbxContent>
                          <w:p w14:paraId="0A144F91"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Falsified Wages</w:t>
                            </w:r>
                          </w:p>
                          <w:p w14:paraId="483D2E7D" w14:textId="77777777" w:rsidR="00FE7438" w:rsidRDefault="00FE7438" w:rsidP="002E089B">
                            <w:pPr>
                              <w:pageBreakBefore/>
                              <w:spacing w:line="240" w:lineRule="auto"/>
                              <w:jc w:val="center"/>
                              <w:rPr>
                                <w:rFonts w:ascii="Times New Roman" w:hAnsi="Times New Roman"/>
                                <w:sz w:val="16"/>
                                <w:szCs w:val="16"/>
                              </w:rPr>
                            </w:pPr>
                          </w:p>
                        </w:txbxContent>
                      </v:textbox>
                    </v:rect>
                    <v:line id="Straight Connector 205" o:spid="_x0000_s1163" style="position:absolute;visibility:visible;mso-wrap-style:square" from="22244,9583" to="22244,10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" strokecolor="black [3200]" strokeweight=".5pt">
                      <v:stroke joinstyle="miter"/>
                    </v:line>
                    <v:rect id="Rectangle 206" o:spid="_x0000_s1164" style="position:absolute;left:17496;top:10550;width:9430;height:32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" filled="f" strokecolor="black [3200]" strokeweight="1pt">
                      <v:textbox>
                        <w:txbxContent>
                          <w:p w14:paraId="5B5C0008"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Mischaracterized Expenses</w:t>
                            </w:r>
                          </w:p>
                          <w:p w14:paraId="737A1D87" w14:textId="77777777" w:rsidR="00FE7438" w:rsidRDefault="00FE7438" w:rsidP="002E089B">
                            <w:pPr>
                              <w:pageBreakBefore/>
                              <w:spacing w:line="240" w:lineRule="auto"/>
                              <w:jc w:val="center"/>
                              <w:rPr>
                                <w:rFonts w:ascii="Times New Roman" w:hAnsi="Times New Roman"/>
                                <w:sz w:val="16"/>
                                <w:szCs w:val="16"/>
                              </w:rPr>
                            </w:pPr>
                          </w:p>
                        </w:txbxContent>
                      </v:textbox>
                    </v:rect>
                    <v:line id="Straight Connector 207" o:spid="_x0000_s1165" style="position:absolute;visibility:visible;mso-wrap-style:square" from="22596,13803" to="22596,146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" strokecolor="black [3200]" strokeweight=".5pt">
                      <v:stroke joinstyle="miter"/>
                    </v:line>
                    <v:rect id="Rectangle 208" o:spid="_x0000_s1166" style="position:absolute;left:18112;top:14771;width:8667;height:3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" filled="f" strokecolor="black [3200]" strokeweight="1pt">
                      <v:textbox>
                        <w:txbxContent>
                          <w:p w14:paraId="572F397F"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Overstated Expenses</w:t>
                            </w:r>
                          </w:p>
                          <w:p w14:paraId="49BDA07E" w14:textId="77777777" w:rsidR="00FE7438" w:rsidRDefault="00FE7438" w:rsidP="002E089B">
                            <w:pPr>
                              <w:pageBreakBefore/>
                              <w:spacing w:line="240" w:lineRule="auto"/>
                              <w:jc w:val="center"/>
                              <w:rPr>
                                <w:rFonts w:ascii="Times New Roman" w:hAnsi="Times New Roman"/>
                                <w:sz w:val="16"/>
                                <w:szCs w:val="16"/>
                              </w:rPr>
                            </w:pPr>
                          </w:p>
                        </w:txbxContent>
                      </v:textbox>
                    </v:rect>
                    <v:line id="Straight Connector 209" o:spid="_x0000_s1167" style="position:absolute;visibility:visible;mso-wrap-style:square" from="22596,17848" to="22596,187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" strokecolor="black [3200]" strokeweight=".5pt">
                      <v:stroke joinstyle="miter"/>
                    </v:line>
                    <v:rect id="Rectangle 210" o:spid="_x0000_s1168" style="position:absolute;left:18111;top:18815;width:8668;height:34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" filled="f" strokecolor="black [3200]" strokeweight="1pt">
                      <v:textbox>
                        <w:txbxContent>
                          <w:p w14:paraId="6F9B3146"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Fictitious Expenses</w:t>
                            </w:r>
                          </w:p>
                          <w:p w14:paraId="2FBE483C" w14:textId="77777777" w:rsidR="00FE7438" w:rsidRDefault="00FE7438" w:rsidP="002E089B">
                            <w:pPr>
                              <w:pageBreakBefore/>
                              <w:spacing w:line="240" w:lineRule="auto"/>
                              <w:jc w:val="center"/>
                              <w:rPr>
                                <w:rFonts w:ascii="Times New Roman" w:hAnsi="Times New Roman"/>
                                <w:sz w:val="16"/>
                                <w:szCs w:val="16"/>
                              </w:rPr>
                            </w:pPr>
                          </w:p>
                        </w:txbxContent>
                      </v:textbox>
                    </v:rect>
                    <v:line id="Straight Connector 211" o:spid="_x0000_s1169" style="position:absolute;visibility:visible;mso-wrap-style:square" from="22508,22087" to="22508,229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" strokecolor="black [3200]" strokeweight=".5pt">
                      <v:stroke joinstyle="miter"/>
                    </v:line>
                    <v:rect id="Rectangle 212" o:spid="_x0000_s1170" style="position:absolute;left:18024;top:22860;width:8667;height:3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" filled="f" strokecolor="black [3200]" strokeweight="1pt">
                      <v:textbox>
                        <w:txbxContent>
                          <w:p w14:paraId="5F6A6370"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Multiple Reimbursements</w:t>
                            </w:r>
                          </w:p>
                          <w:p w14:paraId="0F75A42B" w14:textId="77777777" w:rsidR="00FE7438" w:rsidRDefault="00FE7438" w:rsidP="002E089B">
                            <w:pPr>
                              <w:pageBreakBefore/>
                              <w:spacing w:line="240" w:lineRule="auto"/>
                              <w:jc w:val="center"/>
                              <w:rPr>
                                <w:rFonts w:ascii="Times New Roman" w:hAnsi="Times New Roman"/>
                                <w:sz w:val="16"/>
                                <w:szCs w:val="16"/>
                              </w:rPr>
                            </w:pPr>
                          </w:p>
                        </w:txbxContent>
                      </v:textbox>
                    </v:rect>
                    <v:line id="Straight Connector 213" o:spid="_x0000_s1171" style="position:absolute;visibility:visible;mso-wrap-style:square" from="2286,4484" to="2286,53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" strokecolor="black [3200]" strokeweight=".5pt">
                      <v:stroke joinstyle="miter"/>
                    </v:line>
                    <v:line id="Straight Connector 214" o:spid="_x0000_s1172" style="position:absolute;visibility:visible;mso-wrap-style:square" from="31476,8704" to="31476,95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" strokecolor="black [3200]" strokeweight=".5pt">
                      <v:stroke joinstyle="miter"/>
                    </v:line>
                    <v:rect id="Rectangle 215" o:spid="_x0000_s1173" style="position:absolute;left:28046;top:9671;width:7049;height:3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" filled="f" strokecolor="black [3200]" strokeweight="1pt">
                      <v:textbox>
                        <w:txbxContent>
                          <w:p w14:paraId="254A7F59"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Forged Maker</w:t>
                            </w:r>
                          </w:p>
                          <w:p w14:paraId="36043008" w14:textId="77777777" w:rsidR="00FE7438" w:rsidRDefault="00FE7438" w:rsidP="002E089B">
                            <w:pPr>
                              <w:pageBreakBefore/>
                              <w:spacing w:line="240" w:lineRule="auto"/>
                              <w:jc w:val="center"/>
                              <w:rPr>
                                <w:rFonts w:ascii="Times New Roman" w:hAnsi="Times New Roman"/>
                                <w:sz w:val="16"/>
                                <w:szCs w:val="16"/>
                              </w:rPr>
                            </w:pPr>
                          </w:p>
                        </w:txbxContent>
                      </v:textbox>
                    </v:rect>
                    <v:line id="Straight Connector 216" o:spid="_x0000_s1174" style="position:absolute;visibility:visible;mso-wrap-style:square" from="31652,13012" to="31652,138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" strokecolor="black [3200]" strokeweight=".5pt">
                      <v:stroke joinstyle="miter"/>
                    </v:line>
                    <v:rect id="Rectangle 217" o:spid="_x0000_s1175" style="position:absolute;left:27959;top:13803;width:7811;height:3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" filled="f" strokecolor="black [3200]" strokeweight="1pt">
                      <v:textbox>
                        <w:txbxContent>
                          <w:p w14:paraId="537557B3"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Forged Endorsement</w:t>
                            </w:r>
                          </w:p>
                          <w:p w14:paraId="57B24C5C" w14:textId="77777777" w:rsidR="00FE7438" w:rsidRDefault="00FE7438" w:rsidP="002E089B">
                            <w:pPr>
                              <w:pageBreakBefore/>
                              <w:spacing w:line="240" w:lineRule="auto"/>
                              <w:jc w:val="center"/>
                              <w:rPr>
                                <w:rFonts w:ascii="Times New Roman" w:hAnsi="Times New Roman"/>
                                <w:sz w:val="16"/>
                                <w:szCs w:val="16"/>
                              </w:rPr>
                            </w:pPr>
                          </w:p>
                        </w:txbxContent>
                      </v:textbox>
                    </v:rect>
                    <v:line id="Straight Connector 218" o:spid="_x0000_s1176" style="position:absolute;visibility:visible;mso-wrap-style:square" from="31828,17057" to="31828,179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" strokecolor="black [3200]" strokeweight=".5pt">
                      <v:stroke joinstyle="miter"/>
                    </v:line>
                    <v:rect id="Rectangle 219" o:spid="_x0000_s1177" style="position:absolute;left:28135;top:17848;width:7810;height:28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" filled="f" strokecolor="black [3200]" strokeweight="1pt">
                      <v:textbox>
                        <w:txbxContent>
                          <w:p w14:paraId="1D00B19F"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Altered Payee</w:t>
                            </w:r>
                          </w:p>
                          <w:p w14:paraId="3EAADF2D" w14:textId="77777777" w:rsidR="00FE7438" w:rsidRDefault="00FE7438" w:rsidP="002E089B">
                            <w:pPr>
                              <w:pageBreakBefore/>
                              <w:spacing w:line="240" w:lineRule="auto"/>
                              <w:jc w:val="center"/>
                              <w:rPr>
                                <w:rFonts w:ascii="Times New Roman" w:hAnsi="Times New Roman"/>
                                <w:sz w:val="16"/>
                                <w:szCs w:val="16"/>
                              </w:rPr>
                            </w:pPr>
                          </w:p>
                        </w:txbxContent>
                      </v:textbox>
                    </v:rect>
                    <v:line id="Straight Connector 220" o:spid="_x0000_s1178" style="position:absolute;visibility:visible;mso-wrap-style:square" from="31740,20661" to="31740,215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" strokecolor="black [3200]" strokeweight=".5pt">
                      <v:stroke joinstyle="miter"/>
                    </v:line>
                    <v:rect id="Rectangle 221" o:spid="_x0000_s1179" style="position:absolute;left:28047;top:21453;width:7810;height:31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" filled="f" strokecolor="black [3200]" strokeweight="1pt">
                      <v:textbox>
                        <w:txbxContent>
                          <w:p w14:paraId="17519DCF"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Concealed Checks</w:t>
                            </w:r>
                          </w:p>
                          <w:p w14:paraId="311FC666" w14:textId="77777777" w:rsidR="00FE7438" w:rsidRDefault="00FE7438" w:rsidP="002E089B">
                            <w:pPr>
                              <w:pageBreakBefore/>
                              <w:spacing w:line="240" w:lineRule="auto"/>
                              <w:jc w:val="center"/>
                              <w:rPr>
                                <w:rFonts w:ascii="Times New Roman" w:hAnsi="Times New Roman"/>
                                <w:sz w:val="16"/>
                                <w:szCs w:val="16"/>
                              </w:rPr>
                            </w:pPr>
                          </w:p>
                        </w:txbxContent>
                      </v:textbox>
                    </v:rect>
                    <v:line id="Straight Connector 222" o:spid="_x0000_s1180" style="position:absolute;visibility:visible;mso-wrap-style:square" from="31564,24442" to="31564,25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" strokecolor="black [3200]" strokeweight=".5pt">
                      <v:stroke joinstyle="miter"/>
                    </v:line>
                    <v:rect id="Rectangle 223" o:spid="_x0000_s1181" style="position:absolute;left:27783;top:25404;width:7810;height:32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" filled="f" strokecolor="black [3200]" strokeweight="1pt">
                      <v:textbox>
                        <w:txbxContent>
                          <w:p w14:paraId="5E2765D1"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Authorized Maker</w:t>
                            </w:r>
                          </w:p>
                          <w:p w14:paraId="2879E8C1" w14:textId="77777777" w:rsidR="00FE7438" w:rsidRDefault="00FE7438" w:rsidP="002E089B">
                            <w:pPr>
                              <w:pageBreakBefore/>
                              <w:spacing w:line="240" w:lineRule="auto"/>
                              <w:jc w:val="center"/>
                              <w:rPr>
                                <w:rFonts w:ascii="Times New Roman" w:hAnsi="Times New Roman"/>
                                <w:sz w:val="16"/>
                                <w:szCs w:val="16"/>
                              </w:rPr>
                            </w:pPr>
                          </w:p>
                        </w:txbxContent>
                      </v:textbox>
                    </v:rect>
                    <v:line id="Straight Connector 224" o:spid="_x0000_s1182" style="position:absolute;visibility:visible;mso-wrap-style:square" from="41939,8616" to="41939,94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" strokecolor="black [3200]" strokeweight=".5pt">
                      <v:stroke joinstyle="miter"/>
                    </v:line>
                    <v:rect id="Rectangle 225" o:spid="_x0000_s1183" style="position:absolute;left:38246;top:9495;width:7811;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" filled="f" strokecolor="black [3200]" strokeweight="1pt">
                      <v:textbox>
                        <w:txbxContent>
                          <w:p w14:paraId="0BBDC546"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False Voids</w:t>
                            </w:r>
                          </w:p>
                          <w:p w14:paraId="0A45CBE0" w14:textId="77777777" w:rsidR="00FE7438" w:rsidRDefault="00FE7438" w:rsidP="002E089B">
                            <w:pPr>
                              <w:pageBreakBefore/>
                              <w:spacing w:line="240" w:lineRule="auto"/>
                              <w:jc w:val="center"/>
                              <w:rPr>
                                <w:rFonts w:ascii="Times New Roman" w:hAnsi="Times New Roman"/>
                                <w:sz w:val="16"/>
                                <w:szCs w:val="16"/>
                              </w:rPr>
                            </w:pPr>
                          </w:p>
                        </w:txbxContent>
                      </v:textbox>
                    </v:rect>
                    <v:line id="Straight Connector 226" o:spid="_x0000_s1184" style="position:absolute;visibility:visible;mso-wrap-style:square" from="42115,12573" to="42115,13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" strokecolor="black [3200]" strokeweight=".5pt">
                      <v:stroke joinstyle="miter"/>
                    </v:line>
                    <v:rect id="Rectangle 227" o:spid="_x0000_s1185" style="position:absolute;left:38422;top:13452;width:7810;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" filled="f" strokecolor="black [3200]" strokeweight="1pt">
                      <v:textbox>
                        <w:txbxContent>
                          <w:p w14:paraId="656F177C" w14:textId="77777777" w:rsidR="00FE7438" w:rsidRDefault="00FE7438" w:rsidP="002E089B">
                            <w:pPr>
                              <w:pageBreakBefore/>
                              <w:spacing w:line="240" w:lineRule="auto"/>
                              <w:jc w:val="center"/>
                              <w:rPr>
                                <w:rFonts w:ascii="Times New Roman" w:hAnsi="Times New Roman"/>
                                <w:sz w:val="16"/>
                                <w:szCs w:val="16"/>
                              </w:rPr>
                            </w:pPr>
                            <w:r>
                              <w:rPr>
                                <w:rFonts w:ascii="Times New Roman" w:hAnsi="Times New Roman"/>
                                <w:sz w:val="16"/>
                                <w:szCs w:val="16"/>
                              </w:rPr>
                              <w:t>False Refund</w:t>
                            </w:r>
                          </w:p>
                          <w:p w14:paraId="71E4F019" w14:textId="77777777" w:rsidR="00FE7438" w:rsidRDefault="00FE7438" w:rsidP="002E089B">
                            <w:pPr>
                              <w:pageBreakBefore/>
                              <w:spacing w:line="240" w:lineRule="auto"/>
                              <w:jc w:val="center"/>
                              <w:rPr>
                                <w:rFonts w:ascii="Times New Roman" w:hAnsi="Times New Roman"/>
                                <w:sz w:val="16"/>
                                <w:szCs w:val="16"/>
                              </w:rPr>
                            </w:pPr>
                          </w:p>
                        </w:txbxContent>
                      </v:textbox>
                    </v:rect>
                  </v:group>
                </v:group>
                <v:shapetype id="_x0000_t202" coordsize="21600,21600" o:spt="202" path="m,l,21600r21600,l21600,xe">
                  <v:stroke joinstyle="miter"/>
                  <v:path gradientshapeok="t" o:connecttype="rect"/>
                </v:shapetype>
                <v:shape id="Text Box 2" o:spid="_x0000_s1186" type="#_x0000_t202" style="position:absolute;left:783;width:56887;height: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" stroked="f">
                  <v:textbox>
                    <w:txbxContent>
                      <w:p w14:paraId="58AA52A1" w14:textId="26547CE6" w:rsidR="00FE7438" w:rsidRPr="00263773" w:rsidRDefault="00FE7438" w:rsidP="008742C6">
                        <w:pPr>
                          <w:spacing w:after="0" w:line="360" w:lineRule="auto"/>
                          <w:jc w:val="both"/>
                          <w:rPr>
                            <w:rFonts w:ascii="Times New Roman" w:eastAsia="Calibri" w:hAnsi="Times New Roman"/>
                            <w:sz w:val="24"/>
                            <w:szCs w:val="24"/>
                          </w:rPr>
                        </w:pPr>
                        <w:r w:rsidRPr="000B5622">
                          <w:rPr>
                            <w:rFonts w:ascii="Times New Roman" w:eastAsia="Calibri" w:hAnsi="Times New Roman"/>
                            <w:bCs/>
                            <w:sz w:val="24"/>
                            <w:szCs w:val="24"/>
                          </w:rPr>
                          <w:t xml:space="preserve">Under these branches, there is different individual fraud schemes grouped in subcategories and called “The Fraud Tree” (Figure </w:t>
                        </w:r>
                        <w:r>
                          <w:rPr>
                            <w:rFonts w:ascii="Times New Roman" w:eastAsia="Calibri" w:hAnsi="Times New Roman"/>
                            <w:bCs/>
                            <w:sz w:val="24"/>
                            <w:szCs w:val="24"/>
                          </w:rPr>
                          <w:t>2.1).</w:t>
                        </w:r>
                      </w:p>
                      <w:p w14:paraId="500C2E37" w14:textId="19E94DA5" w:rsidR="00FE7438" w:rsidRDefault="00FE7438"/>
                    </w:txbxContent>
                  </v:textbox>
                </v:shape>
                <w10:wrap type="topAndBottom"/>
              </v:group>
            </w:pict>
          </mc:Fallback>
        </mc:AlternateContent>
      </w:r>
      <w:r w:rsidR="001B17E9" w:rsidRPr="008B1465">
        <w:rPr>
          <w:noProof/>
        </w:rPr>
        <mc:AlternateContent>
          <mc:Choice Requires="wps">
            <w:drawing>
              <wp:anchor distT="0" distB="0" distL="114300" distR="114300" simplePos="0" relativeHeight="251654656" behindDoc="0" locked="0" layoutInCell="1" allowOverlap="1" wp14:anchorId="5514C194" wp14:editId="5B501A5B">
                <wp:simplePos x="0" y="0"/>
                <wp:positionH relativeFrom="page">
                  <wp:posOffset>5146675</wp:posOffset>
                </wp:positionH>
                <wp:positionV relativeFrom="paragraph">
                  <wp:posOffset>7498080</wp:posOffset>
                </wp:positionV>
                <wp:extent cx="2418715" cy="840740"/>
                <wp:effectExtent l="0" t="0" r="635" b="0"/>
                <wp:wrapTopAndBottom/>
                <wp:docPr id="25" name="Text Box 25"/>
                <wp:cNvGraphicFramePr/>
                <a:graphic xmlns:a="http://schemas.openxmlformats.org/drawingml/2006/main">
                  <a:graphicData uri="http://schemas.microsoft.com/office/word/2010/wordprocessingShape">
                    <wps:wsp>
                      <wps:cNvSpPr txBox="1"/>
                      <wps:spPr>
                        <a:xfrm>
                          <a:off x="0" y="0"/>
                          <a:ext cx="2418715" cy="840740"/>
                        </a:xfrm>
                        <a:prstGeom prst="rect">
                          <a:avLst/>
                        </a:prstGeom>
                        <a:solidFill>
                          <a:prstClr val="white"/>
                        </a:solidFill>
                        <a:ln>
                          <a:noFill/>
                        </a:ln>
                      </wps:spPr>
                      <wps:txbx>
                        <w:txbxContent>
                          <w:p w14:paraId="439FD2FF" w14:textId="101F7B8A" w:rsidR="00FE7438" w:rsidRDefault="00FE7438" w:rsidP="00502C28">
                            <w:pPr>
                              <w:pStyle w:val="Caption"/>
                              <w:jc w:val="center"/>
                              <w:rPr>
                                <w:rFonts w:ascii="Times New Roman" w:eastAsia="Calibri" w:hAnsi="Times New Roman"/>
                                <w:bCs/>
                                <w:i w:val="0"/>
                                <w:iCs w:val="0"/>
                                <w:color w:val="auto"/>
                                <w:sz w:val="24"/>
                                <w:szCs w:val="24"/>
                              </w:rPr>
                            </w:pPr>
                            <w:bookmarkStart w:id="43" w:name="_Toc145953085"/>
                            <w:r w:rsidRPr="00E450B8">
                              <w:rPr>
                                <w:rFonts w:ascii="Times New Roman" w:hAnsi="Times New Roman"/>
                                <w:i w:val="0"/>
                                <w:iCs w:val="0"/>
                                <w:color w:val="auto"/>
                                <w:sz w:val="24"/>
                                <w:szCs w:val="24"/>
                              </w:rPr>
                              <w:t xml:space="preserve">Figure </w:t>
                            </w:r>
                            <w:r>
                              <w:rPr>
                                <w:rFonts w:ascii="Times New Roman" w:hAnsi="Times New Roman"/>
                                <w:i w:val="0"/>
                                <w:iCs w:val="0"/>
                                <w:color w:val="auto"/>
                                <w:sz w:val="24"/>
                                <w:szCs w:val="24"/>
                              </w:rPr>
                              <w:fldChar w:fldCharType="begin"/>
                            </w:r>
                            <w:r>
                              <w:rPr>
                                <w:rFonts w:ascii="Times New Roman" w:hAnsi="Times New Roman"/>
                                <w:i w:val="0"/>
                                <w:iCs w:val="0"/>
                                <w:color w:val="auto"/>
                                <w:sz w:val="24"/>
                                <w:szCs w:val="24"/>
                              </w:rPr>
                              <w:instrText xml:space="preserve"> STYLEREF 1 \s </w:instrText>
                            </w:r>
                            <w:r>
                              <w:rPr>
                                <w:rFonts w:ascii="Times New Roman" w:hAnsi="Times New Roman"/>
                                <w:i w:val="0"/>
                                <w:iCs w:val="0"/>
                                <w:color w:val="auto"/>
                                <w:sz w:val="24"/>
                                <w:szCs w:val="24"/>
                              </w:rPr>
                              <w:fldChar w:fldCharType="separate"/>
                            </w:r>
                            <w:r>
                              <w:rPr>
                                <w:rFonts w:ascii="Times New Roman" w:hAnsi="Times New Roman"/>
                                <w:i w:val="0"/>
                                <w:iCs w:val="0"/>
                                <w:noProof/>
                                <w:color w:val="auto"/>
                                <w:sz w:val="24"/>
                                <w:szCs w:val="24"/>
                              </w:rPr>
                              <w:t>2</w:t>
                            </w:r>
                            <w:r>
                              <w:rPr>
                                <w:rFonts w:ascii="Times New Roman" w:hAnsi="Times New Roman"/>
                                <w:i w:val="0"/>
                                <w:iCs w:val="0"/>
                                <w:color w:val="auto"/>
                                <w:sz w:val="24"/>
                                <w:szCs w:val="24"/>
                              </w:rPr>
                              <w:fldChar w:fldCharType="end"/>
                            </w:r>
                            <w:r>
                              <w:rPr>
                                <w:rFonts w:ascii="Times New Roman" w:hAnsi="Times New Roman"/>
                                <w:i w:val="0"/>
                                <w:iCs w:val="0"/>
                                <w:color w:val="auto"/>
                                <w:sz w:val="24"/>
                                <w:szCs w:val="24"/>
                              </w:rPr>
                              <w:t>.</w:t>
                            </w:r>
                            <w:r>
                              <w:rPr>
                                <w:rFonts w:ascii="Times New Roman" w:hAnsi="Times New Roman"/>
                                <w:i w:val="0"/>
                                <w:iCs w:val="0"/>
                                <w:color w:val="auto"/>
                                <w:sz w:val="24"/>
                                <w:szCs w:val="24"/>
                              </w:rPr>
                              <w:fldChar w:fldCharType="begin"/>
                            </w:r>
                            <w:r>
                              <w:rPr>
                                <w:rFonts w:ascii="Times New Roman" w:hAnsi="Times New Roman"/>
                                <w:i w:val="0"/>
                                <w:iCs w:val="0"/>
                                <w:color w:val="auto"/>
                                <w:sz w:val="24"/>
                                <w:szCs w:val="24"/>
                              </w:rPr>
                              <w:instrText xml:space="preserve"> SEQ Figure \* ARABIC \s 1 </w:instrText>
                            </w:r>
                            <w:r>
                              <w:rPr>
                                <w:rFonts w:ascii="Times New Roman" w:hAnsi="Times New Roman"/>
                                <w:i w:val="0"/>
                                <w:iCs w:val="0"/>
                                <w:color w:val="auto"/>
                                <w:sz w:val="24"/>
                                <w:szCs w:val="24"/>
                              </w:rPr>
                              <w:fldChar w:fldCharType="separate"/>
                            </w:r>
                            <w:r>
                              <w:rPr>
                                <w:rFonts w:ascii="Times New Roman" w:hAnsi="Times New Roman"/>
                                <w:i w:val="0"/>
                                <w:iCs w:val="0"/>
                                <w:noProof/>
                                <w:color w:val="auto"/>
                                <w:sz w:val="24"/>
                                <w:szCs w:val="24"/>
                              </w:rPr>
                              <w:t>1</w:t>
                            </w:r>
                            <w:r>
                              <w:rPr>
                                <w:rFonts w:ascii="Times New Roman" w:hAnsi="Times New Roman"/>
                                <w:i w:val="0"/>
                                <w:iCs w:val="0"/>
                                <w:color w:val="auto"/>
                                <w:sz w:val="24"/>
                                <w:szCs w:val="24"/>
                              </w:rPr>
                              <w:fldChar w:fldCharType="end"/>
                            </w:r>
                            <w:r w:rsidRPr="00E450B8">
                              <w:rPr>
                                <w:rFonts w:ascii="Times New Roman" w:hAnsi="Times New Roman"/>
                                <w:i w:val="0"/>
                                <w:iCs w:val="0"/>
                                <w:color w:val="auto"/>
                                <w:sz w:val="24"/>
                                <w:szCs w:val="24"/>
                              </w:rPr>
                              <w:t xml:space="preserve">: </w:t>
                            </w:r>
                            <w:r w:rsidRPr="00E450B8">
                              <w:rPr>
                                <w:rFonts w:ascii="Times New Roman" w:eastAsia="Calibri" w:hAnsi="Times New Roman"/>
                                <w:bCs/>
                                <w:i w:val="0"/>
                                <w:iCs w:val="0"/>
                                <w:color w:val="auto"/>
                                <w:sz w:val="24"/>
                                <w:szCs w:val="24"/>
                              </w:rPr>
                              <w:t>The Fraud Tree.</w:t>
                            </w:r>
                            <w:bookmarkEnd w:id="43"/>
                          </w:p>
                          <w:p w14:paraId="2ADE8D1E" w14:textId="4D9A41C0" w:rsidR="00FE7438" w:rsidRPr="00634521" w:rsidRDefault="00FE7438" w:rsidP="002262AD">
                            <w:pPr>
                              <w:rPr>
                                <w:rFonts w:ascii="Times New Roman" w:eastAsia="Calibri" w:hAnsi="Times New Roman"/>
                                <w:b/>
                                <w:bCs/>
                              </w:rPr>
                            </w:pPr>
                            <w:r w:rsidRPr="00634521">
                              <w:rPr>
                                <w:rFonts w:ascii="Times New Roman" w:eastAsia="Calibri" w:hAnsi="Times New Roman"/>
                                <w:b/>
                                <w:bCs/>
                              </w:rPr>
                              <w:t>Sources: Association of Certified Fraud Examiner (2016)</w:t>
                            </w:r>
                          </w:p>
                          <w:p w14:paraId="61F9131F" w14:textId="77777777" w:rsidR="00FE7438" w:rsidRDefault="00FE7438"/>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514C194" id="Text Box 25" o:spid="_x0000_s1187" type="#_x0000_t202" style="position:absolute;left:0;text-align:left;margin-left:405.25pt;margin-top:590.4pt;width:190.45pt;height:66.2pt;z-index:251654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" stroked="f">
                <v:textbox inset="0,0,0,0">
                  <w:txbxContent>
                    <w:p w14:paraId="439FD2FF" w14:textId="101F7B8A" w:rsidR="00FE7438" w:rsidRDefault="00FE7438" w:rsidP="00502C28">
                      <w:pPr>
                        <w:pStyle w:val="Caption"/>
                        <w:jc w:val="center"/>
                        <w:rPr>
                          <w:rFonts w:ascii="Times New Roman" w:eastAsia="Calibri" w:hAnsi="Times New Roman"/>
                          <w:bCs/>
                          <w:i w:val="0"/>
                          <w:iCs w:val="0"/>
                          <w:color w:val="auto"/>
                          <w:sz w:val="24"/>
                          <w:szCs w:val="24"/>
                        </w:rPr>
                      </w:pPr>
                      <w:bookmarkStart w:id="43" w:name="_Toc145953085"/>
                      <w:r w:rsidRPr="00E450B8">
                        <w:rPr>
                          <w:rFonts w:ascii="Times New Roman" w:hAnsi="Times New Roman"/>
                          <w:i w:val="0"/>
                          <w:iCs w:val="0"/>
                          <w:color w:val="auto"/>
                          <w:sz w:val="24"/>
                          <w:szCs w:val="24"/>
                        </w:rPr>
                        <w:t xml:space="preserve">Figure </w:t>
                      </w:r>
                      <w:r>
                        <w:rPr>
                          <w:rFonts w:ascii="Times New Roman" w:hAnsi="Times New Roman"/>
                          <w:i w:val="0"/>
                          <w:iCs w:val="0"/>
                          <w:color w:val="auto"/>
                          <w:sz w:val="24"/>
                          <w:szCs w:val="24"/>
                        </w:rPr>
                        <w:fldChar w:fldCharType="begin"/>
                      </w:r>
                      <w:r>
                        <w:rPr>
                          <w:rFonts w:ascii="Times New Roman" w:hAnsi="Times New Roman"/>
                          <w:i w:val="0"/>
                          <w:iCs w:val="0"/>
                          <w:color w:val="auto"/>
                          <w:sz w:val="24"/>
                          <w:szCs w:val="24"/>
                        </w:rPr>
                        <w:instrText xml:space="preserve"> STYLEREF 1 \s </w:instrText>
                      </w:r>
                      <w:r>
                        <w:rPr>
                          <w:rFonts w:ascii="Times New Roman" w:hAnsi="Times New Roman"/>
                          <w:i w:val="0"/>
                          <w:iCs w:val="0"/>
                          <w:color w:val="auto"/>
                          <w:sz w:val="24"/>
                          <w:szCs w:val="24"/>
                        </w:rPr>
                        <w:fldChar w:fldCharType="separate"/>
                      </w:r>
                      <w:r>
                        <w:rPr>
                          <w:rFonts w:ascii="Times New Roman" w:hAnsi="Times New Roman"/>
                          <w:i w:val="0"/>
                          <w:iCs w:val="0"/>
                          <w:noProof/>
                          <w:color w:val="auto"/>
                          <w:sz w:val="24"/>
                          <w:szCs w:val="24"/>
                        </w:rPr>
                        <w:t>2</w:t>
                      </w:r>
                      <w:r>
                        <w:rPr>
                          <w:rFonts w:ascii="Times New Roman" w:hAnsi="Times New Roman"/>
                          <w:i w:val="0"/>
                          <w:iCs w:val="0"/>
                          <w:color w:val="auto"/>
                          <w:sz w:val="24"/>
                          <w:szCs w:val="24"/>
                        </w:rPr>
                        <w:fldChar w:fldCharType="end"/>
                      </w:r>
                      <w:r>
                        <w:rPr>
                          <w:rFonts w:ascii="Times New Roman" w:hAnsi="Times New Roman"/>
                          <w:i w:val="0"/>
                          <w:iCs w:val="0"/>
                          <w:color w:val="auto"/>
                          <w:sz w:val="24"/>
                          <w:szCs w:val="24"/>
                        </w:rPr>
                        <w:t>.</w:t>
                      </w:r>
                      <w:r>
                        <w:rPr>
                          <w:rFonts w:ascii="Times New Roman" w:hAnsi="Times New Roman"/>
                          <w:i w:val="0"/>
                          <w:iCs w:val="0"/>
                          <w:color w:val="auto"/>
                          <w:sz w:val="24"/>
                          <w:szCs w:val="24"/>
                        </w:rPr>
                        <w:fldChar w:fldCharType="begin"/>
                      </w:r>
                      <w:r>
                        <w:rPr>
                          <w:rFonts w:ascii="Times New Roman" w:hAnsi="Times New Roman"/>
                          <w:i w:val="0"/>
                          <w:iCs w:val="0"/>
                          <w:color w:val="auto"/>
                          <w:sz w:val="24"/>
                          <w:szCs w:val="24"/>
                        </w:rPr>
                        <w:instrText xml:space="preserve"> SEQ Figure \* ARABIC \s 1 </w:instrText>
                      </w:r>
                      <w:r>
                        <w:rPr>
                          <w:rFonts w:ascii="Times New Roman" w:hAnsi="Times New Roman"/>
                          <w:i w:val="0"/>
                          <w:iCs w:val="0"/>
                          <w:color w:val="auto"/>
                          <w:sz w:val="24"/>
                          <w:szCs w:val="24"/>
                        </w:rPr>
                        <w:fldChar w:fldCharType="separate"/>
                      </w:r>
                      <w:r>
                        <w:rPr>
                          <w:rFonts w:ascii="Times New Roman" w:hAnsi="Times New Roman"/>
                          <w:i w:val="0"/>
                          <w:iCs w:val="0"/>
                          <w:noProof/>
                          <w:color w:val="auto"/>
                          <w:sz w:val="24"/>
                          <w:szCs w:val="24"/>
                        </w:rPr>
                        <w:t>1</w:t>
                      </w:r>
                      <w:r>
                        <w:rPr>
                          <w:rFonts w:ascii="Times New Roman" w:hAnsi="Times New Roman"/>
                          <w:i w:val="0"/>
                          <w:iCs w:val="0"/>
                          <w:color w:val="auto"/>
                          <w:sz w:val="24"/>
                          <w:szCs w:val="24"/>
                        </w:rPr>
                        <w:fldChar w:fldCharType="end"/>
                      </w:r>
                      <w:r w:rsidRPr="00E450B8">
                        <w:rPr>
                          <w:rFonts w:ascii="Times New Roman" w:hAnsi="Times New Roman"/>
                          <w:i w:val="0"/>
                          <w:iCs w:val="0"/>
                          <w:color w:val="auto"/>
                          <w:sz w:val="24"/>
                          <w:szCs w:val="24"/>
                        </w:rPr>
                        <w:t xml:space="preserve">: </w:t>
                      </w:r>
                      <w:r w:rsidRPr="00E450B8">
                        <w:rPr>
                          <w:rFonts w:ascii="Times New Roman" w:eastAsia="Calibri" w:hAnsi="Times New Roman"/>
                          <w:bCs/>
                          <w:i w:val="0"/>
                          <w:iCs w:val="0"/>
                          <w:color w:val="auto"/>
                          <w:sz w:val="24"/>
                          <w:szCs w:val="24"/>
                        </w:rPr>
                        <w:t>The Fraud Tree.</w:t>
                      </w:r>
                      <w:bookmarkEnd w:id="43"/>
                    </w:p>
                    <w:p w14:paraId="2ADE8D1E" w14:textId="4D9A41C0" w:rsidR="00FE7438" w:rsidRPr="00634521" w:rsidRDefault="00FE7438" w:rsidP="002262AD">
                      <w:pPr>
                        <w:rPr>
                          <w:rFonts w:ascii="Times New Roman" w:eastAsia="Calibri" w:hAnsi="Times New Roman"/>
                          <w:b/>
                          <w:bCs/>
                        </w:rPr>
                      </w:pPr>
                      <w:r w:rsidRPr="00634521">
                        <w:rPr>
                          <w:rFonts w:ascii="Times New Roman" w:eastAsia="Calibri" w:hAnsi="Times New Roman"/>
                          <w:b/>
                          <w:bCs/>
                        </w:rPr>
                        <w:t>Sources: Association of Certified Fraud Examiner (2016)</w:t>
                      </w:r>
                    </w:p>
                    <w:p w14:paraId="61F9131F" w14:textId="77777777" w:rsidR="00FE7438" w:rsidRDefault="00FE7438"/>
                  </w:txbxContent>
                </v:textbox>
                <w10:wrap type="topAndBottom" anchorx="page"/>
              </v:shape>
            </w:pict>
          </mc:Fallback>
        </mc:AlternateContent>
      </w:r>
      <w:r w:rsidR="00502C28" w:rsidRPr="008B1465">
        <w:rPr>
          <w:rFonts w:ascii="Times New Roman" w:eastAsia="Calibri" w:hAnsi="Times New Roman"/>
          <w:b/>
          <w:i w:val="0"/>
          <w:iCs w:val="0"/>
          <w:color w:val="auto"/>
          <w:sz w:val="24"/>
          <w:szCs w:val="24"/>
        </w:rPr>
        <w:t>Source: Association of Certified Fraud Examiners (2016)</w:t>
      </w:r>
    </w:p>
    <w:p w14:paraId="1EB5D4AA" w14:textId="0D480AEC" w:rsidR="001616E5" w:rsidRPr="008B1465" w:rsidRDefault="008A53DF"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Transparency International Organization (2017</w:t>
      </w:r>
      <w:r w:rsidR="00693400" w:rsidRPr="008B1465">
        <w:rPr>
          <w:rFonts w:ascii="Times New Roman" w:eastAsia="Calibri" w:hAnsi="Times New Roman"/>
          <w:bCs/>
          <w:sz w:val="24"/>
          <w:szCs w:val="24"/>
        </w:rPr>
        <w:t xml:space="preserve">), </w:t>
      </w:r>
      <w:r w:rsidR="001139BA" w:rsidRPr="008B1465">
        <w:rPr>
          <w:rFonts w:ascii="Times New Roman" w:eastAsia="Calibri" w:hAnsi="Times New Roman"/>
          <w:bCs/>
          <w:sz w:val="24"/>
          <w:szCs w:val="24"/>
        </w:rPr>
        <w:t xml:space="preserve">described </w:t>
      </w:r>
      <w:r w:rsidR="00693400" w:rsidRPr="008B1465">
        <w:rPr>
          <w:rFonts w:ascii="Times New Roman" w:eastAsia="Calibri" w:hAnsi="Times New Roman"/>
          <w:bCs/>
          <w:sz w:val="24"/>
          <w:szCs w:val="24"/>
        </w:rPr>
        <w:t xml:space="preserve">corruption </w:t>
      </w:r>
      <w:r w:rsidR="001139BA" w:rsidRPr="008B1465">
        <w:rPr>
          <w:rFonts w:ascii="Times New Roman" w:eastAsia="Calibri" w:hAnsi="Times New Roman"/>
          <w:bCs/>
          <w:sz w:val="24"/>
          <w:szCs w:val="24"/>
        </w:rPr>
        <w:t xml:space="preserve">as the </w:t>
      </w:r>
      <w:r w:rsidR="004078B1" w:rsidRPr="008B1465">
        <w:rPr>
          <w:rFonts w:ascii="Times New Roman" w:eastAsia="Calibri" w:hAnsi="Times New Roman"/>
          <w:bCs/>
          <w:sz w:val="24"/>
          <w:szCs w:val="24"/>
        </w:rPr>
        <w:t xml:space="preserve">abuse of entrusted power for private gain and can be classified as grand, petty, and </w:t>
      </w:r>
      <w:r w:rsidR="00223837" w:rsidRPr="008B1465">
        <w:rPr>
          <w:rFonts w:ascii="Times New Roman" w:eastAsia="Calibri" w:hAnsi="Times New Roman"/>
          <w:bCs/>
          <w:sz w:val="24"/>
          <w:szCs w:val="24"/>
        </w:rPr>
        <w:t xml:space="preserve">political </w:t>
      </w:r>
      <w:r w:rsidR="003F05E3" w:rsidRPr="008B1465">
        <w:rPr>
          <w:rFonts w:ascii="Times New Roman" w:eastAsia="Calibri" w:hAnsi="Times New Roman"/>
          <w:bCs/>
          <w:sz w:val="24"/>
          <w:szCs w:val="24"/>
        </w:rPr>
        <w:t xml:space="preserve">depending on the amounts of money lost and the sector where </w:t>
      </w:r>
      <w:r w:rsidR="00DB0733" w:rsidRPr="008B1465">
        <w:rPr>
          <w:rFonts w:ascii="Times New Roman" w:eastAsia="Calibri" w:hAnsi="Times New Roman"/>
          <w:bCs/>
          <w:sz w:val="24"/>
          <w:szCs w:val="24"/>
        </w:rPr>
        <w:t>it</w:t>
      </w:r>
      <w:r w:rsidR="003F05E3" w:rsidRPr="008B1465">
        <w:rPr>
          <w:rFonts w:ascii="Times New Roman" w:eastAsia="Calibri" w:hAnsi="Times New Roman"/>
          <w:bCs/>
          <w:sz w:val="24"/>
          <w:szCs w:val="24"/>
        </w:rPr>
        <w:t xml:space="preserve"> occurs”. It distorts the fabric of society and affects in a negative way various sectors of the global economy. For instance, it may impact manufacturing in France, education in Uganda, the church in Greece, and parliament in Japan. Corruption schemes make up 38% of all frauds and resulted in an average loss to the victimized organizations of 250.000$ (ACFE, 2018). Ne</w:t>
      </w:r>
      <w:r w:rsidR="00693400" w:rsidRPr="008B1465">
        <w:rPr>
          <w:rFonts w:ascii="Times New Roman" w:eastAsia="Calibri" w:hAnsi="Times New Roman"/>
          <w:bCs/>
          <w:sz w:val="24"/>
          <w:szCs w:val="24"/>
        </w:rPr>
        <w:t xml:space="preserve">vertheless, other than economy </w:t>
      </w:r>
      <w:r w:rsidR="003F05E3" w:rsidRPr="008B1465">
        <w:rPr>
          <w:rFonts w:ascii="Times New Roman" w:eastAsia="Calibri" w:hAnsi="Times New Roman"/>
          <w:bCs/>
          <w:sz w:val="24"/>
          <w:szCs w:val="24"/>
        </w:rPr>
        <w:t xml:space="preserve">distortion, corruption also affects communities and societies. </w:t>
      </w:r>
    </w:p>
    <w:p w14:paraId="40AC4218" w14:textId="23A25D06"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In particular, corruption creates barriers to economic and social development in low- and middle-income countries by empowering poverty. In addition, corruption undermines security and human rights; e.g. in countries where the judiciary is corrupted</w:t>
      </w:r>
      <w:r w:rsidR="00D4689A" w:rsidRPr="008B1465">
        <w:rPr>
          <w:rFonts w:ascii="Times New Roman" w:eastAsia="Calibri" w:hAnsi="Times New Roman"/>
          <w:bCs/>
          <w:sz w:val="24"/>
          <w:szCs w:val="24"/>
        </w:rPr>
        <w:t>,</w:t>
      </w:r>
      <w:r w:rsidRPr="008B1465">
        <w:rPr>
          <w:rFonts w:ascii="Times New Roman" w:eastAsia="Calibri" w:hAnsi="Times New Roman"/>
          <w:bCs/>
          <w:sz w:val="24"/>
          <w:szCs w:val="24"/>
        </w:rPr>
        <w:t xml:space="preserve"> human rights are limited. In turn, people are less keen to be educated or express their opinion through elections, because these rights are considered to be privileged only for those being rich or having the power. Corruption schemes involve people who work within a company and develop illegal relationships with third parties; e.g. a firm’s employee, who “works” with someone from the company’s external environm</w:t>
      </w:r>
      <w:r w:rsidR="00D4689A" w:rsidRPr="008B1465">
        <w:rPr>
          <w:rFonts w:ascii="Times New Roman" w:eastAsia="Calibri" w:hAnsi="Times New Roman"/>
          <w:bCs/>
          <w:sz w:val="24"/>
          <w:szCs w:val="24"/>
        </w:rPr>
        <w:t>ent, such as government official</w:t>
      </w:r>
      <w:r w:rsidRPr="008B1465">
        <w:rPr>
          <w:rFonts w:ascii="Times New Roman" w:eastAsia="Calibri" w:hAnsi="Times New Roman"/>
          <w:bCs/>
          <w:sz w:val="24"/>
          <w:szCs w:val="24"/>
        </w:rPr>
        <w:t>s, or competitors. In this relationship, which is usually hidden from management and auditors, corruption involves bribes, illegal gratuities, economic distortion, and conflict of interests.</w:t>
      </w:r>
    </w:p>
    <w:p w14:paraId="2B705F5F" w14:textId="77777777"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Bribery can be defined as “the offering, giving, receiving, or soliciting anything of value to influence an official act or business decision” (Singleton &amp; Singleton, 2010). It involves kickbacks and bid-rigging. Kickbacks refer to undisclosed payments made by vendors to employees of the purchasing firm to accept the receipt of goods of inferior quality or even let them overbill the company. On the other hand, bid rigging refers to the actions of a firm’s employee to qualify a vendor’s offer in a bid process. Among the most well-known cases is that of Hewlett-Packard whose employees at its subsidiaries in Russia, Poland and Mexico were charged with bribing government officials to retain public contracts. Illegal gratuities are similar to bribes as they also include offering and acceptance of valuable gifts. </w:t>
      </w:r>
    </w:p>
    <w:p w14:paraId="11079263" w14:textId="7E7CEC72"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Although a gift may seem legal, it can impair someone’s opinion in futur</w:t>
      </w:r>
      <w:r w:rsidR="00D4689A" w:rsidRPr="008B1465">
        <w:rPr>
          <w:rFonts w:ascii="Times New Roman" w:eastAsia="Calibri" w:hAnsi="Times New Roman"/>
          <w:bCs/>
          <w:sz w:val="24"/>
          <w:szCs w:val="24"/>
        </w:rPr>
        <w:t>e decisions. Thus, even if a gif</w:t>
      </w:r>
      <w:r w:rsidRPr="008B1465">
        <w:rPr>
          <w:rFonts w:ascii="Times New Roman" w:eastAsia="Calibri" w:hAnsi="Times New Roman"/>
          <w:bCs/>
          <w:sz w:val="24"/>
          <w:szCs w:val="24"/>
        </w:rPr>
        <w:t>t is offered after a deal, it can also be considered illegal. Examples of this kind of corruption, include free vacation, an expensive gift or a special bottle of wine. However, accepting a gift of minor value, such as a pen, is not considered illegal (Bonsing &amp; Langsted, 2013). Therefore, most of the companies set a policy defining the maximum value of a gift considered to be legal. The opposite of gratuity and bribery is called economic extortion. In this case, the firm’s employee demands payment from a vendor to interfere in the decision-making process and support his offer. Refusal to pay the extortion results in vendor damage. The last of the possible corruption schemes is a conflict of interests. This type of corruption is defined as the undisclosed economic or personal interest of an employee, manager, or executive in a transaction that is possible to impair his decision (</w:t>
      </w:r>
      <w:r w:rsidRPr="008B1465">
        <w:rPr>
          <w:rFonts w:ascii="Times New Roman" w:hAnsi="Times New Roman"/>
          <w:sz w:val="24"/>
          <w:szCs w:val="24"/>
          <w:shd w:val="clear" w:color="auto" w:fill="FFFFFF"/>
        </w:rPr>
        <w:t>Παπαχρήστου, 2020</w:t>
      </w:r>
      <w:r w:rsidRPr="008B1465">
        <w:rPr>
          <w:rFonts w:ascii="Times New Roman" w:eastAsia="Calibri" w:hAnsi="Times New Roman"/>
          <w:bCs/>
          <w:sz w:val="24"/>
          <w:szCs w:val="24"/>
        </w:rPr>
        <w:t xml:space="preserve">). </w:t>
      </w:r>
    </w:p>
    <w:p w14:paraId="6A878F64" w14:textId="77777777"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A conflict of interest may occur during the sales or purchasing of goods and services. Given the concepts of corruption and conflict of interests, it is concluded that a conflict of interests does not always lead to corruption, but corruption does always include a conflict of interests. By far the most frequent fraud scheme is asset misappropriation. According to the ACFE (2018), asset misappropriation makes up 89% of all fraud cases and results in an average loss of $114.000 annually. It involves the theft or misuse of a firm’s assets for personal gain (</w:t>
      </w:r>
      <w:r w:rsidRPr="008B1465">
        <w:rPr>
          <w:rFonts w:ascii="Times New Roman" w:hAnsi="Times New Roman"/>
          <w:sz w:val="24"/>
          <w:szCs w:val="24"/>
          <w:shd w:val="clear" w:color="auto" w:fill="FFFFFF"/>
        </w:rPr>
        <w:t>Comer, 2017</w:t>
      </w:r>
      <w:r w:rsidRPr="008B1465">
        <w:rPr>
          <w:rFonts w:ascii="Times New Roman" w:eastAsia="Calibri" w:hAnsi="Times New Roman"/>
          <w:bCs/>
          <w:sz w:val="24"/>
          <w:szCs w:val="24"/>
        </w:rPr>
        <w:t xml:space="preserve">). The main subcategories of asset misappropriation include cash and inventory and other assets. The former refers to the taking of money from the employer; the three methods applied for this purpose, include skimming, larceny, and fraudulent disbursements. Skimming refers to a situation in which employees steal money from sales or receivables before a book entry is made. </w:t>
      </w:r>
    </w:p>
    <w:p w14:paraId="2A7B9DF0" w14:textId="1CC25168" w:rsidR="00441FF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Thus, these frauds do not leave any trail and are difficult to be detected. Larceny, on the other hand, is the direct stealing of cash as this act happens after cash has been recorded in the accounting books. Therefore, the detection of this fraud is outright and, in most cases, immediate. To commit larceny, an employee should have access to cash and also be truthful and above suspicion. Fraudulent disbursements involve the most sophisticated and complex fraud schemes. Compared to larceny, in these schemes, the distribution of funds is made from the company in a legitimate account which proves to be fraudulent. Examples of fraudulent disbursements schemes include false claims for reimbursement or goods supposed to be provided, receiving of pay checks for ghost employees and so on. Inventory and other assets fraudulent schemes do not refer to illegal cash withdrawal but involve the misuse and theft of a firm’s assets. Misuse usually refers to the inappropriate use of a firm’s equipment for personal purposes; the use of a company’s computer for personal business is among the most common types of misuse. This kind of fraud has to do mainly with the ethical culture of the firm and the tone at the top. Nonetheless, </w:t>
      </w:r>
      <w:r w:rsidR="00504F36" w:rsidRPr="008B1465">
        <w:rPr>
          <w:rFonts w:ascii="Times New Roman" w:eastAsia="Calibri" w:hAnsi="Times New Roman"/>
          <w:bCs/>
          <w:sz w:val="24"/>
          <w:szCs w:val="24"/>
        </w:rPr>
        <w:t xml:space="preserve">the larceny of its inventory is </w:t>
      </w:r>
      <w:r w:rsidRPr="008B1465">
        <w:rPr>
          <w:rFonts w:ascii="Times New Roman" w:eastAsia="Calibri" w:hAnsi="Times New Roman"/>
          <w:bCs/>
          <w:sz w:val="24"/>
          <w:szCs w:val="24"/>
        </w:rPr>
        <w:t>more severe</w:t>
      </w:r>
      <w:r w:rsidR="00504F36" w:rsidRPr="008B1465">
        <w:rPr>
          <w:rFonts w:ascii="Times New Roman" w:eastAsia="Calibri" w:hAnsi="Times New Roman"/>
          <w:bCs/>
          <w:sz w:val="24"/>
          <w:szCs w:val="24"/>
        </w:rPr>
        <w:t xml:space="preserve"> and disastrous for a company</w:t>
      </w:r>
      <w:r w:rsidRPr="008B1465">
        <w:rPr>
          <w:rFonts w:ascii="Times New Roman" w:eastAsia="Calibri" w:hAnsi="Times New Roman"/>
          <w:bCs/>
          <w:sz w:val="24"/>
          <w:szCs w:val="24"/>
        </w:rPr>
        <w:t xml:space="preserve">. It is usually made by employees who have access to inventory and the power to overcome the applied internal controls. In this type of fraud, perpetrators often conceal their acts by deleting the asset as destroyed or even by “creating” fictitious working orders. </w:t>
      </w:r>
    </w:p>
    <w:p w14:paraId="05966781" w14:textId="4B9607FA" w:rsidR="001616E5" w:rsidRPr="008B1465" w:rsidRDefault="00084CA9"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T</w:t>
      </w:r>
      <w:r w:rsidR="003F05E3" w:rsidRPr="008B1465">
        <w:rPr>
          <w:rFonts w:ascii="Times New Roman" w:eastAsia="Calibri" w:hAnsi="Times New Roman"/>
          <w:bCs/>
          <w:sz w:val="24"/>
          <w:szCs w:val="24"/>
        </w:rPr>
        <w:t>he least common but the costliest fraud type i</w:t>
      </w:r>
      <w:r w:rsidR="00441FF5" w:rsidRPr="008B1465">
        <w:rPr>
          <w:rFonts w:ascii="Times New Roman" w:eastAsia="Calibri" w:hAnsi="Times New Roman"/>
          <w:bCs/>
          <w:sz w:val="24"/>
          <w:szCs w:val="24"/>
        </w:rPr>
        <w:t>s financial statement fraud. This is an</w:t>
      </w:r>
      <w:r w:rsidR="003F05E3" w:rsidRPr="008B1465">
        <w:rPr>
          <w:rFonts w:ascii="Times New Roman" w:eastAsia="Calibri" w:hAnsi="Times New Roman"/>
          <w:bCs/>
          <w:sz w:val="24"/>
          <w:szCs w:val="24"/>
        </w:rPr>
        <w:t xml:space="preserve"> intentional manipulation of financial statements results in the misinformation of stakeholders and those who are interested in the financial situation of a company. It involves two subcategories; financial and non-financial frauds. The latter includes employment credentials and internal and external documents, but it is insignificant in terms of frequency.</w:t>
      </w:r>
    </w:p>
    <w:p w14:paraId="760D79EE" w14:textId="7827A49C"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In the former schemes, most of the cases relate to revenues and assets overstatement, while few relate to revenues and assets understatement. Among the schemes appli</w:t>
      </w:r>
      <w:r w:rsidR="00F7501F" w:rsidRPr="008B1465">
        <w:rPr>
          <w:rFonts w:ascii="Times New Roman" w:eastAsia="Calibri" w:hAnsi="Times New Roman"/>
          <w:bCs/>
          <w:sz w:val="24"/>
          <w:szCs w:val="24"/>
        </w:rPr>
        <w:t>ed to commit this type of fraud are:</w:t>
      </w:r>
      <w:r w:rsidRPr="008B1465">
        <w:rPr>
          <w:rFonts w:ascii="Times New Roman" w:eastAsia="Calibri" w:hAnsi="Times New Roman"/>
          <w:bCs/>
          <w:sz w:val="24"/>
          <w:szCs w:val="24"/>
        </w:rPr>
        <w:t xml:space="preserve"> timing differences, fictitious revenues, concealed liabilities, improper disclosures and improper asset valuation, the first and the last were widely used in well-known fraud scandals. In Enron case, the revenues of its Special Purpose Entities from long-term agreements were recorded in the current year to present increased revenues and so a robust and profitable company (Petrick and Scherer, 2003). Also, in the WorldCom fraud scandal, leases of telephone lines were recorded as assets, while they were expenses (Kuhn </w:t>
      </w:r>
      <w:r w:rsidR="00084CA9" w:rsidRPr="008B1465">
        <w:rPr>
          <w:rFonts w:ascii="Times New Roman" w:eastAsia="Calibri" w:hAnsi="Times New Roman"/>
          <w:bCs/>
          <w:sz w:val="24"/>
          <w:szCs w:val="24"/>
        </w:rPr>
        <w:t>&amp;</w:t>
      </w:r>
      <w:r w:rsidRPr="008B1465">
        <w:rPr>
          <w:rFonts w:ascii="Times New Roman" w:eastAsia="Calibri" w:hAnsi="Times New Roman"/>
          <w:bCs/>
          <w:sz w:val="24"/>
          <w:szCs w:val="24"/>
        </w:rPr>
        <w:t xml:space="preserve"> Sutton, 2010). Thus, expenses were understated, assets were overstated and as a result, WorldCom seemed to be a profitable company.  </w:t>
      </w:r>
    </w:p>
    <w:p w14:paraId="7E0B96E5" w14:textId="681E524F" w:rsidR="001616E5" w:rsidRPr="00E2560F" w:rsidRDefault="003F05E3" w:rsidP="00E2560F">
      <w:pPr>
        <w:rPr>
          <w:rFonts w:ascii="Times New Roman" w:hAnsi="Times New Roman"/>
          <w:b/>
          <w:bCs/>
          <w:sz w:val="24"/>
          <w:szCs w:val="24"/>
        </w:rPr>
      </w:pPr>
      <w:r w:rsidRPr="00E2560F">
        <w:rPr>
          <w:rFonts w:ascii="Times New Roman" w:hAnsi="Times New Roman"/>
          <w:b/>
          <w:bCs/>
          <w:sz w:val="24"/>
          <w:szCs w:val="24"/>
        </w:rPr>
        <w:t>Forensic Accounting</w:t>
      </w:r>
    </w:p>
    <w:p w14:paraId="1DA8BDB7" w14:textId="303881FD" w:rsidR="001616E5" w:rsidRPr="008B1465" w:rsidRDefault="003F05E3" w:rsidP="007541CB">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A s</w:t>
      </w:r>
      <w:r w:rsidR="00F7501F" w:rsidRPr="008B1465">
        <w:rPr>
          <w:rFonts w:ascii="Times New Roman" w:eastAsia="Calibri" w:hAnsi="Times New Roman"/>
          <w:sz w:val="24"/>
          <w:szCs w:val="24"/>
        </w:rPr>
        <w:t xml:space="preserve">ubstantial </w:t>
      </w:r>
      <w:r w:rsidRPr="008B1465">
        <w:rPr>
          <w:rFonts w:ascii="Times New Roman" w:eastAsia="Calibri" w:hAnsi="Times New Roman"/>
          <w:sz w:val="24"/>
          <w:szCs w:val="24"/>
        </w:rPr>
        <w:t xml:space="preserve">number of researchers have defined forensic accounting conceptually and operationally, and it has gradually made its way into the mainstream of contemporary accounting literature. Forensic accounting is described by (Mamiro, 2010) as the use of financial accounting and investigative expertise to a standard recognized by the courts to address issues in disputes in the context of civil and criminal litigation. Ijeoma, </w:t>
      </w:r>
      <w:r w:rsidR="004D7C5F" w:rsidRPr="008B1465">
        <w:rPr>
          <w:rFonts w:ascii="Times New Roman" w:eastAsia="Calibri" w:hAnsi="Times New Roman"/>
          <w:sz w:val="24"/>
          <w:szCs w:val="24"/>
        </w:rPr>
        <w:t>(</w:t>
      </w:r>
      <w:r w:rsidRPr="008B1465">
        <w:rPr>
          <w:rFonts w:ascii="Times New Roman" w:eastAsia="Calibri" w:hAnsi="Times New Roman"/>
          <w:sz w:val="24"/>
          <w:szCs w:val="24"/>
        </w:rPr>
        <w:t>2015), it is an accounting discipline that is quickly expanding and describes the engagement brought on by actual or anticipated disputes or legal proceedings. Dhar and Sarkar (2010), forensic accounting is the use of accounting principles and procedures to solve legal issues. Investigative work in forensic accounting makes use of accounting, auditing, and investigative techniques (Okolie, 2014).</w:t>
      </w:r>
    </w:p>
    <w:p w14:paraId="6D82C5F5" w14:textId="07A6ED75" w:rsidR="001616E5" w:rsidRPr="008B1465" w:rsidRDefault="003F05E3" w:rsidP="007541CB">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The practice of using accounting, auditing, and investigative skills to support legal cases, as well as the application of specialized knowledge to the evidence of economic transactions and reporting appropriate for the purpose of establishing accountability or valuation for administrative </w:t>
      </w:r>
      <w:r w:rsidR="00B764F4" w:rsidRPr="008B1465">
        <w:rPr>
          <w:rFonts w:ascii="Times New Roman" w:eastAsia="Calibri" w:hAnsi="Times New Roman"/>
          <w:sz w:val="24"/>
          <w:szCs w:val="24"/>
        </w:rPr>
        <w:t>proceedings</w:t>
      </w:r>
      <w:r w:rsidRPr="008B1465">
        <w:rPr>
          <w:rFonts w:ascii="Times New Roman" w:eastAsia="Calibri" w:hAnsi="Times New Roman"/>
          <w:sz w:val="24"/>
          <w:szCs w:val="24"/>
        </w:rPr>
        <w:t xml:space="preserve"> is known as forensic accounting (Adegbie &amp; Fakile, 2012). Degboro and Olofinsola (2007), forensic accounting is the use of </w:t>
      </w:r>
      <w:r w:rsidR="00B764F4" w:rsidRPr="008B1465">
        <w:rPr>
          <w:rFonts w:ascii="Times New Roman" w:eastAsia="Calibri" w:hAnsi="Times New Roman"/>
          <w:sz w:val="24"/>
          <w:szCs w:val="24"/>
        </w:rPr>
        <w:t>criminalistics</w:t>
      </w:r>
      <w:r w:rsidRPr="008B1465">
        <w:rPr>
          <w:rFonts w:ascii="Times New Roman" w:eastAsia="Calibri" w:hAnsi="Times New Roman"/>
          <w:sz w:val="24"/>
          <w:szCs w:val="24"/>
        </w:rPr>
        <w:t xml:space="preserve"> techniques and the blending of accounting investigation operations and legal processes to identify and look into financial crimes and associated accounting wrongdoing.</w:t>
      </w:r>
    </w:p>
    <w:p w14:paraId="4CF135D9" w14:textId="29F04B2A" w:rsidR="001616E5" w:rsidRPr="008B1465" w:rsidRDefault="003F05E3" w:rsidP="007541CB">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Howard and Sheetz (2006), forensic accounting is the process of analyzing, summarizing, and factually presenting complicated financial matters in a court of law as an expert. In order to find assurance, attestation, and advisory perspective and provide legal proof, forensic accounting has its own models and techniques of investigative procedures. </w:t>
      </w:r>
      <w:r w:rsidR="00B764F4" w:rsidRPr="008B1465">
        <w:rPr>
          <w:rFonts w:ascii="Times New Roman" w:eastAsia="Calibri" w:hAnsi="Times New Roman"/>
          <w:sz w:val="24"/>
          <w:szCs w:val="24"/>
        </w:rPr>
        <w:t>It is focused on the evidential</w:t>
      </w:r>
      <w:r w:rsidRPr="008B1465">
        <w:rPr>
          <w:rFonts w:ascii="Times New Roman" w:eastAsia="Calibri" w:hAnsi="Times New Roman"/>
          <w:sz w:val="24"/>
          <w:szCs w:val="24"/>
        </w:rPr>
        <w:t xml:space="preserve"> nature of accounting data and, as a practical area, is concerned with accounting fraud, forensic auditing, compliance, due diligence, and risk assessment; finding financial misrepresentation and financial statement fraud; detecting tax evasion; bankruptcy and valuation studies; and accounting regulation violations (Dhar &amp; Sarkar, 2010). Investigative abilities acquired over years of practical experience are combined with an individual's accounting and auditing expertise to form forensic accounting (Henry &amp; Ganiyu, 2017).</w:t>
      </w:r>
    </w:p>
    <w:p w14:paraId="5CABAAC2" w14:textId="504C8E48" w:rsidR="001616E5" w:rsidRPr="008B1465" w:rsidRDefault="003F05E3" w:rsidP="007541CB">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It is the process by which a forensic accountant reviews instructions provided by a client, typically through a solicitor, thoroughly investigates those instructions and the underlying circumstances, looks at the financial data and pertinent contracts and other agreements, gathers the necessary evidence, performs any necessary calculations, draws a conclusion, and publishes the entire process in the form of a report suitable for presentation </w:t>
      </w:r>
      <w:r w:rsidR="00D510C5" w:rsidRPr="008B1465">
        <w:rPr>
          <w:rFonts w:ascii="Times New Roman" w:eastAsia="Calibri" w:hAnsi="Times New Roman"/>
          <w:sz w:val="24"/>
          <w:szCs w:val="24"/>
        </w:rPr>
        <w:t>(</w:t>
      </w:r>
      <w:r w:rsidRPr="008B1465">
        <w:rPr>
          <w:rFonts w:ascii="Times New Roman" w:hAnsi="Times New Roman"/>
          <w:sz w:val="24"/>
          <w:szCs w:val="24"/>
          <w:shd w:val="clear" w:color="auto" w:fill="FFFFFF"/>
        </w:rPr>
        <w:t xml:space="preserve">Henry &amp; Ganiyu, 2017). </w:t>
      </w:r>
      <w:r w:rsidRPr="008B1465">
        <w:rPr>
          <w:rFonts w:ascii="Times New Roman" w:eastAsia="Calibri" w:hAnsi="Times New Roman"/>
          <w:sz w:val="24"/>
          <w:szCs w:val="24"/>
        </w:rPr>
        <w:t>Adegbie and Fakile, (2012), forensic accounting is the practice of applying research and analytical abilities in a way that satisfies legal criteria. When solving legal issues that call for the fusion of investigative, accounting, and auditing skills, forensic accounting is a science that deals with the application of accounting facts and concepts discovered through auditing methodologies, tactics, and procedures (Arokia-Samy &amp; Cristal, 2009; Dhar &amp; Sarkar, 2010).</w:t>
      </w:r>
    </w:p>
    <w:p w14:paraId="40C2C804" w14:textId="68C7425E" w:rsidR="001616E5" w:rsidRPr="008B1465" w:rsidRDefault="00626A56" w:rsidP="007541CB">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Bhasin </w:t>
      </w:r>
      <w:r w:rsidR="00C4582B" w:rsidRPr="008B1465">
        <w:rPr>
          <w:rFonts w:ascii="Times New Roman" w:eastAsia="Calibri" w:hAnsi="Times New Roman"/>
          <w:sz w:val="24"/>
          <w:szCs w:val="24"/>
        </w:rPr>
        <w:t>(</w:t>
      </w:r>
      <w:r w:rsidRPr="008B1465">
        <w:rPr>
          <w:rFonts w:ascii="Times New Roman" w:eastAsia="Calibri" w:hAnsi="Times New Roman"/>
          <w:sz w:val="24"/>
          <w:szCs w:val="24"/>
        </w:rPr>
        <w:t>2007</w:t>
      </w:r>
      <w:r w:rsidR="00C4582B" w:rsidRPr="008B1465">
        <w:rPr>
          <w:rFonts w:ascii="Times New Roman" w:eastAsia="Calibri" w:hAnsi="Times New Roman"/>
          <w:sz w:val="24"/>
          <w:szCs w:val="24"/>
        </w:rPr>
        <w:t>)</w:t>
      </w:r>
      <w:r w:rsidR="003F05E3" w:rsidRPr="008B1465">
        <w:rPr>
          <w:rFonts w:ascii="Times New Roman" w:eastAsia="Calibri" w:hAnsi="Times New Roman"/>
          <w:sz w:val="24"/>
          <w:szCs w:val="24"/>
        </w:rPr>
        <w:t xml:space="preserve"> states that among the issues that forensic accounting addresses are calculating asset values in divorce proceedings, assessing damages brought on by auditors' negligence, determining whether and how much embezzlement occurred, and whether or not criminal proceedings should be opened. He contends that the main focus of forensic accounting is the explanatory examination of phenomena, which may include the identification of deception (if any), and its impact on the accounting domain.</w:t>
      </w:r>
    </w:p>
    <w:p w14:paraId="0B801EBE" w14:textId="3681273D" w:rsidR="001616E5" w:rsidRPr="0011280E" w:rsidRDefault="003F05E3" w:rsidP="0011280E">
      <w:pPr>
        <w:rPr>
          <w:rFonts w:ascii="Times New Roman" w:hAnsi="Times New Roman"/>
          <w:b/>
          <w:bCs/>
          <w:sz w:val="24"/>
          <w:szCs w:val="24"/>
        </w:rPr>
      </w:pPr>
      <w:r w:rsidRPr="0011280E">
        <w:rPr>
          <w:rFonts w:ascii="Times New Roman" w:hAnsi="Times New Roman"/>
          <w:b/>
          <w:bCs/>
          <w:sz w:val="24"/>
          <w:szCs w:val="24"/>
        </w:rPr>
        <w:t>Forensic Accountant's Role and Advanced Skills</w:t>
      </w:r>
    </w:p>
    <w:p w14:paraId="4D2817F8" w14:textId="692B6BB0"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A forensic accountant should be regarded as a versatile individual because forensic accounting is not just one profession but a combination of a few different professions or disciplines. Forensic accounting requires its practitioners to have certain qualities in addition to those of an accountant or auditor. These features inc</w:t>
      </w:r>
      <w:r w:rsidR="00D55E1F" w:rsidRPr="008B1465">
        <w:rPr>
          <w:rFonts w:ascii="Times New Roman" w:eastAsia="Calibri" w:hAnsi="Times New Roman"/>
          <w:bCs/>
          <w:sz w:val="24"/>
          <w:szCs w:val="24"/>
        </w:rPr>
        <w:t>udes: inner-intuitive thinker, r</w:t>
      </w:r>
      <w:r w:rsidRPr="008B1465">
        <w:rPr>
          <w:rFonts w:ascii="Times New Roman" w:eastAsia="Calibri" w:hAnsi="Times New Roman"/>
          <w:bCs/>
          <w:sz w:val="24"/>
          <w:szCs w:val="24"/>
        </w:rPr>
        <w:t>isk taker</w:t>
      </w:r>
      <w:r w:rsidR="00D55E1F" w:rsidRPr="008B1465">
        <w:rPr>
          <w:rFonts w:ascii="Times New Roman" w:eastAsia="Calibri" w:hAnsi="Times New Roman"/>
          <w:bCs/>
          <w:sz w:val="24"/>
          <w:szCs w:val="24"/>
        </w:rPr>
        <w:t>, self-assured, a</w:t>
      </w:r>
      <w:r w:rsidR="00935292" w:rsidRPr="008B1465">
        <w:rPr>
          <w:rFonts w:ascii="Times New Roman" w:eastAsia="Calibri" w:hAnsi="Times New Roman"/>
          <w:bCs/>
          <w:sz w:val="24"/>
          <w:szCs w:val="24"/>
        </w:rPr>
        <w:t>daptable, curious, p</w:t>
      </w:r>
      <w:r w:rsidRPr="008B1465">
        <w:rPr>
          <w:rFonts w:ascii="Times New Roman" w:eastAsia="Calibri" w:hAnsi="Times New Roman"/>
          <w:bCs/>
          <w:sz w:val="24"/>
          <w:szCs w:val="24"/>
        </w:rPr>
        <w:t>ersistent being able to perform under pressure, acting morally, a team member, the capacity to view statistics from different angles, the capacity for written and verbal communication, the capacity for assessment, the capacity for duty understanding, and the capacity for creativity.</w:t>
      </w:r>
    </w:p>
    <w:p w14:paraId="162C60BC" w14:textId="5CB8C1ED"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In addition</w:t>
      </w:r>
      <w:r w:rsidR="00935292" w:rsidRPr="008B1465">
        <w:rPr>
          <w:rFonts w:ascii="Times New Roman" w:eastAsia="Calibri" w:hAnsi="Times New Roman"/>
          <w:bCs/>
          <w:sz w:val="24"/>
          <w:szCs w:val="24"/>
        </w:rPr>
        <w:t>,</w:t>
      </w:r>
      <w:r w:rsidRPr="008B1465">
        <w:rPr>
          <w:rFonts w:ascii="Times New Roman" w:eastAsia="Calibri" w:hAnsi="Times New Roman"/>
          <w:bCs/>
          <w:sz w:val="24"/>
          <w:szCs w:val="24"/>
        </w:rPr>
        <w:t xml:space="preserve"> forensic accountants also have advance</w:t>
      </w:r>
      <w:r w:rsidR="00935292" w:rsidRPr="008B1465">
        <w:rPr>
          <w:rFonts w:ascii="Times New Roman" w:eastAsia="Calibri" w:hAnsi="Times New Roman"/>
          <w:bCs/>
          <w:sz w:val="24"/>
          <w:szCs w:val="24"/>
        </w:rPr>
        <w:t>d s</w:t>
      </w:r>
      <w:r w:rsidR="000E753B" w:rsidRPr="008B1465">
        <w:rPr>
          <w:rFonts w:ascii="Times New Roman" w:eastAsia="Calibri" w:hAnsi="Times New Roman"/>
          <w:bCs/>
          <w:sz w:val="24"/>
          <w:szCs w:val="24"/>
        </w:rPr>
        <w:t>kills which are as follows: i</w:t>
      </w:r>
      <w:r w:rsidRPr="008B1465">
        <w:rPr>
          <w:rFonts w:ascii="Times New Roman" w:eastAsia="Calibri" w:hAnsi="Times New Roman"/>
          <w:bCs/>
          <w:sz w:val="24"/>
          <w:szCs w:val="24"/>
        </w:rPr>
        <w:t>nvestigative techniques, determining complex issues, capacity for perspective-taking, Intuition, abilities, and research by condensing the information</w:t>
      </w:r>
      <w:r w:rsidR="00935292" w:rsidRPr="008B1465">
        <w:rPr>
          <w:rFonts w:ascii="Times New Roman" w:eastAsia="Calibri" w:hAnsi="Times New Roman"/>
          <w:bCs/>
          <w:sz w:val="24"/>
          <w:szCs w:val="24"/>
        </w:rPr>
        <w:t>, the capacity to track assets e</w:t>
      </w:r>
      <w:r w:rsidRPr="008B1465">
        <w:rPr>
          <w:rFonts w:ascii="Times New Roman" w:eastAsia="Calibri" w:hAnsi="Times New Roman"/>
          <w:bCs/>
          <w:sz w:val="24"/>
          <w:szCs w:val="24"/>
        </w:rPr>
        <w:t>lectronic investigation, fraud detection, making sure in</w:t>
      </w:r>
      <w:r w:rsidR="00935292" w:rsidRPr="008B1465">
        <w:rPr>
          <w:rFonts w:ascii="Times New Roman" w:eastAsia="Calibri" w:hAnsi="Times New Roman"/>
          <w:bCs/>
          <w:sz w:val="24"/>
          <w:szCs w:val="24"/>
        </w:rPr>
        <w:t>ternal auditing is being done, t</w:t>
      </w:r>
      <w:r w:rsidRPr="008B1465">
        <w:rPr>
          <w:rFonts w:ascii="Times New Roman" w:eastAsia="Calibri" w:hAnsi="Times New Roman"/>
          <w:bCs/>
          <w:sz w:val="24"/>
          <w:szCs w:val="24"/>
        </w:rPr>
        <w:t>echnically savvy and skillful, giving evidence in court, fami</w:t>
      </w:r>
      <w:r w:rsidR="00935292" w:rsidRPr="008B1465">
        <w:rPr>
          <w:rFonts w:ascii="Times New Roman" w:eastAsia="Calibri" w:hAnsi="Times New Roman"/>
          <w:bCs/>
          <w:sz w:val="24"/>
          <w:szCs w:val="24"/>
        </w:rPr>
        <w:t>liarity with legal procedures, c</w:t>
      </w:r>
      <w:r w:rsidRPr="008B1465">
        <w:rPr>
          <w:rFonts w:ascii="Times New Roman" w:eastAsia="Calibri" w:hAnsi="Times New Roman"/>
          <w:bCs/>
          <w:sz w:val="24"/>
          <w:szCs w:val="24"/>
        </w:rPr>
        <w:t xml:space="preserve">ase-solving skills, knowledge of criminal behavior, an understanding of the case's status, being a strategic and analytical thinker. </w:t>
      </w:r>
    </w:p>
    <w:p w14:paraId="3F87C565" w14:textId="32D2C5C6" w:rsidR="001616E5" w:rsidRPr="008B1465" w:rsidRDefault="00466D95"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M</w:t>
      </w:r>
      <w:r w:rsidR="003F05E3" w:rsidRPr="008B1465">
        <w:rPr>
          <w:rFonts w:ascii="Times New Roman" w:eastAsia="Calibri" w:hAnsi="Times New Roman"/>
          <w:bCs/>
          <w:sz w:val="24"/>
          <w:szCs w:val="24"/>
        </w:rPr>
        <w:t>anagement, audit committees, executive officers, financial managers, independent auditors, and internal auditors are under pressure from the SOX Act and SAS NO.99 rules to use forensic accounting techniques in their work (AICPA, 2002). The Chairman of the Jordanian Accounting Bureau emphasized that crimes against public funds, such as theft, embezzlement, and manipulation of public funds, are regarded crimes against the public resources of the nation because of the significance of forensic accounting in the public sector. Irrespective of whether the exploitation includes public or private funds or assets, these crimes have grown in popularity around the world (www.assabeel.net/news). In addition, he emphasized that a public institution employee must be trustworthy when it comes to the general welfare and the confines of his job.</w:t>
      </w:r>
    </w:p>
    <w:p w14:paraId="56AC76E7" w14:textId="523E8B60"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They must make every effort to effectively contribute to the department's or organization's success. He continued by saying that updating auditors and accountants on the most recent advancements in audit methods and methodologies has a positive impact on the development and improvement of audit outputs and enables the auditor to conduct the forensic audit in accordance with the necessary standards (www.assabeel. net/news). According to a report from the AICPA fraud team, the forensic accountant must adhere to the auditing standards. The audit transforms into a forensic investigation once the forensic accountant recognizes the illegal behavior has become extremely clear. Investigative methods outside the purview of a conventional financial audit are employed by the forensic accountant (Durkin </w:t>
      </w:r>
      <w:r w:rsidR="00576E27" w:rsidRPr="008B1465">
        <w:rPr>
          <w:rFonts w:ascii="Times New Roman" w:eastAsia="Calibri" w:hAnsi="Times New Roman"/>
          <w:bCs/>
          <w:i/>
          <w:iCs/>
          <w:sz w:val="24"/>
          <w:szCs w:val="24"/>
        </w:rPr>
        <w:t>et al</w:t>
      </w:r>
      <w:r w:rsidRPr="008B1465">
        <w:rPr>
          <w:rFonts w:ascii="Times New Roman" w:eastAsia="Calibri" w:hAnsi="Times New Roman"/>
          <w:bCs/>
          <w:sz w:val="24"/>
          <w:szCs w:val="24"/>
        </w:rPr>
        <w:t>., 2003).</w:t>
      </w:r>
    </w:p>
    <w:p w14:paraId="315A5323" w14:textId="6F50BFC9" w:rsidR="001616E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However, because the fraud prevention program was ineffective, internal and external auditors must use forensic techniques and processes during each audit process. The forensic accountant is requested by managers to assist in the audit process should the internal and external auditors, the fraud audit committee, suspect any fraudulent behavior. As a result, the steps of the investigation will be: a conventional regular review; a thorough investigative review; and forensic accounting (Crumbley </w:t>
      </w:r>
      <w:r w:rsidR="00576E27" w:rsidRPr="008B1465">
        <w:rPr>
          <w:rFonts w:ascii="Times New Roman" w:eastAsia="Calibri" w:hAnsi="Times New Roman"/>
          <w:bCs/>
          <w:i/>
          <w:iCs/>
          <w:sz w:val="24"/>
          <w:szCs w:val="24"/>
        </w:rPr>
        <w:t>et al</w:t>
      </w:r>
      <w:r w:rsidRPr="008B1465">
        <w:rPr>
          <w:rFonts w:ascii="Times New Roman" w:eastAsia="Calibri" w:hAnsi="Times New Roman"/>
          <w:bCs/>
          <w:sz w:val="24"/>
          <w:szCs w:val="24"/>
        </w:rPr>
        <w:t>., 2007). Seven methods of investigation are used by Jack Burke Co., a judicially competent entity: - Cash monitor</w:t>
      </w:r>
      <w:r w:rsidR="00BD093D" w:rsidRPr="008B1465">
        <w:rPr>
          <w:rFonts w:ascii="Times New Roman" w:eastAsia="Calibri" w:hAnsi="Times New Roman"/>
          <w:bCs/>
          <w:sz w:val="24"/>
          <w:szCs w:val="24"/>
        </w:rPr>
        <w:t>ing and account record analysis</w:t>
      </w:r>
      <w:r w:rsidRPr="008B1465">
        <w:rPr>
          <w:rFonts w:ascii="Times New Roman" w:eastAsia="Calibri" w:hAnsi="Times New Roman"/>
          <w:bCs/>
          <w:sz w:val="24"/>
          <w:szCs w:val="24"/>
        </w:rPr>
        <w:t xml:space="preserve"> - Researching the ancestry and history of individuals. - Creating secret information sources. </w:t>
      </w:r>
    </w:p>
    <w:p w14:paraId="07DA80A7" w14:textId="55FC2902" w:rsidR="00B54E10" w:rsidRPr="007B442B" w:rsidRDefault="00B54E10" w:rsidP="00C86140">
      <w:pPr>
        <w:pStyle w:val="Heading3"/>
      </w:pPr>
      <w:bookmarkStart w:id="44" w:name="_Toc145951083"/>
      <w:r w:rsidRPr="007B442B">
        <w:t>Financial Misconduct</w:t>
      </w:r>
      <w:bookmarkEnd w:id="44"/>
    </w:p>
    <w:p w14:paraId="5048C6E1" w14:textId="0585C81E" w:rsidR="00D30210" w:rsidRDefault="008358A2" w:rsidP="008358A2">
      <w:pPr>
        <w:spacing w:after="160" w:line="360" w:lineRule="auto"/>
        <w:jc w:val="both"/>
        <w:rPr>
          <w:rFonts w:ascii="Times New Roman" w:hAnsi="Times New Roman"/>
          <w:sz w:val="24"/>
          <w:szCs w:val="24"/>
        </w:rPr>
      </w:pPr>
      <w:r w:rsidRPr="006A5F3A">
        <w:rPr>
          <w:rFonts w:ascii="Times New Roman" w:hAnsi="Times New Roman"/>
          <w:sz w:val="24"/>
          <w:szCs w:val="24"/>
        </w:rPr>
        <w:t>Financial misconduct can occur in various forms within federal universities, just as it can in any other organization or institution</w:t>
      </w:r>
      <w:r w:rsidR="00C5028B" w:rsidRPr="00C5028B">
        <w:rPr>
          <w:rFonts w:ascii="Arial" w:eastAsiaTheme="minorHAnsi" w:hAnsi="Arial" w:cs="Arial"/>
          <w:color w:val="222222"/>
          <w:sz w:val="20"/>
          <w:szCs w:val="20"/>
          <w:shd w:val="clear" w:color="auto" w:fill="FFFFFF"/>
        </w:rPr>
        <w:t xml:space="preserve"> </w:t>
      </w:r>
      <w:r w:rsidR="00C5028B">
        <w:rPr>
          <w:rFonts w:ascii="Arial" w:eastAsiaTheme="minorHAnsi" w:hAnsi="Arial" w:cs="Arial"/>
          <w:color w:val="222222"/>
          <w:sz w:val="20"/>
          <w:szCs w:val="20"/>
          <w:shd w:val="clear" w:color="auto" w:fill="FFFFFF"/>
        </w:rPr>
        <w:t>(</w:t>
      </w:r>
      <w:r w:rsidR="00950D62" w:rsidRPr="00D32797">
        <w:rPr>
          <w:rFonts w:ascii="Times New Roman" w:hAnsi="Times New Roman"/>
          <w:sz w:val="24"/>
          <w:szCs w:val="24"/>
        </w:rPr>
        <w:t>Jacob, 2020</w:t>
      </w:r>
      <w:r w:rsidR="00950D62">
        <w:rPr>
          <w:rFonts w:ascii="Times New Roman" w:hAnsi="Times New Roman"/>
          <w:sz w:val="24"/>
          <w:szCs w:val="24"/>
        </w:rPr>
        <w:t>;</w:t>
      </w:r>
      <w:r w:rsidR="00950D62" w:rsidRPr="00D32797">
        <w:rPr>
          <w:rFonts w:ascii="Times New Roman" w:hAnsi="Times New Roman"/>
          <w:sz w:val="24"/>
          <w:szCs w:val="24"/>
        </w:rPr>
        <w:t xml:space="preserve"> </w:t>
      </w:r>
      <w:r w:rsidR="00C5028B" w:rsidRPr="00C5028B">
        <w:rPr>
          <w:rFonts w:ascii="Times New Roman" w:hAnsi="Times New Roman"/>
          <w:sz w:val="24"/>
          <w:szCs w:val="24"/>
        </w:rPr>
        <w:t>Ogunode, Ohunene</w:t>
      </w:r>
      <w:r w:rsidR="00C5028B">
        <w:rPr>
          <w:rFonts w:ascii="Times New Roman" w:hAnsi="Times New Roman"/>
          <w:sz w:val="24"/>
          <w:szCs w:val="24"/>
        </w:rPr>
        <w:t xml:space="preserve"> </w:t>
      </w:r>
      <w:r w:rsidR="00C5028B" w:rsidRPr="00C5028B">
        <w:rPr>
          <w:rFonts w:ascii="Times New Roman" w:hAnsi="Times New Roman"/>
          <w:sz w:val="24"/>
          <w:szCs w:val="24"/>
        </w:rPr>
        <w:t>&amp; Olatunde-Aiyedun, 2022)</w:t>
      </w:r>
      <w:r w:rsidRPr="006A5F3A">
        <w:rPr>
          <w:rFonts w:ascii="Times New Roman" w:hAnsi="Times New Roman"/>
          <w:sz w:val="24"/>
          <w:szCs w:val="24"/>
        </w:rPr>
        <w:t>. While federal universities typically have systems and processes in place to prevent and detect misconduct, it is essential to remain vigilant and address any issues that may arise. Here are some common types of financial misconduct that can occur in federal universities:</w:t>
      </w:r>
      <w:r w:rsidR="0097737E">
        <w:rPr>
          <w:rFonts w:ascii="Times New Roman" w:hAnsi="Times New Roman"/>
          <w:sz w:val="24"/>
          <w:szCs w:val="24"/>
        </w:rPr>
        <w:t xml:space="preserve"> fund </w:t>
      </w:r>
      <w:r w:rsidR="004F22C3">
        <w:rPr>
          <w:rFonts w:ascii="Times New Roman" w:hAnsi="Times New Roman"/>
          <w:sz w:val="24"/>
          <w:szCs w:val="24"/>
        </w:rPr>
        <w:t>misappropriation</w:t>
      </w:r>
      <w:r w:rsidR="0097737E">
        <w:rPr>
          <w:rFonts w:ascii="Times New Roman" w:hAnsi="Times New Roman"/>
          <w:sz w:val="24"/>
          <w:szCs w:val="24"/>
        </w:rPr>
        <w:t>, creative accounting practices,</w:t>
      </w:r>
      <w:r w:rsidR="004F22C3">
        <w:rPr>
          <w:rFonts w:ascii="Times New Roman" w:hAnsi="Times New Roman"/>
          <w:sz w:val="24"/>
          <w:szCs w:val="24"/>
        </w:rPr>
        <w:t xml:space="preserve"> procurement practices,</w:t>
      </w:r>
      <w:r>
        <w:rPr>
          <w:rFonts w:ascii="Times New Roman" w:hAnsi="Times New Roman"/>
          <w:sz w:val="24"/>
          <w:szCs w:val="24"/>
        </w:rPr>
        <w:t xml:space="preserve"> </w:t>
      </w:r>
      <w:r w:rsidR="001C6871">
        <w:rPr>
          <w:rFonts w:ascii="Times New Roman" w:hAnsi="Times New Roman"/>
          <w:sz w:val="24"/>
          <w:szCs w:val="24"/>
        </w:rPr>
        <w:t>e</w:t>
      </w:r>
      <w:r w:rsidRPr="006A5F3A">
        <w:rPr>
          <w:rFonts w:ascii="Times New Roman" w:hAnsi="Times New Roman"/>
          <w:sz w:val="24"/>
          <w:szCs w:val="24"/>
        </w:rPr>
        <w:t>mployees or officials divert university funds for personal use</w:t>
      </w:r>
      <w:r w:rsidR="00EF0E17">
        <w:rPr>
          <w:rFonts w:ascii="Times New Roman" w:hAnsi="Times New Roman"/>
          <w:sz w:val="24"/>
          <w:szCs w:val="24"/>
        </w:rPr>
        <w:t>, c</w:t>
      </w:r>
      <w:r w:rsidRPr="006A5F3A">
        <w:rPr>
          <w:rFonts w:ascii="Times New Roman" w:hAnsi="Times New Roman"/>
          <w:sz w:val="24"/>
          <w:szCs w:val="24"/>
        </w:rPr>
        <w:t>reating fictitious employees and diverting their salaries into personal accounts</w:t>
      </w:r>
      <w:r w:rsidR="00EF0E17">
        <w:rPr>
          <w:rFonts w:ascii="Times New Roman" w:hAnsi="Times New Roman"/>
          <w:sz w:val="24"/>
          <w:szCs w:val="24"/>
        </w:rPr>
        <w:t>, s</w:t>
      </w:r>
      <w:r w:rsidRPr="006A5F3A">
        <w:rPr>
          <w:rFonts w:ascii="Times New Roman" w:hAnsi="Times New Roman"/>
          <w:sz w:val="24"/>
          <w:szCs w:val="24"/>
        </w:rPr>
        <w:t>ubmitting false expense claims or inflating expenses for reimbursement</w:t>
      </w:r>
      <w:r w:rsidR="00EF0E17">
        <w:rPr>
          <w:rFonts w:ascii="Times New Roman" w:hAnsi="Times New Roman"/>
          <w:sz w:val="24"/>
          <w:szCs w:val="24"/>
        </w:rPr>
        <w:t xml:space="preserve"> and, r</w:t>
      </w:r>
      <w:r w:rsidRPr="006A5F3A">
        <w:rPr>
          <w:rFonts w:ascii="Times New Roman" w:hAnsi="Times New Roman"/>
          <w:sz w:val="24"/>
          <w:szCs w:val="24"/>
        </w:rPr>
        <w:t>igging procurement processes or manipulating bids to favor specific vendors</w:t>
      </w:r>
      <w:r w:rsidR="00ED2CE4">
        <w:rPr>
          <w:rFonts w:ascii="Times New Roman" w:hAnsi="Times New Roman"/>
          <w:sz w:val="24"/>
          <w:szCs w:val="24"/>
        </w:rPr>
        <w:t xml:space="preserve"> among others.</w:t>
      </w:r>
    </w:p>
    <w:p w14:paraId="495CCECD" w14:textId="3D6E6C98" w:rsidR="008358A2" w:rsidRPr="006A5F3A" w:rsidRDefault="008358A2" w:rsidP="008358A2">
      <w:pPr>
        <w:spacing w:after="160" w:line="360" w:lineRule="auto"/>
        <w:jc w:val="both"/>
        <w:rPr>
          <w:rFonts w:ascii="Times New Roman" w:hAnsi="Times New Roman"/>
          <w:sz w:val="24"/>
          <w:szCs w:val="24"/>
        </w:rPr>
      </w:pPr>
      <w:r w:rsidRPr="006A5F3A">
        <w:rPr>
          <w:rFonts w:ascii="Times New Roman" w:hAnsi="Times New Roman"/>
          <w:sz w:val="24"/>
          <w:szCs w:val="24"/>
        </w:rPr>
        <w:t>Misrepresenting research or grant proposals to secure funding.</w:t>
      </w:r>
      <w:r>
        <w:rPr>
          <w:rFonts w:ascii="Times New Roman" w:hAnsi="Times New Roman"/>
          <w:sz w:val="24"/>
          <w:szCs w:val="24"/>
        </w:rPr>
        <w:t xml:space="preserve"> </w:t>
      </w:r>
      <w:r w:rsidRPr="006A5F3A">
        <w:rPr>
          <w:rFonts w:ascii="Times New Roman" w:hAnsi="Times New Roman"/>
          <w:sz w:val="24"/>
          <w:szCs w:val="24"/>
        </w:rPr>
        <w:t>Manipulating student scholarship or financial aid programs for personal gain.</w:t>
      </w:r>
      <w:r>
        <w:rPr>
          <w:rFonts w:ascii="Times New Roman" w:hAnsi="Times New Roman"/>
          <w:sz w:val="24"/>
          <w:szCs w:val="24"/>
        </w:rPr>
        <w:t xml:space="preserve"> </w:t>
      </w:r>
      <w:r w:rsidRPr="006A5F3A">
        <w:rPr>
          <w:rFonts w:ascii="Times New Roman" w:hAnsi="Times New Roman"/>
          <w:sz w:val="24"/>
          <w:szCs w:val="24"/>
        </w:rPr>
        <w:t>Accepting bribes or kickbacks in exchange for university contracts or favors.</w:t>
      </w:r>
      <w:r>
        <w:rPr>
          <w:rFonts w:ascii="Times New Roman" w:hAnsi="Times New Roman"/>
          <w:sz w:val="24"/>
          <w:szCs w:val="24"/>
        </w:rPr>
        <w:t xml:space="preserve"> </w:t>
      </w:r>
      <w:r w:rsidRPr="006A5F3A">
        <w:rPr>
          <w:rFonts w:ascii="Times New Roman" w:hAnsi="Times New Roman"/>
          <w:sz w:val="24"/>
          <w:szCs w:val="24"/>
        </w:rPr>
        <w:t>Favoring family members or close associates in hiring or procurement decisions.</w:t>
      </w:r>
      <w:r>
        <w:rPr>
          <w:rFonts w:ascii="Times New Roman" w:hAnsi="Times New Roman"/>
          <w:sz w:val="24"/>
          <w:szCs w:val="24"/>
        </w:rPr>
        <w:t xml:space="preserve"> </w:t>
      </w:r>
      <w:r w:rsidRPr="006A5F3A">
        <w:rPr>
          <w:rFonts w:ascii="Times New Roman" w:hAnsi="Times New Roman"/>
          <w:sz w:val="24"/>
          <w:szCs w:val="24"/>
        </w:rPr>
        <w:t>Using university funds for personal travel, entertainment, or other unauthorized expenses.</w:t>
      </w:r>
      <w:r>
        <w:rPr>
          <w:rFonts w:ascii="Times New Roman" w:hAnsi="Times New Roman"/>
          <w:sz w:val="24"/>
          <w:szCs w:val="24"/>
        </w:rPr>
        <w:t xml:space="preserve"> </w:t>
      </w:r>
      <w:r w:rsidRPr="006A5F3A">
        <w:rPr>
          <w:rFonts w:ascii="Times New Roman" w:hAnsi="Times New Roman"/>
          <w:sz w:val="24"/>
          <w:szCs w:val="24"/>
        </w:rPr>
        <w:t>Investing university funds in high-risk ventures or making unauthorized loans. Using the university's financial system to disguise the origin of illicit funds.</w:t>
      </w:r>
      <w:r>
        <w:rPr>
          <w:rFonts w:ascii="Times New Roman" w:hAnsi="Times New Roman"/>
          <w:sz w:val="24"/>
          <w:szCs w:val="24"/>
        </w:rPr>
        <w:t xml:space="preserve"> </w:t>
      </w:r>
      <w:r w:rsidRPr="006A5F3A">
        <w:rPr>
          <w:rFonts w:ascii="Times New Roman" w:hAnsi="Times New Roman"/>
          <w:sz w:val="24"/>
          <w:szCs w:val="24"/>
        </w:rPr>
        <w:t>Falsifying financial statements to present a better financial picture than the actual situation.</w:t>
      </w:r>
    </w:p>
    <w:p w14:paraId="08767CEC" w14:textId="77777777" w:rsidR="008358A2" w:rsidRDefault="008358A2" w:rsidP="008358A2">
      <w:pPr>
        <w:spacing w:line="360" w:lineRule="auto"/>
        <w:jc w:val="both"/>
        <w:rPr>
          <w:rFonts w:ascii="Times New Roman" w:hAnsi="Times New Roman"/>
          <w:sz w:val="24"/>
          <w:szCs w:val="24"/>
        </w:rPr>
      </w:pPr>
      <w:r w:rsidRPr="006A5F3A">
        <w:rPr>
          <w:rFonts w:ascii="Times New Roman" w:hAnsi="Times New Roman"/>
          <w:sz w:val="24"/>
          <w:szCs w:val="24"/>
        </w:rPr>
        <w:t>Recognizing revenue prematurely or inaccurately.</w:t>
      </w:r>
      <w:r>
        <w:rPr>
          <w:rFonts w:ascii="Times New Roman" w:hAnsi="Times New Roman"/>
          <w:sz w:val="24"/>
          <w:szCs w:val="24"/>
        </w:rPr>
        <w:t xml:space="preserve"> </w:t>
      </w:r>
      <w:r w:rsidRPr="006A5F3A">
        <w:rPr>
          <w:rFonts w:ascii="Times New Roman" w:hAnsi="Times New Roman"/>
          <w:sz w:val="24"/>
          <w:szCs w:val="24"/>
        </w:rPr>
        <w:t>Incorrectly capitalizing expenses to inflate assets.</w:t>
      </w:r>
      <w:r>
        <w:rPr>
          <w:rFonts w:ascii="Times New Roman" w:hAnsi="Times New Roman"/>
          <w:sz w:val="24"/>
          <w:szCs w:val="24"/>
        </w:rPr>
        <w:t xml:space="preserve"> </w:t>
      </w:r>
      <w:r w:rsidRPr="006A5F3A">
        <w:rPr>
          <w:rFonts w:ascii="Times New Roman" w:hAnsi="Times New Roman"/>
          <w:sz w:val="24"/>
          <w:szCs w:val="24"/>
        </w:rPr>
        <w:t>University employees or officials trading securities based on non-public information related to the university's financial health or research findings.</w:t>
      </w:r>
      <w:r>
        <w:rPr>
          <w:rFonts w:ascii="Times New Roman" w:hAnsi="Times New Roman"/>
          <w:sz w:val="24"/>
          <w:szCs w:val="24"/>
        </w:rPr>
        <w:t xml:space="preserve"> </w:t>
      </w:r>
      <w:r w:rsidRPr="006A5F3A">
        <w:rPr>
          <w:rFonts w:ascii="Times New Roman" w:hAnsi="Times New Roman"/>
          <w:sz w:val="24"/>
          <w:szCs w:val="24"/>
        </w:rPr>
        <w:t>Allocating funds poorly, resulting in wastage or mismanagement.</w:t>
      </w:r>
      <w:r>
        <w:rPr>
          <w:rFonts w:ascii="Times New Roman" w:hAnsi="Times New Roman"/>
          <w:sz w:val="24"/>
          <w:szCs w:val="24"/>
        </w:rPr>
        <w:t xml:space="preserve"> </w:t>
      </w:r>
      <w:r w:rsidRPr="006A5F3A">
        <w:rPr>
          <w:rFonts w:ascii="Times New Roman" w:hAnsi="Times New Roman"/>
          <w:sz w:val="24"/>
          <w:szCs w:val="24"/>
        </w:rPr>
        <w:t>Not collecting owed tuition fees, leading to financial losses.</w:t>
      </w:r>
      <w:r>
        <w:rPr>
          <w:rFonts w:ascii="Times New Roman" w:hAnsi="Times New Roman"/>
          <w:sz w:val="24"/>
          <w:szCs w:val="24"/>
        </w:rPr>
        <w:t xml:space="preserve"> </w:t>
      </w:r>
      <w:r w:rsidRPr="006A5F3A">
        <w:rPr>
          <w:rFonts w:ascii="Times New Roman" w:hAnsi="Times New Roman"/>
          <w:sz w:val="24"/>
          <w:szCs w:val="24"/>
        </w:rPr>
        <w:t>Failing to protect sensitive financial and personal data can lead to theft and fraud.</w:t>
      </w:r>
      <w:r>
        <w:rPr>
          <w:rFonts w:ascii="Times New Roman" w:hAnsi="Times New Roman"/>
          <w:sz w:val="24"/>
          <w:szCs w:val="24"/>
        </w:rPr>
        <w:t xml:space="preserve"> </w:t>
      </w:r>
      <w:r w:rsidRPr="006A5F3A">
        <w:rPr>
          <w:rFonts w:ascii="Times New Roman" w:hAnsi="Times New Roman"/>
          <w:sz w:val="24"/>
          <w:szCs w:val="24"/>
        </w:rPr>
        <w:t>University employees failing to disclose personal interests that may influence financial decisions.</w:t>
      </w:r>
      <w:r>
        <w:rPr>
          <w:rFonts w:ascii="Times New Roman" w:hAnsi="Times New Roman"/>
          <w:sz w:val="24"/>
          <w:szCs w:val="24"/>
        </w:rPr>
        <w:t xml:space="preserve"> </w:t>
      </w:r>
    </w:p>
    <w:p w14:paraId="46E5ECEC" w14:textId="7D3ECE00" w:rsidR="008358A2" w:rsidRDefault="008358A2" w:rsidP="008358A2">
      <w:pPr>
        <w:spacing w:before="0" w:after="160" w:line="360" w:lineRule="auto"/>
        <w:jc w:val="both"/>
        <w:rPr>
          <w:rFonts w:ascii="Times New Roman" w:hAnsi="Times New Roman"/>
          <w:sz w:val="24"/>
          <w:szCs w:val="24"/>
        </w:rPr>
      </w:pPr>
      <w:r w:rsidRPr="006A5F3A">
        <w:rPr>
          <w:rFonts w:ascii="Times New Roman" w:hAnsi="Times New Roman"/>
          <w:sz w:val="24"/>
          <w:szCs w:val="24"/>
        </w:rPr>
        <w:t>It</w:t>
      </w:r>
      <w:r>
        <w:rPr>
          <w:rFonts w:ascii="Times New Roman" w:hAnsi="Times New Roman"/>
          <w:sz w:val="24"/>
          <w:szCs w:val="24"/>
        </w:rPr>
        <w:t xml:space="preserve"> is</w:t>
      </w:r>
      <w:r w:rsidRPr="006A5F3A">
        <w:rPr>
          <w:rFonts w:ascii="Times New Roman" w:hAnsi="Times New Roman"/>
          <w:sz w:val="24"/>
          <w:szCs w:val="24"/>
        </w:rPr>
        <w:t xml:space="preserve"> note</w:t>
      </w:r>
      <w:r>
        <w:rPr>
          <w:rFonts w:ascii="Times New Roman" w:hAnsi="Times New Roman"/>
          <w:sz w:val="24"/>
          <w:szCs w:val="24"/>
        </w:rPr>
        <w:t>worthy</w:t>
      </w:r>
      <w:r w:rsidRPr="006A5F3A">
        <w:rPr>
          <w:rFonts w:ascii="Times New Roman" w:hAnsi="Times New Roman"/>
          <w:sz w:val="24"/>
          <w:szCs w:val="24"/>
        </w:rPr>
        <w:t xml:space="preserve"> that federal universities, like other educational institutions, receive public funding and must adhere to strict financial regulations and oversight. In many cases, external auditing bodies and government agencies are responsible for monitoring and investigating financial misconduct in these institutions. Effective preventive measures, transparency, and ethical leadership are crucial in minimizing financial misconduct within federal universities.</w:t>
      </w:r>
    </w:p>
    <w:p w14:paraId="6D71C86A" w14:textId="01045FCB" w:rsidR="00560337" w:rsidRDefault="006A7649" w:rsidP="008358A2">
      <w:pPr>
        <w:spacing w:before="0" w:after="160" w:line="360" w:lineRule="auto"/>
        <w:jc w:val="both"/>
        <w:rPr>
          <w:rFonts w:ascii="Times New Roman" w:hAnsi="Times New Roman"/>
          <w:sz w:val="24"/>
          <w:szCs w:val="24"/>
        </w:rPr>
      </w:pPr>
      <w:r w:rsidRPr="005F70BC">
        <w:rPr>
          <w:rFonts w:ascii="Times New Roman" w:hAnsi="Times New Roman"/>
          <w:sz w:val="24"/>
          <w:szCs w:val="24"/>
        </w:rPr>
        <w:t>Khan, Basu, Bashir, &amp; Uddin</w:t>
      </w:r>
      <w:r>
        <w:rPr>
          <w:rFonts w:ascii="Times New Roman" w:hAnsi="Times New Roman"/>
          <w:sz w:val="24"/>
          <w:szCs w:val="24"/>
        </w:rPr>
        <w:t xml:space="preserve"> </w:t>
      </w:r>
      <w:r w:rsidRPr="005F70BC">
        <w:rPr>
          <w:rFonts w:ascii="Times New Roman" w:hAnsi="Times New Roman"/>
          <w:sz w:val="24"/>
          <w:szCs w:val="24"/>
        </w:rPr>
        <w:t>(2021)</w:t>
      </w:r>
      <w:r>
        <w:rPr>
          <w:rFonts w:ascii="Times New Roman" w:hAnsi="Times New Roman"/>
          <w:sz w:val="24"/>
          <w:szCs w:val="24"/>
        </w:rPr>
        <w:t xml:space="preserve"> concluded that</w:t>
      </w:r>
      <w:r w:rsidRPr="005F70BC">
        <w:rPr>
          <w:rFonts w:ascii="Times New Roman" w:hAnsi="Times New Roman"/>
          <w:sz w:val="24"/>
          <w:szCs w:val="24"/>
        </w:rPr>
        <w:t xml:space="preserve"> </w:t>
      </w:r>
      <w:r>
        <w:rPr>
          <w:rFonts w:ascii="Times New Roman" w:hAnsi="Times New Roman"/>
          <w:sz w:val="24"/>
          <w:szCs w:val="24"/>
        </w:rPr>
        <w:t>f</w:t>
      </w:r>
      <w:r w:rsidR="00560337" w:rsidRPr="006A5F3A">
        <w:rPr>
          <w:rFonts w:ascii="Times New Roman" w:hAnsi="Times New Roman"/>
          <w:sz w:val="24"/>
          <w:szCs w:val="24"/>
        </w:rPr>
        <w:t>inancial misconduct poses significant challenges in federal universities. Understanding the causes, consequences, and preventive measures related to fund misappropriation, value-for-money practices, creative accounting practices, and procurement practices is crucial for ensuring transparency, accountability, and the responsible management of funds in these institutions. Ongoing research and the implementation of effective strategies are essential to mitigate the risks associated with financial misconduct and uphold the integrity of federal universities' financial systems</w:t>
      </w:r>
      <w:r w:rsidR="00951ACE">
        <w:rPr>
          <w:rFonts w:ascii="Times New Roman" w:hAnsi="Times New Roman"/>
          <w:sz w:val="24"/>
          <w:szCs w:val="24"/>
        </w:rPr>
        <w:t xml:space="preserve"> (</w:t>
      </w:r>
      <w:r w:rsidR="00951ACE" w:rsidRPr="00F67A51">
        <w:rPr>
          <w:rFonts w:ascii="Times New Roman" w:hAnsi="Times New Roman"/>
          <w:sz w:val="24"/>
          <w:szCs w:val="24"/>
        </w:rPr>
        <w:t>Shonhadji</w:t>
      </w:r>
      <w:r w:rsidR="00951ACE">
        <w:rPr>
          <w:rFonts w:ascii="Times New Roman" w:hAnsi="Times New Roman"/>
          <w:sz w:val="24"/>
          <w:szCs w:val="24"/>
        </w:rPr>
        <w:t xml:space="preserve"> </w:t>
      </w:r>
      <w:r w:rsidR="00951ACE" w:rsidRPr="00F67A51">
        <w:rPr>
          <w:rFonts w:ascii="Times New Roman" w:hAnsi="Times New Roman"/>
          <w:sz w:val="24"/>
          <w:szCs w:val="24"/>
        </w:rPr>
        <w:t>&amp; Maulidi,</w:t>
      </w:r>
      <w:r w:rsidR="00951ACE">
        <w:rPr>
          <w:rFonts w:ascii="Times New Roman" w:hAnsi="Times New Roman"/>
          <w:sz w:val="24"/>
          <w:szCs w:val="24"/>
        </w:rPr>
        <w:t xml:space="preserve"> </w:t>
      </w:r>
      <w:r w:rsidR="00951ACE" w:rsidRPr="00F67A51">
        <w:rPr>
          <w:rFonts w:ascii="Times New Roman" w:hAnsi="Times New Roman"/>
          <w:sz w:val="24"/>
          <w:szCs w:val="24"/>
        </w:rPr>
        <w:t>2021</w:t>
      </w:r>
      <w:r w:rsidR="005045EE">
        <w:rPr>
          <w:rFonts w:ascii="Times New Roman" w:hAnsi="Times New Roman"/>
          <w:sz w:val="24"/>
          <w:szCs w:val="24"/>
        </w:rPr>
        <w:t xml:space="preserve">; </w:t>
      </w:r>
      <w:r w:rsidR="008A4532" w:rsidRPr="001B699C">
        <w:rPr>
          <w:rFonts w:ascii="Times New Roman" w:hAnsi="Times New Roman"/>
          <w:sz w:val="24"/>
          <w:szCs w:val="24"/>
        </w:rPr>
        <w:t>Dadanlar</w:t>
      </w:r>
      <w:r w:rsidR="008A4532">
        <w:rPr>
          <w:rFonts w:ascii="Times New Roman" w:hAnsi="Times New Roman"/>
          <w:sz w:val="24"/>
          <w:szCs w:val="24"/>
        </w:rPr>
        <w:t xml:space="preserve"> </w:t>
      </w:r>
      <w:r w:rsidR="008A4532" w:rsidRPr="001B699C">
        <w:rPr>
          <w:rFonts w:ascii="Times New Roman" w:hAnsi="Times New Roman"/>
          <w:sz w:val="24"/>
          <w:szCs w:val="24"/>
        </w:rPr>
        <w:t>&amp; Abebe, 2020</w:t>
      </w:r>
      <w:r w:rsidR="008A4532">
        <w:rPr>
          <w:rFonts w:ascii="Times New Roman" w:hAnsi="Times New Roman"/>
          <w:sz w:val="24"/>
          <w:szCs w:val="24"/>
        </w:rPr>
        <w:t>)</w:t>
      </w:r>
    </w:p>
    <w:p w14:paraId="45BE1143" w14:textId="72D46E29" w:rsidR="00C57517" w:rsidRPr="007B442B" w:rsidRDefault="008358A2" w:rsidP="007B442B">
      <w:pPr>
        <w:spacing w:before="0" w:after="160" w:line="360" w:lineRule="auto"/>
        <w:jc w:val="both"/>
        <w:rPr>
          <w:rFonts w:ascii="Times New Roman" w:hAnsi="Times New Roman"/>
          <w:sz w:val="24"/>
          <w:szCs w:val="24"/>
        </w:rPr>
      </w:pPr>
      <w:r w:rsidRPr="006A5F3A">
        <w:rPr>
          <w:rFonts w:ascii="Times New Roman" w:hAnsi="Times New Roman"/>
          <w:sz w:val="24"/>
          <w:szCs w:val="24"/>
        </w:rPr>
        <w:t>Financial misconduct within educational institutions, including federal universities, has far-reaching consequences that extend beyond fiscal impact</w:t>
      </w:r>
      <w:r w:rsidR="00AC3C3A">
        <w:rPr>
          <w:rFonts w:ascii="Times New Roman" w:hAnsi="Times New Roman"/>
          <w:sz w:val="24"/>
          <w:szCs w:val="24"/>
        </w:rPr>
        <w:t xml:space="preserve"> (</w:t>
      </w:r>
      <w:r w:rsidR="00AC3C3A" w:rsidRPr="003E0368">
        <w:rPr>
          <w:rFonts w:ascii="Times New Roman" w:hAnsi="Times New Roman"/>
          <w:sz w:val="24"/>
          <w:szCs w:val="24"/>
        </w:rPr>
        <w:t>Gibel, 2023).</w:t>
      </w:r>
      <w:r w:rsidRPr="006A5F3A">
        <w:rPr>
          <w:rFonts w:ascii="Times New Roman" w:hAnsi="Times New Roman"/>
          <w:sz w:val="24"/>
          <w:szCs w:val="24"/>
        </w:rPr>
        <w:t xml:space="preserve"> This literature review examines key aspects of financial misconduct, specifically fund misappropriation, value-for-money practices, creative accounting practices, and procurement practices, within the context of federal universities.</w:t>
      </w:r>
    </w:p>
    <w:p w14:paraId="4C0A781F" w14:textId="61F0C9C2" w:rsidR="00A27395" w:rsidRPr="00647C81" w:rsidRDefault="00166164" w:rsidP="00C86140">
      <w:pPr>
        <w:pStyle w:val="Heading3"/>
      </w:pPr>
      <w:bookmarkStart w:id="45" w:name="_Toc145951084"/>
      <w:r w:rsidRPr="00647C81">
        <w:t>Fund Misappropriation</w:t>
      </w:r>
      <w:bookmarkEnd w:id="45"/>
    </w:p>
    <w:p w14:paraId="7491B644" w14:textId="3016B634" w:rsidR="00070845" w:rsidRDefault="00070845" w:rsidP="00070845">
      <w:pPr>
        <w:spacing w:after="160" w:line="360" w:lineRule="auto"/>
        <w:jc w:val="both"/>
        <w:rPr>
          <w:rFonts w:ascii="Times New Roman" w:hAnsi="Times New Roman"/>
          <w:sz w:val="24"/>
          <w:szCs w:val="24"/>
        </w:rPr>
      </w:pPr>
      <w:r w:rsidRPr="006A5F3A">
        <w:rPr>
          <w:rFonts w:ascii="Times New Roman" w:hAnsi="Times New Roman"/>
          <w:sz w:val="24"/>
          <w:szCs w:val="24"/>
        </w:rPr>
        <w:t>Fund misappropriation, encompassing embezzlement and fraudulent use of funds, is a pervasive issue in federal universities (Smith, 2017).</w:t>
      </w:r>
      <w:r>
        <w:rPr>
          <w:rFonts w:ascii="Times New Roman" w:hAnsi="Times New Roman"/>
          <w:sz w:val="24"/>
          <w:szCs w:val="24"/>
        </w:rPr>
        <w:t xml:space="preserve"> </w:t>
      </w:r>
      <w:r w:rsidRPr="006A5F3A">
        <w:rPr>
          <w:rFonts w:ascii="Times New Roman" w:hAnsi="Times New Roman"/>
          <w:sz w:val="24"/>
          <w:szCs w:val="24"/>
        </w:rPr>
        <w:t>Studies suggest that financial pressure, lax internal controls, and opportunity contribute to fund misappropriation (Brown &amp; Jones, 2019).</w:t>
      </w:r>
      <w:r>
        <w:rPr>
          <w:rFonts w:ascii="Times New Roman" w:hAnsi="Times New Roman"/>
          <w:sz w:val="24"/>
          <w:szCs w:val="24"/>
        </w:rPr>
        <w:t xml:space="preserve"> </w:t>
      </w:r>
      <w:r w:rsidRPr="006A5F3A">
        <w:rPr>
          <w:rFonts w:ascii="Times New Roman" w:hAnsi="Times New Roman"/>
          <w:sz w:val="24"/>
          <w:szCs w:val="24"/>
        </w:rPr>
        <w:t>Fund misappropriation leads to legal consequences, reputation damage, financial losses, and erosion of trust among stakeholders (Anderson &amp; White, 2020).</w:t>
      </w:r>
      <w:r>
        <w:rPr>
          <w:rFonts w:ascii="Times New Roman" w:hAnsi="Times New Roman"/>
          <w:sz w:val="24"/>
          <w:szCs w:val="24"/>
        </w:rPr>
        <w:t xml:space="preserve"> </w:t>
      </w:r>
      <w:r w:rsidRPr="006A5F3A">
        <w:rPr>
          <w:rFonts w:ascii="Times New Roman" w:hAnsi="Times New Roman"/>
          <w:sz w:val="24"/>
          <w:szCs w:val="24"/>
        </w:rPr>
        <w:t>Research highlights the importance of strengthening internal controls, promoting ethical leadership, and employing technological solutions for early detection (Johnson &amp; Davis, 2018).</w:t>
      </w:r>
    </w:p>
    <w:p w14:paraId="52950D35" w14:textId="77777777" w:rsidR="00B82B4E" w:rsidRPr="00643874" w:rsidRDefault="00B82B4E" w:rsidP="00B82B4E">
      <w:pPr>
        <w:spacing w:before="0" w:after="160" w:line="360" w:lineRule="auto"/>
        <w:jc w:val="both"/>
        <w:rPr>
          <w:rFonts w:ascii="Times New Roman" w:hAnsi="Times New Roman"/>
          <w:sz w:val="24"/>
          <w:szCs w:val="24"/>
        </w:rPr>
      </w:pPr>
      <w:r w:rsidRPr="00643874">
        <w:rPr>
          <w:rFonts w:ascii="Times New Roman" w:hAnsi="Times New Roman"/>
          <w:sz w:val="24"/>
          <w:szCs w:val="24"/>
        </w:rPr>
        <w:t>Fund misappropriation, a critical issue within the financial management of federal universities in Southwest Nigeria, warrants a comprehensive review to understand its prevalence, contributing factors, consequences, and potential mitigation strategies. This review offers insights into existing research and scholarly discourse on fund misappropriation in this specific context.</w:t>
      </w:r>
    </w:p>
    <w:p w14:paraId="3B2890FB" w14:textId="77777777" w:rsidR="00B82B4E" w:rsidRPr="00643874" w:rsidRDefault="00B82B4E" w:rsidP="00B82B4E">
      <w:pPr>
        <w:spacing w:before="0" w:after="160" w:line="360" w:lineRule="auto"/>
        <w:jc w:val="both"/>
        <w:rPr>
          <w:rFonts w:ascii="Times New Roman" w:hAnsi="Times New Roman"/>
          <w:sz w:val="24"/>
          <w:szCs w:val="24"/>
        </w:rPr>
      </w:pPr>
      <w:r w:rsidRPr="00643874">
        <w:rPr>
          <w:rFonts w:ascii="Times New Roman" w:hAnsi="Times New Roman"/>
          <w:sz w:val="24"/>
          <w:szCs w:val="24"/>
        </w:rPr>
        <w:t>Research consistently highlights the prevalence of fund misappropriation in federal universities in Southwest Nigeria. This includes various forms of financial misconduct such as embezzlement, diversion of funds, fraudulent transactions, and misuse of allocated budgets. Misappropriation often occurs across different levels of the organizational hierarchy, involving academic and non-academic staff.</w:t>
      </w:r>
      <w:r>
        <w:rPr>
          <w:rFonts w:ascii="Times New Roman" w:hAnsi="Times New Roman"/>
          <w:sz w:val="24"/>
          <w:szCs w:val="24"/>
        </w:rPr>
        <w:t xml:space="preserve"> </w:t>
      </w:r>
      <w:r w:rsidRPr="00643874">
        <w:rPr>
          <w:rFonts w:ascii="Times New Roman" w:hAnsi="Times New Roman"/>
          <w:sz w:val="24"/>
          <w:szCs w:val="24"/>
        </w:rPr>
        <w:t>Several contributing factors have been identified in the literature. These include inadequate financial controls and oversight, weak internal audit systems, a lack of transparency and accountability, bureaucratic red tape, complex procurement processes, inadequate staff training, and limited consequences for perpetrators. Additionally, financial pressures and inadequate government funding can create an environment conducive to fund misappropriation.</w:t>
      </w:r>
    </w:p>
    <w:p w14:paraId="5C3872F1" w14:textId="7F2D73A1" w:rsidR="00B82B4E" w:rsidRPr="00643874" w:rsidRDefault="00B82B4E" w:rsidP="00B82B4E">
      <w:pPr>
        <w:spacing w:before="0" w:after="160" w:line="360" w:lineRule="auto"/>
        <w:jc w:val="both"/>
        <w:rPr>
          <w:rFonts w:ascii="Times New Roman" w:hAnsi="Times New Roman"/>
          <w:sz w:val="24"/>
          <w:szCs w:val="24"/>
        </w:rPr>
      </w:pPr>
      <w:r w:rsidRPr="00643874">
        <w:rPr>
          <w:rFonts w:ascii="Times New Roman" w:hAnsi="Times New Roman"/>
          <w:sz w:val="24"/>
          <w:szCs w:val="24"/>
        </w:rPr>
        <w:t>The consequences of fund misappropriation are far-reaching and detrimental to the affected universities</w:t>
      </w:r>
      <w:r w:rsidR="00780259">
        <w:rPr>
          <w:rFonts w:ascii="Times New Roman" w:hAnsi="Times New Roman"/>
          <w:sz w:val="24"/>
          <w:szCs w:val="24"/>
        </w:rPr>
        <w:t xml:space="preserve"> (</w:t>
      </w:r>
      <w:r w:rsidR="00780259" w:rsidRPr="00D87BAB">
        <w:rPr>
          <w:rFonts w:ascii="Times New Roman" w:hAnsi="Times New Roman"/>
          <w:sz w:val="24"/>
          <w:szCs w:val="24"/>
        </w:rPr>
        <w:t>Mudasiru &amp; Adeleke, 2022)</w:t>
      </w:r>
      <w:r w:rsidRPr="00643874">
        <w:rPr>
          <w:rFonts w:ascii="Times New Roman" w:hAnsi="Times New Roman"/>
          <w:sz w:val="24"/>
          <w:szCs w:val="24"/>
        </w:rPr>
        <w:t>. These include financial losses, compromised academic and research activities, damaged institutional reputation, erosion of stakeholder trust, legal repercussions, and a hindrance to achieving the institutions' core educational objectives.</w:t>
      </w:r>
      <w:r>
        <w:rPr>
          <w:rFonts w:ascii="Times New Roman" w:hAnsi="Times New Roman"/>
          <w:sz w:val="24"/>
          <w:szCs w:val="24"/>
        </w:rPr>
        <w:t xml:space="preserve"> </w:t>
      </w:r>
      <w:r w:rsidRPr="00643874">
        <w:rPr>
          <w:rFonts w:ascii="Times New Roman" w:hAnsi="Times New Roman"/>
          <w:sz w:val="24"/>
          <w:szCs w:val="24"/>
        </w:rPr>
        <w:t>While Nigeria has established regulatory and oversight frameworks such as the Public Procurement Act of 2007, research indicates that enforcement and oversight mechanisms specific to fund management in federal universities may be inadequate. There is a need for stronger enforcement, regular audits, and clear consequences for financial misconduct.</w:t>
      </w:r>
      <w:r>
        <w:rPr>
          <w:rFonts w:ascii="Times New Roman" w:hAnsi="Times New Roman"/>
          <w:sz w:val="24"/>
          <w:szCs w:val="24"/>
        </w:rPr>
        <w:t xml:space="preserve"> </w:t>
      </w:r>
      <w:r w:rsidRPr="00643874">
        <w:rPr>
          <w:rFonts w:ascii="Times New Roman" w:hAnsi="Times New Roman"/>
          <w:sz w:val="24"/>
          <w:szCs w:val="24"/>
        </w:rPr>
        <w:t>Research suggests various strategies to mitigate fund misappropriation within federal universities. Strengthening internal controls, implementing effective audit mechanisms, promoting a culture of financial transparency and accountability, providing adequate training to staff, streamlining procurement processes, and enforcing strict penalties for financial misconduct are critical measures. Additionally, encouraging whistleblowing and establishing confidential reporting mechanisms can aid in identifying and addressing fund misappropriation.</w:t>
      </w:r>
      <w:r>
        <w:rPr>
          <w:rFonts w:ascii="Times New Roman" w:hAnsi="Times New Roman"/>
          <w:sz w:val="24"/>
          <w:szCs w:val="24"/>
        </w:rPr>
        <w:t xml:space="preserve"> </w:t>
      </w:r>
      <w:r w:rsidRPr="00643874">
        <w:rPr>
          <w:rFonts w:ascii="Times New Roman" w:hAnsi="Times New Roman"/>
          <w:sz w:val="24"/>
          <w:szCs w:val="24"/>
        </w:rPr>
        <w:t>The literature highlights several challenges, including the need for increased awareness, stronger regulatory enforcement, and a change in organizational culture. Future research should focus on evaluating the effectiveness of mitigation strategies, identifying emerging forms of fund misappropriation, and exploring international best practices to enhance financial integrity in higher education institutions.</w:t>
      </w:r>
    </w:p>
    <w:p w14:paraId="6D78FFD9" w14:textId="7302A34E" w:rsidR="00C57517" w:rsidRPr="00B82B4E" w:rsidRDefault="00B82B4E" w:rsidP="00B82B4E">
      <w:pPr>
        <w:spacing w:before="0" w:after="160" w:line="360" w:lineRule="auto"/>
        <w:jc w:val="both"/>
        <w:rPr>
          <w:rFonts w:ascii="Times New Roman" w:hAnsi="Times New Roman"/>
          <w:sz w:val="24"/>
          <w:szCs w:val="24"/>
        </w:rPr>
      </w:pPr>
      <w:r w:rsidRPr="00643874">
        <w:rPr>
          <w:rFonts w:ascii="Times New Roman" w:hAnsi="Times New Roman"/>
          <w:sz w:val="24"/>
          <w:szCs w:val="24"/>
        </w:rPr>
        <w:t xml:space="preserve">In addressing fund misappropriation is paramount for the financial health, credibility, and academic excellence of federal universities in Southwest Nigeria. This review underscores the need for a multifaceted approach involving regulatory improvements, enhanced oversight, organizational reforms, and a culture of integrity to effectively combat fund misappropriation and promote responsible financial management in these institutions. </w:t>
      </w:r>
    </w:p>
    <w:p w14:paraId="713429AC" w14:textId="379FE3A5" w:rsidR="001616E5" w:rsidRPr="008B1465" w:rsidRDefault="003F05E3" w:rsidP="007541CB">
      <w:pPr>
        <w:pStyle w:val="Heading3"/>
        <w:spacing w:line="360" w:lineRule="auto"/>
        <w:rPr>
          <w:rFonts w:cs="Times New Roman"/>
        </w:rPr>
      </w:pPr>
      <w:bookmarkStart w:id="46" w:name="_Toc145951085"/>
      <w:r w:rsidRPr="008B1465">
        <w:rPr>
          <w:rFonts w:cs="Times New Roman"/>
        </w:rPr>
        <w:t xml:space="preserve">Value for Money </w:t>
      </w:r>
      <w:r w:rsidR="002146D0" w:rsidRPr="008B1465">
        <w:rPr>
          <w:rFonts w:eastAsia="Calibri"/>
          <w:bCs/>
        </w:rPr>
        <w:t>Practices</w:t>
      </w:r>
      <w:bookmarkEnd w:id="46"/>
    </w:p>
    <w:p w14:paraId="4EB4E4E1" w14:textId="77777777" w:rsidR="00B430DB" w:rsidRDefault="003F05E3" w:rsidP="007541CB">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Value for Money</w:t>
      </w:r>
      <w:r w:rsidR="00D05763" w:rsidRPr="008B1465">
        <w:rPr>
          <w:rFonts w:ascii="Times New Roman" w:eastAsia="Calibri" w:hAnsi="Times New Roman"/>
          <w:sz w:val="24"/>
          <w:szCs w:val="24"/>
        </w:rPr>
        <w:t xml:space="preserve"> Practices</w:t>
      </w:r>
      <w:r w:rsidRPr="008B1465">
        <w:rPr>
          <w:rFonts w:ascii="Times New Roman" w:eastAsia="Calibri" w:hAnsi="Times New Roman"/>
          <w:sz w:val="24"/>
          <w:szCs w:val="24"/>
        </w:rPr>
        <w:t xml:space="preserve"> (VM</w:t>
      </w:r>
      <w:r w:rsidR="00D05763" w:rsidRPr="008B1465">
        <w:rPr>
          <w:rFonts w:ascii="Times New Roman" w:eastAsia="Calibri" w:hAnsi="Times New Roman"/>
          <w:sz w:val="24"/>
          <w:szCs w:val="24"/>
        </w:rPr>
        <w:t>P</w:t>
      </w:r>
      <w:r w:rsidRPr="008B1465">
        <w:rPr>
          <w:rFonts w:ascii="Times New Roman" w:eastAsia="Calibri" w:hAnsi="Times New Roman"/>
          <w:sz w:val="24"/>
          <w:szCs w:val="24"/>
        </w:rPr>
        <w:t>) is an important criterion by which a procuring body must defend a procurement decision. Value for money is the amount of value (output) that is associated with a specific cost from the perspective of the user or the intended audience (input). When resources are deployed in relation to the achievement of certain expected output values, the concept of value for money is considered. The user department or customer makes an effort to assign value to the goods or services obtained and contrasts it with the resources used.</w:t>
      </w:r>
      <w:r w:rsidR="00683688" w:rsidRPr="008B1465">
        <w:rPr>
          <w:rFonts w:ascii="Times New Roman" w:eastAsia="Calibri" w:hAnsi="Times New Roman"/>
          <w:sz w:val="24"/>
          <w:szCs w:val="24"/>
        </w:rPr>
        <w:t xml:space="preserve"> </w:t>
      </w:r>
      <w:r w:rsidRPr="008B1465">
        <w:rPr>
          <w:rFonts w:ascii="Times New Roman" w:eastAsia="Calibri" w:hAnsi="Times New Roman"/>
          <w:sz w:val="24"/>
          <w:szCs w:val="24"/>
        </w:rPr>
        <w:t xml:space="preserve">Value for money has a broader definition that includes the economy, effectiveness, and efficiency of a given good or service. </w:t>
      </w:r>
    </w:p>
    <w:p w14:paraId="33678171" w14:textId="55A6A00D" w:rsidR="001616E5" w:rsidRPr="008B1465" w:rsidRDefault="003F05E3" w:rsidP="007541CB">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A comparison of input costs to output values is done, along with a qualitative and quantitative assessment of how well the resource in question has been used and managed. Value for money is based on a procurement transaction's greatest efficiency and effectiveness in addition to the acquisition price/cost (economy). The usage of technology, financial analytical tools, punctuality, etc. may consequently need to be verified throughout a procurement process, especially when significant quantities of money are at stake. Accounting officers and their procurement personnel must be able to manage the business effectively and efficiently in order to reduce risks and optimize impact. They also need to understand markets and effectively manage suppliers. The team must therefore compare its performance to that of its peers and those in related fields in order to seek out the ongoing innovation and development required to provide the procuring entity with higher value</w:t>
      </w:r>
      <w:r w:rsidRPr="008B1465">
        <w:rPr>
          <w:rFonts w:ascii="Times New Roman" w:hAnsi="Times New Roman"/>
          <w:sz w:val="24"/>
          <w:szCs w:val="24"/>
          <w:shd w:val="clear" w:color="auto" w:fill="FFFFFF"/>
        </w:rPr>
        <w:t xml:space="preserve"> (</w:t>
      </w:r>
      <w:r w:rsidRPr="008B1465">
        <w:rPr>
          <w:rFonts w:ascii="Times New Roman" w:eastAsia="Calibri" w:hAnsi="Times New Roman"/>
          <w:sz w:val="24"/>
          <w:szCs w:val="24"/>
        </w:rPr>
        <w:t>Mamiro, 2010).</w:t>
      </w:r>
    </w:p>
    <w:p w14:paraId="24DDADFC" w14:textId="77777777" w:rsidR="001616E5" w:rsidRPr="008B1465" w:rsidRDefault="003F05E3" w:rsidP="007541CB">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The problem is that people working in the public sector procurement department are incompetent, which undermines value for money. In some nations, there are still no set curriculum or career paths for those working in public procurement. According to the Tanzanian Public Procurement Regulatory Authority (PPRA), "there were no defined skills and knowledge profiles for specialist procurement talents" in a 2006 </w:t>
      </w:r>
      <w:r w:rsidR="00EA03CA" w:rsidRPr="008B1465">
        <w:rPr>
          <w:rFonts w:ascii="Times New Roman" w:hAnsi="Times New Roman"/>
          <w:sz w:val="24"/>
          <w:szCs w:val="24"/>
        </w:rPr>
        <w:t xml:space="preserve">Organization for Economic </w:t>
      </w:r>
      <w:r w:rsidR="00C54E7B" w:rsidRPr="008B1465">
        <w:rPr>
          <w:rFonts w:ascii="Times New Roman" w:hAnsi="Times New Roman"/>
          <w:sz w:val="24"/>
          <w:szCs w:val="24"/>
        </w:rPr>
        <w:t>Cooperation and Development</w:t>
      </w:r>
      <w:r w:rsidR="00EA03CA" w:rsidRPr="008B1465">
        <w:rPr>
          <w:rFonts w:ascii="Times New Roman" w:eastAsia="Calibri" w:hAnsi="Times New Roman"/>
          <w:sz w:val="24"/>
          <w:szCs w:val="24"/>
        </w:rPr>
        <w:t>/</w:t>
      </w:r>
      <w:r w:rsidR="00EA03CA" w:rsidRPr="008B1465">
        <w:rPr>
          <w:rFonts w:ascii="Times New Roman" w:hAnsi="Times New Roman"/>
          <w:sz w:val="24"/>
          <w:szCs w:val="24"/>
        </w:rPr>
        <w:t>Development Assistance Committee</w:t>
      </w:r>
      <w:r w:rsidR="00EA03CA" w:rsidRPr="008B1465">
        <w:t xml:space="preserve"> (</w:t>
      </w:r>
      <w:r w:rsidRPr="008B1465">
        <w:rPr>
          <w:rFonts w:ascii="Times New Roman" w:eastAsia="Calibri" w:hAnsi="Times New Roman"/>
          <w:sz w:val="24"/>
          <w:szCs w:val="24"/>
        </w:rPr>
        <w:t>OEC</w:t>
      </w:r>
      <w:r w:rsidR="00C15E3B" w:rsidRPr="008B1465">
        <w:rPr>
          <w:rFonts w:ascii="Times New Roman" w:eastAsia="Calibri" w:hAnsi="Times New Roman"/>
          <w:sz w:val="24"/>
          <w:szCs w:val="24"/>
        </w:rPr>
        <w:t>D</w:t>
      </w:r>
      <w:r w:rsidRPr="008B1465">
        <w:rPr>
          <w:rFonts w:ascii="Times New Roman" w:eastAsia="Calibri" w:hAnsi="Times New Roman"/>
          <w:sz w:val="24"/>
          <w:szCs w:val="24"/>
        </w:rPr>
        <w:t>/DAC</w:t>
      </w:r>
      <w:r w:rsidR="00EA03CA" w:rsidRPr="008B1465">
        <w:rPr>
          <w:rFonts w:ascii="Times New Roman" w:eastAsia="Calibri" w:hAnsi="Times New Roman"/>
          <w:sz w:val="24"/>
          <w:szCs w:val="24"/>
        </w:rPr>
        <w:t>)</w:t>
      </w:r>
      <w:r w:rsidRPr="008B1465">
        <w:rPr>
          <w:rFonts w:ascii="Times New Roman" w:eastAsia="Calibri" w:hAnsi="Times New Roman"/>
          <w:sz w:val="24"/>
          <w:szCs w:val="24"/>
        </w:rPr>
        <w:t xml:space="preserve"> assessment of the country's procurement system (EOCD/DAC, 2007). According to the EOCD/DAC investigation, numerous procuring entities ignored basic rules including the duration of a bid, which rendered many contracts that were later awarded as invalid. Some bids were given well past the maximum term permitted by law (sometimes up to six months later), while others had their bid period shortened to less than the minimum length permitted by law, for example, 19 days instead of 30 days (Msita, 2009).</w:t>
      </w:r>
    </w:p>
    <w:p w14:paraId="67685F88" w14:textId="1C544545" w:rsidR="001616E5" w:rsidRDefault="003F05E3" w:rsidP="007541CB">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The issue of procuring entities trying to change mandatory (legal) provisions through the evaluation teams' use of criteria other than those specified in the solicitation documents is another issue. Most of these have been brought to the Public Procurement Appeals Authority, but some have also been litigated. Public procurement is consequently being negatively impacted by inadequate procurement expertise, costing taxpayers and PEs money. It prevents procurement from being done efficiently and effectively.</w:t>
      </w:r>
    </w:p>
    <w:p w14:paraId="11FDF268" w14:textId="77777777" w:rsidR="006F333A" w:rsidRPr="004D78A5" w:rsidRDefault="006F333A" w:rsidP="006F333A">
      <w:pPr>
        <w:pStyle w:val="Heading3"/>
      </w:pPr>
      <w:bookmarkStart w:id="47" w:name="_Toc145951086"/>
      <w:r w:rsidRPr="004D78A5">
        <w:t>Creative Accounting Practices</w:t>
      </w:r>
      <w:bookmarkEnd w:id="47"/>
    </w:p>
    <w:p w14:paraId="776EFFEB" w14:textId="25658733" w:rsidR="00593CFD" w:rsidRPr="00631186" w:rsidRDefault="00092175" w:rsidP="004D78A5">
      <w:pPr>
        <w:spacing w:after="160" w:line="360" w:lineRule="auto"/>
        <w:jc w:val="both"/>
        <w:rPr>
          <w:rFonts w:ascii="Times New Roman" w:hAnsi="Times New Roman"/>
          <w:sz w:val="24"/>
          <w:szCs w:val="24"/>
        </w:rPr>
      </w:pPr>
      <w:r w:rsidRPr="004D78A5">
        <w:rPr>
          <w:rFonts w:ascii="Times New Roman" w:hAnsi="Times New Roman"/>
          <w:sz w:val="24"/>
          <w:szCs w:val="24"/>
        </w:rPr>
        <w:t>Creative accounting practices, involving manipulation of financial data, are a concern in federal universities (Thomas &amp; Wilson, 2018). Researchers point to the desire to meet budget targets, secure funding, or enhance institutional image as motivations behind creative accounting (Harris &amp; Walker, 2020). Creative accounting erodes financial transparency, hampers decision-making, and can lead to legal liabilities (Roberts &amp; Bennett, 2019). Encouraging transparency, independent auditing, and ethical leadership are crucial in curbing creative accounting practices (Gupta &amp; Patel, 2021).</w:t>
      </w:r>
      <w:r w:rsidR="00593CFD">
        <w:rPr>
          <w:rFonts w:ascii="Times New Roman" w:hAnsi="Times New Roman"/>
          <w:sz w:val="24"/>
          <w:szCs w:val="24"/>
        </w:rPr>
        <w:t xml:space="preserve"> </w:t>
      </w:r>
      <w:r w:rsidR="00593CFD" w:rsidRPr="00631186">
        <w:rPr>
          <w:rFonts w:ascii="Times New Roman" w:hAnsi="Times New Roman"/>
          <w:sz w:val="24"/>
          <w:szCs w:val="24"/>
        </w:rPr>
        <w:t>Creative accounting practices have been a subject of growing concern within the financial management of federal universities in Southwest Nigeria. This review delves into the key aspects and findings of studies examining the prevalence, motivations, consequences, and mitigation strategies related to creative accounting practices in this context.</w:t>
      </w:r>
    </w:p>
    <w:p w14:paraId="785CDF97" w14:textId="77777777" w:rsidR="00593CFD" w:rsidRPr="00631186" w:rsidRDefault="00593CFD" w:rsidP="004D78A5">
      <w:pPr>
        <w:spacing w:before="0" w:after="160" w:line="360" w:lineRule="auto"/>
        <w:jc w:val="both"/>
        <w:rPr>
          <w:rFonts w:ascii="Times New Roman" w:hAnsi="Times New Roman"/>
          <w:sz w:val="24"/>
          <w:szCs w:val="24"/>
        </w:rPr>
      </w:pPr>
      <w:r w:rsidRPr="00631186">
        <w:rPr>
          <w:rFonts w:ascii="Times New Roman" w:hAnsi="Times New Roman"/>
          <w:sz w:val="24"/>
          <w:szCs w:val="24"/>
        </w:rPr>
        <w:t>Numerous studies have confirmed the existence of creative accounting practices among federal universities in Southwest Nigeria. These practices encompass a range of techniques, including income smoothing, expense manipulation, asset revaluation, and off-balance-sheet transactions. Universities employ these techniques to manage reported financial results and present a more favorable financial image.</w:t>
      </w:r>
    </w:p>
    <w:p w14:paraId="333B27C9" w14:textId="0202621B" w:rsidR="00593CFD" w:rsidRPr="00631186" w:rsidRDefault="00593CFD" w:rsidP="00593CFD">
      <w:pPr>
        <w:spacing w:before="0" w:after="160" w:line="360" w:lineRule="auto"/>
        <w:jc w:val="both"/>
        <w:rPr>
          <w:rFonts w:ascii="Times New Roman" w:hAnsi="Times New Roman"/>
          <w:sz w:val="24"/>
          <w:szCs w:val="24"/>
        </w:rPr>
      </w:pPr>
      <w:r w:rsidRPr="00631186">
        <w:rPr>
          <w:rFonts w:ascii="Times New Roman" w:hAnsi="Times New Roman"/>
          <w:sz w:val="24"/>
          <w:szCs w:val="24"/>
        </w:rPr>
        <w:t>The literature suggests that federal universities resort to creative accounting practices due to several motivations. Financial pressures, inadequate government funding, and the need to secure additional funding for projects and operations are common drivers. Universities often face budgetary constraints and may employ creative accounting to meet financial targets, attract donors, or align with government funding criteria.</w:t>
      </w:r>
      <w:r>
        <w:rPr>
          <w:rFonts w:ascii="Times New Roman" w:hAnsi="Times New Roman"/>
          <w:sz w:val="24"/>
          <w:szCs w:val="24"/>
        </w:rPr>
        <w:t xml:space="preserve"> </w:t>
      </w:r>
      <w:r w:rsidRPr="00631186">
        <w:rPr>
          <w:rFonts w:ascii="Times New Roman" w:hAnsi="Times New Roman"/>
          <w:sz w:val="24"/>
          <w:szCs w:val="24"/>
        </w:rPr>
        <w:t>Creative accounting practices can have significant repercussions for federal universities in Southwest Nigeria. These consequences include a loss of financial transparency and accountability, damage to institutional reputation, erosion of stakeholder trust, and potential legal and regulatory penalties. These practices can also distort the true financial health of universities, making it difficult for stakeholders to make informed decisions.</w:t>
      </w:r>
    </w:p>
    <w:p w14:paraId="54EB4DBA" w14:textId="622A46E6" w:rsidR="00593CFD" w:rsidRPr="00631186" w:rsidRDefault="00593CFD" w:rsidP="00593CFD">
      <w:pPr>
        <w:spacing w:before="0" w:after="160" w:line="360" w:lineRule="auto"/>
        <w:jc w:val="both"/>
        <w:rPr>
          <w:rFonts w:ascii="Times New Roman" w:hAnsi="Times New Roman"/>
          <w:sz w:val="24"/>
          <w:szCs w:val="24"/>
        </w:rPr>
      </w:pPr>
      <w:r w:rsidRPr="00631186">
        <w:rPr>
          <w:rFonts w:ascii="Times New Roman" w:hAnsi="Times New Roman"/>
          <w:sz w:val="24"/>
          <w:szCs w:val="24"/>
        </w:rPr>
        <w:t>The regulatory environment plays a critical role in shaping the prevalence of creative accounting practices. While Nigeria has established regulatory frameworks, such as the Public Procurement Act of 2007, research suggests that enforcement and oversight mechanisms in the higher education sector may be inadequate. Strengthening regulatory enforcement and accountability is crucial to curbing these practices.</w:t>
      </w:r>
      <w:r>
        <w:rPr>
          <w:rFonts w:ascii="Times New Roman" w:hAnsi="Times New Roman"/>
          <w:sz w:val="24"/>
          <w:szCs w:val="24"/>
        </w:rPr>
        <w:t xml:space="preserve"> </w:t>
      </w:r>
      <w:r w:rsidRPr="00631186">
        <w:rPr>
          <w:rFonts w:ascii="Times New Roman" w:hAnsi="Times New Roman"/>
          <w:sz w:val="24"/>
          <w:szCs w:val="24"/>
        </w:rPr>
        <w:t>Studies have proposed several strategies to mitigate creative accounting practices among federal universities in Southwest Nigeria. Strengthening internal controls and governance structures, enhancing the role of audit committees, promoting ethical financial reporting cultures, and improving the transparency of financial information are some recommended measures. Additionally, capacity building and training for financial staff and management can help raise awareness of the consequences of creative accounting.</w:t>
      </w:r>
    </w:p>
    <w:p w14:paraId="6211C4D7" w14:textId="77777777" w:rsidR="00593CFD" w:rsidRPr="00631186" w:rsidRDefault="00593CFD" w:rsidP="00593CFD">
      <w:pPr>
        <w:spacing w:before="0" w:after="160" w:line="360" w:lineRule="auto"/>
        <w:jc w:val="both"/>
        <w:rPr>
          <w:rFonts w:ascii="Times New Roman" w:hAnsi="Times New Roman"/>
          <w:sz w:val="24"/>
          <w:szCs w:val="24"/>
        </w:rPr>
      </w:pPr>
      <w:r w:rsidRPr="00631186">
        <w:rPr>
          <w:rFonts w:ascii="Times New Roman" w:hAnsi="Times New Roman"/>
          <w:sz w:val="24"/>
          <w:szCs w:val="24"/>
        </w:rPr>
        <w:t>Research underscores the unique challenges faced by Nigerian federal universities, such as limited resources, bureaucratic processes, and a complex funding landscape. Addressing these challenges requires a holistic approach that considers both financial management practices and the broader higher education environment.</w:t>
      </w:r>
    </w:p>
    <w:p w14:paraId="473C0A11" w14:textId="5EB95800" w:rsidR="00D26C02" w:rsidRPr="00BE2F6D" w:rsidRDefault="00593CFD" w:rsidP="00593CFD">
      <w:pPr>
        <w:spacing w:after="160" w:line="360" w:lineRule="auto"/>
        <w:jc w:val="both"/>
        <w:rPr>
          <w:rFonts w:ascii="Times New Roman" w:hAnsi="Times New Roman"/>
          <w:sz w:val="24"/>
          <w:szCs w:val="24"/>
        </w:rPr>
      </w:pPr>
      <w:r>
        <w:rPr>
          <w:rFonts w:ascii="Times New Roman" w:hAnsi="Times New Roman"/>
          <w:sz w:val="24"/>
          <w:szCs w:val="24"/>
        </w:rPr>
        <w:t>C</w:t>
      </w:r>
      <w:r w:rsidRPr="00631186">
        <w:rPr>
          <w:rFonts w:ascii="Times New Roman" w:hAnsi="Times New Roman"/>
          <w:sz w:val="24"/>
          <w:szCs w:val="24"/>
        </w:rPr>
        <w:t>reative accounting practices within federal universities in Southwest Nigeria are a complex issue with multifaceted implications. While the literature highlights their prevalence and motivations, it also emphasizes the importance of addressing these practices to ensure transparency, accountability, and responsible financial management in the higher education sector. Efforts to strengthen regulatory frameworks, internal controls, ethical standards, and stakeholder engagement are essential steps toward mitigating the impact of creative accounting practices and fostering financial integrity in these institutions.</w:t>
      </w:r>
    </w:p>
    <w:p w14:paraId="0E82CCEF" w14:textId="479C1449" w:rsidR="00DC2851" w:rsidRPr="008B1465" w:rsidRDefault="00DC2851" w:rsidP="00DC2851">
      <w:pPr>
        <w:pStyle w:val="Heading3"/>
        <w:spacing w:line="360" w:lineRule="auto"/>
        <w:rPr>
          <w:rFonts w:cs="Times New Roman"/>
        </w:rPr>
      </w:pPr>
      <w:bookmarkStart w:id="48" w:name="_Toc145951087"/>
      <w:r w:rsidRPr="008B1465">
        <w:rPr>
          <w:rFonts w:cs="Times New Roman"/>
        </w:rPr>
        <w:t>Procurement Practices</w:t>
      </w:r>
      <w:bookmarkEnd w:id="48"/>
    </w:p>
    <w:p w14:paraId="4AFC96A2" w14:textId="77777777" w:rsidR="00DC2851" w:rsidRPr="008B1465" w:rsidRDefault="00DC2851" w:rsidP="00DC2851">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A public entity, a public body for the general public, or an action conducted for a public body using public funds or non-public monies intended for the public is considered to be a "public procurement," and this is how procurement is typically defined. Public procurement is a thorough process that includes planning, budgeting, inviting bids, evaluating them, awarding contracts, managing them, evaluating performance, auditing, and reporting. It is an activity that needs to promote the achievement of a public body's strategic goals while also living up to the expectations of the targeted population and all taxpayers (</w:t>
      </w:r>
      <w:r w:rsidRPr="008B1465">
        <w:rPr>
          <w:rFonts w:ascii="Times New Roman" w:hAnsi="Times New Roman"/>
          <w:sz w:val="24"/>
          <w:szCs w:val="24"/>
          <w:shd w:val="clear" w:color="auto" w:fill="FFFFFF"/>
        </w:rPr>
        <w:t>Nwosu, 2020).</w:t>
      </w:r>
    </w:p>
    <w:p w14:paraId="1136904E" w14:textId="12740FD3" w:rsidR="00B74B5F" w:rsidRDefault="00DC2851" w:rsidP="00DC2851">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In most developing nations, about 20% of government spending goes into procurement, hence effective administration of the activity is crucial</w:t>
      </w:r>
      <w:r w:rsidR="004F0684">
        <w:rPr>
          <w:rFonts w:ascii="Times New Roman" w:eastAsia="Calibri" w:hAnsi="Times New Roman"/>
          <w:sz w:val="24"/>
          <w:szCs w:val="24"/>
        </w:rPr>
        <w:t xml:space="preserve"> (</w:t>
      </w:r>
      <w:r w:rsidR="004F0684" w:rsidRPr="00EC0170">
        <w:rPr>
          <w:rFonts w:ascii="Times New Roman" w:hAnsi="Times New Roman"/>
          <w:sz w:val="24"/>
          <w:szCs w:val="24"/>
        </w:rPr>
        <w:t>Luo, Zhang</w:t>
      </w:r>
      <w:r w:rsidR="004F0684">
        <w:rPr>
          <w:rFonts w:ascii="Times New Roman" w:hAnsi="Times New Roman"/>
          <w:sz w:val="24"/>
          <w:szCs w:val="24"/>
        </w:rPr>
        <w:t xml:space="preserve"> </w:t>
      </w:r>
      <w:r w:rsidR="004F0684" w:rsidRPr="00EC0170">
        <w:rPr>
          <w:rFonts w:ascii="Times New Roman" w:hAnsi="Times New Roman"/>
          <w:sz w:val="24"/>
          <w:szCs w:val="24"/>
        </w:rPr>
        <w:t>&amp; Bu,</w:t>
      </w:r>
      <w:r w:rsidR="004F0684">
        <w:rPr>
          <w:rFonts w:ascii="Times New Roman" w:hAnsi="Times New Roman"/>
          <w:sz w:val="24"/>
          <w:szCs w:val="24"/>
        </w:rPr>
        <w:t xml:space="preserve"> </w:t>
      </w:r>
      <w:r w:rsidR="004F0684" w:rsidRPr="00EC0170">
        <w:rPr>
          <w:rFonts w:ascii="Times New Roman" w:hAnsi="Times New Roman"/>
          <w:sz w:val="24"/>
          <w:szCs w:val="24"/>
        </w:rPr>
        <w:t>2019).</w:t>
      </w:r>
      <w:r w:rsidRPr="008B1465">
        <w:rPr>
          <w:rFonts w:ascii="Times New Roman" w:eastAsia="Calibri" w:hAnsi="Times New Roman"/>
          <w:sz w:val="24"/>
          <w:szCs w:val="24"/>
        </w:rPr>
        <w:t xml:space="preserve"> Public procurement must be based on the values of "Value for Money" and sustainability due to the cost implications inherent at the various phases throughout the process. The topic of "Value for Money" is discussed in this </w:t>
      </w:r>
      <w:r w:rsidR="004F0684">
        <w:rPr>
          <w:rFonts w:ascii="Times New Roman" w:eastAsia="Calibri" w:hAnsi="Times New Roman"/>
          <w:sz w:val="24"/>
          <w:szCs w:val="24"/>
        </w:rPr>
        <w:t>research work</w:t>
      </w:r>
      <w:r w:rsidRPr="008B1465">
        <w:rPr>
          <w:rFonts w:ascii="Times New Roman" w:eastAsia="Calibri" w:hAnsi="Times New Roman"/>
          <w:sz w:val="24"/>
          <w:szCs w:val="24"/>
        </w:rPr>
        <w:t>, which is supported by a pertinent case study from Tanzania. It also examines the extent to which recent reforms to public procurement, as well as the existing procurement legislation and institutional framework, have been able to fulfill their respective functions without undermining the effectiveness of this important pillar (Ufomba &amp; Newstyle, 2022)</w:t>
      </w:r>
      <w:r w:rsidR="00042469" w:rsidRPr="008B1465">
        <w:rPr>
          <w:rFonts w:ascii="Times New Roman" w:eastAsia="Calibri" w:hAnsi="Times New Roman"/>
          <w:sz w:val="24"/>
          <w:szCs w:val="24"/>
        </w:rPr>
        <w:t xml:space="preserve">. </w:t>
      </w:r>
      <w:r w:rsidRPr="008B1465">
        <w:rPr>
          <w:rFonts w:ascii="Times New Roman" w:eastAsia="Calibri" w:hAnsi="Times New Roman"/>
          <w:sz w:val="24"/>
          <w:szCs w:val="24"/>
        </w:rPr>
        <w:t>Spending less is the simplest definition of economy. It is concerned with decreasing the cost of supplies needed for an activity while maintaining sufficient quality. To put it another way, it has to do with acquiring resources at a low cost and in an adequate amount and quality. The definition of "economy" according to</w:t>
      </w:r>
      <w:r w:rsidRPr="008B1465">
        <w:rPr>
          <w:rFonts w:ascii="Times New Roman" w:hAnsi="Times New Roman"/>
          <w:sz w:val="24"/>
          <w:szCs w:val="24"/>
          <w:shd w:val="clear" w:color="auto" w:fill="FFFFFF"/>
        </w:rPr>
        <w:t xml:space="preserve"> Nwamgbebu, Oketa, Agba and Nwambe, (2018)</w:t>
      </w:r>
      <w:r w:rsidR="00305BDF" w:rsidRPr="008B1465">
        <w:rPr>
          <w:rFonts w:ascii="Times New Roman" w:eastAsia="Calibri" w:hAnsi="Times New Roman"/>
          <w:sz w:val="24"/>
          <w:szCs w:val="24"/>
        </w:rPr>
        <w:t>,</w:t>
      </w:r>
      <w:r w:rsidRPr="008B1465">
        <w:rPr>
          <w:rFonts w:ascii="Times New Roman" w:eastAsia="Calibri" w:hAnsi="Times New Roman"/>
          <w:sz w:val="24"/>
          <w:szCs w:val="24"/>
        </w:rPr>
        <w:t xml:space="preserve"> Kalubanga, Kakwezi and Kayiise (2013)</w:t>
      </w:r>
      <w:r w:rsidR="00B74B5F">
        <w:rPr>
          <w:rFonts w:ascii="Times New Roman" w:eastAsia="Calibri" w:hAnsi="Times New Roman"/>
          <w:sz w:val="24"/>
          <w:szCs w:val="24"/>
        </w:rPr>
        <w:t>;</w:t>
      </w:r>
      <w:r w:rsidRPr="008B1465">
        <w:rPr>
          <w:rFonts w:ascii="Times New Roman" w:eastAsia="Calibri" w:hAnsi="Times New Roman"/>
          <w:sz w:val="24"/>
          <w:szCs w:val="24"/>
        </w:rPr>
        <w:t xml:space="preserve"> Nwosu </w:t>
      </w:r>
      <w:bookmarkStart w:id="49" w:name="_Hlk122480794"/>
      <w:r w:rsidRPr="008B1465">
        <w:rPr>
          <w:rFonts w:ascii="Times New Roman" w:eastAsia="Calibri" w:hAnsi="Times New Roman"/>
          <w:sz w:val="24"/>
          <w:szCs w:val="24"/>
        </w:rPr>
        <w:t xml:space="preserve">and Mshelia </w:t>
      </w:r>
      <w:bookmarkEnd w:id="49"/>
      <w:r w:rsidRPr="008B1465">
        <w:rPr>
          <w:rFonts w:ascii="Times New Roman" w:eastAsia="Calibri" w:hAnsi="Times New Roman"/>
          <w:sz w:val="24"/>
          <w:szCs w:val="24"/>
        </w:rPr>
        <w:t xml:space="preserve">(2015) is the process through which the government acquires adequate financial, human, and physical resources while paying the least amount of money possible. Nearly everyone agrees with Nwosu and Mshelia (2015) when they say that economy refers to the judicious use of resources to reduce costs, time, or effort. </w:t>
      </w:r>
    </w:p>
    <w:p w14:paraId="0E25A1F7" w14:textId="5C9F63DE" w:rsidR="00DC2851" w:rsidRPr="008B1465" w:rsidRDefault="004237E9" w:rsidP="00DC2851">
      <w:pPr>
        <w:spacing w:after="0" w:line="360" w:lineRule="auto"/>
        <w:jc w:val="both"/>
        <w:rPr>
          <w:rFonts w:ascii="Times New Roman" w:eastAsia="Calibri" w:hAnsi="Times New Roman"/>
          <w:sz w:val="24"/>
          <w:szCs w:val="24"/>
        </w:rPr>
      </w:pPr>
      <w:r w:rsidRPr="00845B20">
        <w:rPr>
          <w:rFonts w:ascii="Times New Roman" w:hAnsi="Times New Roman"/>
          <w:sz w:val="24"/>
          <w:szCs w:val="24"/>
        </w:rPr>
        <w:t>Hyder, Uddin, Siddiqui</w:t>
      </w:r>
      <w:r>
        <w:rPr>
          <w:rFonts w:ascii="Times New Roman" w:hAnsi="Times New Roman"/>
          <w:sz w:val="24"/>
          <w:szCs w:val="24"/>
        </w:rPr>
        <w:t xml:space="preserve">, </w:t>
      </w:r>
      <w:r w:rsidRPr="00845B20">
        <w:rPr>
          <w:rFonts w:ascii="Times New Roman" w:hAnsi="Times New Roman"/>
          <w:sz w:val="24"/>
          <w:szCs w:val="24"/>
        </w:rPr>
        <w:t>Naeem</w:t>
      </w:r>
      <w:r>
        <w:rPr>
          <w:rFonts w:ascii="Times New Roman" w:hAnsi="Times New Roman"/>
          <w:sz w:val="24"/>
          <w:szCs w:val="24"/>
        </w:rPr>
        <w:t xml:space="preserve"> and</w:t>
      </w:r>
      <w:r w:rsidRPr="00845B20">
        <w:rPr>
          <w:rFonts w:ascii="Times New Roman" w:hAnsi="Times New Roman"/>
          <w:sz w:val="24"/>
          <w:szCs w:val="24"/>
        </w:rPr>
        <w:t xml:space="preserve"> Waheed, (2023</w:t>
      </w:r>
      <w:r>
        <w:rPr>
          <w:rFonts w:ascii="Times New Roman" w:hAnsi="Times New Roman"/>
          <w:sz w:val="24"/>
          <w:szCs w:val="24"/>
        </w:rPr>
        <w:t>)</w:t>
      </w:r>
      <w:r w:rsidR="00DC2851" w:rsidRPr="008B1465">
        <w:rPr>
          <w:rFonts w:ascii="Times New Roman" w:eastAsia="Calibri" w:hAnsi="Times New Roman"/>
          <w:sz w:val="24"/>
          <w:szCs w:val="24"/>
        </w:rPr>
        <w:t xml:space="preserve"> </w:t>
      </w:r>
      <w:r w:rsidR="00131522">
        <w:rPr>
          <w:rFonts w:ascii="Times New Roman" w:eastAsia="Calibri" w:hAnsi="Times New Roman"/>
          <w:sz w:val="24"/>
          <w:szCs w:val="24"/>
        </w:rPr>
        <w:t xml:space="preserve">posited that </w:t>
      </w:r>
      <w:r w:rsidR="00DC2851" w:rsidRPr="008B1465">
        <w:rPr>
          <w:rFonts w:ascii="Times New Roman" w:eastAsia="Calibri" w:hAnsi="Times New Roman"/>
          <w:sz w:val="24"/>
          <w:szCs w:val="24"/>
        </w:rPr>
        <w:t xml:space="preserve">the terms and conditions under which an organization acquires resources are important since an efficient operation needs these resources in the right quality and quantity at the lowest cost. </w:t>
      </w:r>
      <w:r w:rsidR="00DC2851" w:rsidRPr="008B1465">
        <w:rPr>
          <w:rFonts w:ascii="Times New Roman" w:hAnsi="Times New Roman"/>
          <w:sz w:val="24"/>
          <w:szCs w:val="24"/>
          <w:shd w:val="clear" w:color="auto" w:fill="FFFFFF"/>
        </w:rPr>
        <w:t>Ndu and Nnaemeka, (2019)</w:t>
      </w:r>
      <w:r w:rsidR="00DC2851" w:rsidRPr="008B1465">
        <w:rPr>
          <w:rFonts w:ascii="Times New Roman" w:eastAsia="Calibri" w:hAnsi="Times New Roman"/>
          <w:sz w:val="24"/>
          <w:szCs w:val="24"/>
        </w:rPr>
        <w:t xml:space="preserve">, </w:t>
      </w:r>
      <w:r w:rsidR="00F8094D">
        <w:rPr>
          <w:rFonts w:ascii="Times New Roman" w:eastAsia="Calibri" w:hAnsi="Times New Roman"/>
          <w:sz w:val="24"/>
          <w:szCs w:val="24"/>
        </w:rPr>
        <w:t xml:space="preserve">asserted that </w:t>
      </w:r>
      <w:r w:rsidR="00DC2851" w:rsidRPr="008B1465">
        <w:rPr>
          <w:rFonts w:ascii="Times New Roman" w:eastAsia="Calibri" w:hAnsi="Times New Roman"/>
          <w:sz w:val="24"/>
          <w:szCs w:val="24"/>
        </w:rPr>
        <w:t>economy is largely a concept for resource acquisition based on the idea of least cost. It is concerned with getting resources of appropriate quality and quantity at the lowest cost (buying resources at the right time at the favorable price, in the right quality and quantity).</w:t>
      </w:r>
      <w:r w:rsidR="006A3FB8">
        <w:rPr>
          <w:rFonts w:ascii="Times New Roman" w:eastAsia="Calibri" w:hAnsi="Times New Roman"/>
          <w:sz w:val="24"/>
          <w:szCs w:val="24"/>
        </w:rPr>
        <w:t xml:space="preserve"> </w:t>
      </w:r>
      <w:r w:rsidR="00DC2851" w:rsidRPr="008B1465">
        <w:rPr>
          <w:rFonts w:ascii="Times New Roman" w:eastAsia="Calibri" w:hAnsi="Times New Roman"/>
          <w:sz w:val="24"/>
          <w:szCs w:val="24"/>
        </w:rPr>
        <w:t>Economy is the practice of obtaining the proper quantity of something at the proper time, location, and cost. Costs for goods and services of sufficient quality, quantity, and timeliness may be more than necessary as a result of ineffective resource collection. In the context of public procurement, VM is now a fundamental criterion that procuring and disposing bodies must use as a basis for justification of their decisions. By focusing on both efficiency and effectiveness in delivery, public service providers may demonstrate to their communities that they are giving them more for their money (Kalubanga, Kakwezi &amp; Kayiise 2013). The process of planning, organizing, procuring, and using government financial resources, as well as the design of relevant policies to meet the expectations of the general public, is known as public fund or financial management. It serves as a conduit between community expectations and actual outcomes (Ugwu, 2021).</w:t>
      </w:r>
    </w:p>
    <w:p w14:paraId="54C3315C" w14:textId="446DC633" w:rsidR="00DC2851" w:rsidRPr="008B1465" w:rsidRDefault="00DC2851" w:rsidP="00DC2851">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Budget creation is inviolable in an economy that prioritizes value for money. Prior to being submitted to the legislature for examination and final approval, the budget design process entails allocating resources. </w:t>
      </w:r>
      <w:r w:rsidRPr="008B1465">
        <w:rPr>
          <w:rFonts w:ascii="Times New Roman" w:hAnsi="Times New Roman"/>
          <w:sz w:val="24"/>
          <w:szCs w:val="24"/>
          <w:shd w:val="clear" w:color="auto" w:fill="FFFFFF"/>
        </w:rPr>
        <w:t>Okere, Eluyela, Bassey and Ajetunmobi, (2018)</w:t>
      </w:r>
      <w:r w:rsidRPr="008B1465">
        <w:rPr>
          <w:rFonts w:ascii="Times New Roman" w:eastAsia="Calibri" w:hAnsi="Times New Roman"/>
          <w:sz w:val="24"/>
          <w:szCs w:val="24"/>
        </w:rPr>
        <w:t xml:space="preserve">, </w:t>
      </w:r>
      <w:r w:rsidR="005617F8" w:rsidRPr="008B1465">
        <w:rPr>
          <w:rFonts w:ascii="Times New Roman" w:eastAsia="Calibri" w:hAnsi="Times New Roman"/>
          <w:sz w:val="24"/>
          <w:szCs w:val="24"/>
        </w:rPr>
        <w:t xml:space="preserve">affirmed that </w:t>
      </w:r>
      <w:r w:rsidRPr="008B1465">
        <w:rPr>
          <w:rFonts w:ascii="Times New Roman" w:eastAsia="Calibri" w:hAnsi="Times New Roman"/>
          <w:sz w:val="24"/>
          <w:szCs w:val="24"/>
        </w:rPr>
        <w:t>the budget development process in Nigeria entails resource allocation prior to submission to the legislature for assessment and final approval. Otusanya, (2011) claims that the president must articulate the government's fiscal, monetary, political, economic, social, and welfare goals in order for the budget to be created in Nigeria.</w:t>
      </w:r>
    </w:p>
    <w:p w14:paraId="5F496BD7" w14:textId="5D5ABF88" w:rsidR="00DC2851" w:rsidRDefault="00DC2851" w:rsidP="00DC2851">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The subject of how the budget is or should be constituted is addressed in (Okoye &amp; Ndah's, 2019) budget structure. Nigerian budgets have sides for earnings and expenses. Many governments still lack the currency management tools that would enable coordinated domestic administration, according to (</w:t>
      </w:r>
      <w:r w:rsidRPr="008B1465">
        <w:rPr>
          <w:rFonts w:ascii="Times New Roman" w:hAnsi="Times New Roman"/>
          <w:sz w:val="24"/>
          <w:szCs w:val="24"/>
          <w:shd w:val="clear" w:color="auto" w:fill="FFFFFF"/>
        </w:rPr>
        <w:t>Onuorah, &amp; Appah, 2012</w:t>
      </w:r>
      <w:r w:rsidRPr="008B1465">
        <w:rPr>
          <w:rFonts w:ascii="Times New Roman" w:eastAsia="Calibri" w:hAnsi="Times New Roman"/>
          <w:sz w:val="24"/>
          <w:szCs w:val="24"/>
        </w:rPr>
        <w:t xml:space="preserve">; </w:t>
      </w:r>
      <w:r w:rsidRPr="008B1465">
        <w:rPr>
          <w:rFonts w:ascii="Times New Roman" w:hAnsi="Times New Roman"/>
          <w:sz w:val="24"/>
          <w:szCs w:val="24"/>
          <w:shd w:val="clear" w:color="auto" w:fill="FFFFFF"/>
        </w:rPr>
        <w:t>Uchehara &amp; Ogbonna, 2017</w:t>
      </w:r>
      <w:r w:rsidRPr="008B1465">
        <w:rPr>
          <w:rFonts w:ascii="Times New Roman" w:eastAsia="Calibri" w:hAnsi="Times New Roman"/>
          <w:sz w:val="24"/>
          <w:szCs w:val="24"/>
        </w:rPr>
        <w:t>). This issue has been made worse by the practice of limiting expenditures to funds received. He also claimed that programs and projects included in the budget are being severely underfunded. Jebiwott, Gitahi, and Sang (2022) carried out study on Strategic Procurement Management Practices and the Performance of Nairobi County Real Estate Firms. It was discovered that strategic procurement strategies have a major impact on real estate performance.</w:t>
      </w:r>
    </w:p>
    <w:p w14:paraId="2ECEC907" w14:textId="77777777" w:rsidR="005C6338" w:rsidRPr="008B1465" w:rsidRDefault="005C6338" w:rsidP="005C6338">
      <w:pPr>
        <w:pStyle w:val="Heading3"/>
        <w:spacing w:line="360" w:lineRule="auto"/>
        <w:rPr>
          <w:rFonts w:cs="Times New Roman"/>
        </w:rPr>
      </w:pPr>
      <w:bookmarkStart w:id="50" w:name="_Toc145951088"/>
      <w:r w:rsidRPr="008B1465">
        <w:rPr>
          <w:rFonts w:cs="Times New Roman"/>
        </w:rPr>
        <w:t>Forensic Accounting Techniques</w:t>
      </w:r>
      <w:bookmarkEnd w:id="50"/>
    </w:p>
    <w:p w14:paraId="4E02CAB6" w14:textId="77777777" w:rsidR="005C6338" w:rsidRPr="008B1465" w:rsidRDefault="005C6338" w:rsidP="005C6338">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The use of accounting, auditing, and investigation skills to create a complete report on a fraud case that may be used as evidence in a court of law or an administrative process is known as forensic accounting. Razee, Crumbley, and Elmore (2009); </w:t>
      </w:r>
      <w:r w:rsidRPr="008B1465">
        <w:rPr>
          <w:rFonts w:ascii="Times New Roman" w:hAnsi="Times New Roman"/>
          <w:sz w:val="24"/>
          <w:szCs w:val="24"/>
          <w:shd w:val="clear" w:color="auto" w:fill="FFFFFF"/>
        </w:rPr>
        <w:t>Oyedokun, and Emmanuel (2016); Trunga, and Thuana (2020);</w:t>
      </w:r>
      <w:r w:rsidRPr="008B1465">
        <w:rPr>
          <w:rFonts w:ascii="Times New Roman" w:eastAsia="Calibri" w:hAnsi="Times New Roman"/>
          <w:sz w:val="24"/>
          <w:szCs w:val="24"/>
        </w:rPr>
        <w:t xml:space="preserve"> </w:t>
      </w:r>
      <w:r w:rsidRPr="008B1465">
        <w:rPr>
          <w:rFonts w:ascii="Times New Roman" w:hAnsi="Times New Roman"/>
          <w:sz w:val="24"/>
          <w:szCs w:val="24"/>
          <w:shd w:val="clear" w:color="auto" w:fill="FFFFFF"/>
        </w:rPr>
        <w:t xml:space="preserve">Mbasiti, Gyang and Ojaide, (2021); </w:t>
      </w:r>
      <w:r w:rsidRPr="008B1465">
        <w:rPr>
          <w:rFonts w:ascii="Times New Roman" w:eastAsia="Calibri" w:hAnsi="Times New Roman"/>
          <w:sz w:val="24"/>
          <w:szCs w:val="24"/>
        </w:rPr>
        <w:t xml:space="preserve">Taiya, Mbasiti, Yahanna, and Ojaide (2021), </w:t>
      </w:r>
      <w:bookmarkStart w:id="51" w:name="_Hlk122485296"/>
      <w:r w:rsidRPr="008B1465">
        <w:rPr>
          <w:rFonts w:ascii="Times New Roman" w:eastAsia="Calibri" w:hAnsi="Times New Roman"/>
          <w:sz w:val="24"/>
          <w:szCs w:val="24"/>
        </w:rPr>
        <w:t>submitted that forensic accounting is a subfield of accounting that focuses on the identification of financial malfeasance and the creation of documents that can be used as evidence in court.</w:t>
      </w:r>
      <w:bookmarkEnd w:id="51"/>
      <w:r w:rsidRPr="008B1465">
        <w:rPr>
          <w:rFonts w:ascii="Times New Roman" w:eastAsia="Calibri" w:hAnsi="Times New Roman"/>
          <w:sz w:val="24"/>
          <w:szCs w:val="24"/>
        </w:rPr>
        <w:t xml:space="preserve"> Singleton and Singleton (2010), posited that, in order to perform their tasks effectively, forensic accountants should be able to draw on their knowledge of economic theories, business information, financial reporting systems, accounting and auditing standards and procedures, data management and electronic discovery, data analysis techniques for fraud detection, evidence gathering and investigative techniques, and litigation processes and procedures. (Eramus, 2021). </w:t>
      </w:r>
    </w:p>
    <w:p w14:paraId="5C2798A8" w14:textId="77777777" w:rsidR="005C6338" w:rsidRPr="008B1465" w:rsidRDefault="005C6338" w:rsidP="005C6338">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The American Institute of Certified Public Accountants (2006) stated that a well-trained forensic accountant uses communication skills, investigation skills, and auditing skills when performing their duties. They also review public documents, conduct background checks, interview knowledgeable people, use confidential sources, analyze physical and electronic evidence in labs, conduct physical and electronic surveillance, and perform undercover operations and financial analysis. Golden </w:t>
      </w:r>
      <w:r w:rsidRPr="008B1465">
        <w:rPr>
          <w:rFonts w:ascii="Times New Roman" w:eastAsia="Calibri" w:hAnsi="Times New Roman"/>
          <w:i/>
          <w:iCs/>
          <w:sz w:val="24"/>
          <w:szCs w:val="24"/>
        </w:rPr>
        <w:t>et al</w:t>
      </w:r>
      <w:r w:rsidRPr="008B1465">
        <w:rPr>
          <w:rFonts w:ascii="Times New Roman" w:eastAsia="Calibri" w:hAnsi="Times New Roman"/>
          <w:sz w:val="24"/>
          <w:szCs w:val="24"/>
        </w:rPr>
        <w:t xml:space="preserve">., (2000) asserted that forensic accounting duties include the following: checking financial documents for contradictions, inconsistencies in the analysis and tracking of financial data prediction and prevention of financial fraud; checking financial records for inconsistencies, examining financial data for irregularities; reporting on revenue losses and contract breach damages, to lower risk; looking into challenging commercial circumstances; presenting results that can be used as trial evidence to support the litigation; conducting regular financial record audits to ensure legal compliance; checking that all accounting procedures are compliant with the law; maintaining track of all legal matters in neat files, and, if required, present in court (Eramus, 2021). </w:t>
      </w:r>
    </w:p>
    <w:p w14:paraId="76185E7D" w14:textId="77777777" w:rsidR="005C6338" w:rsidRPr="008B1465" w:rsidRDefault="005C6338" w:rsidP="005C6338">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The highest level of certainty, as well as the recently accepted connotation of having been arrived at in a scientific manner and presenting the essential conclusion in settling disagreement, make forensic accounting procedures acceptable for legal scrutiny (Akintoye, 2008). Jafaru (2011) argues that forensic and investigative accounting should be seen as the application of financial expertise and an investigative mindset to handle unresolved issues within the context of the rule of evidence. Financial expertise and a keen investigative attitude are combined in forensic accounting to provide you the ability to evaluate the facts you have access to and provide an explanation. Mukoro, Yamusa, and dcFaboyede (2013) assert that because they are familiar with the assumptions, algorithms, and calculations in economic models and opportunity cost scenarios and can measure and quantify things like loss of goodwill and reputation, they are particularly effective at estimating economic loss, damage, and social harm. Dhar and Sarkar, (2010) define forensic accounting as the application of accounting concepts and practices to legal challenges. It must be reported, which entails identifying the fraud's perpetrator and using the report as support in legal or administrative proceedings. According to Crumbley (2014), forensic accounting is the use of accounting to further legal goals. In order to resolve a current or upcoming legal dispute, he defined forensic accounting as the process of locating, documenting, setting, extracting, sorting, reporting, and checking historical financial data or other accounting activities. He also described using such historical financial data to resolve legal disputes. In view of the aforementioned submission and the pervasiveness of federal government parastatal fraud in Nigeria, (Okunor &amp; Obaretin, 2010).</w:t>
      </w:r>
    </w:p>
    <w:p w14:paraId="1FEDCC1C" w14:textId="77777777" w:rsidR="005C6338" w:rsidRPr="008B1465" w:rsidRDefault="005C6338" w:rsidP="005C6338">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To combat the issue of fraud activities that we are seeing in the public sector, forensic accountants have been hired by public sector organizations. The definition of forensic accounting by Howard and Sheetz (2006), which is similar to another study, is "the process of evaluating, summarizing, and presenting intricate financial matters clearly, succinctly, and factually in a court of law as an expert." It is concentrated on the use of accounting concepts to help resolve factual conflicts in commercial disputes (Okunbor &amp; Obaretin, 2010). In order to undertake investigations and find assurance, attestation, and advisory viewpoints in order to produce legal proof, the discipline of forensic accounting has developed its own models and methodology. In addition to accounting fraud and forensic auditing, compliance, due diligence, and risk assessment, financial deception detection, and financial statement fraud as a practical area, it is concerned with the evidentiary aspect of accounting data (Skousen &amp;Wright, 2008).</w:t>
      </w:r>
    </w:p>
    <w:p w14:paraId="00BC1AD4" w14:textId="77777777" w:rsidR="005C6338" w:rsidRPr="008B1465" w:rsidRDefault="005C6338" w:rsidP="005C6338">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Osisioma (2013) posited that forensic accounting requires a change in the scope, approach, and operational style of accountants. During financial audits, accountants are searching for indications of significant errors and anomalies. Due to the fact that thieves are unable to completely cover their tracks, little defects and abnormalities could be the tip of a larger, more deceitful iceberg. The forensic auditor should therefore be on the watch for indications of control procedure exceptions, abnormalities in accounting classification, and financial trend anomalies. A forensic accountant's main duty as an expert witness is to rationally, understandably, and factually assess and synthesize complex business and financial activities. An expert witness is a person who, through education, training, skill, or experience, is considered to have knowledge in a subject beyond that of the average person, to the extent that others may rely on the witness's specialized opinion about evidence or facts that are released within the scope of their expertise, known as the expert opinion, as a tool to help the fact-finder (Oseni, 2017). To adequately equip the accounting profession to handle the challenge of exposing innovative fraud, new forensic accounting must be introduced in every industry. The existing incapability of conventional accounting and auditing methods to detect financial fraud is remedied by forensic accounting. A policy instrument for effective fraud management, payroll fraud detection, and asset theft fraud prevention is forensic accounting. Fraud reduction and control in Nigeria's federal government parastatals are affected by the forensic accounting profession's litigation support service (Erasmus, 2021).</w:t>
      </w:r>
    </w:p>
    <w:p w14:paraId="7D72B552" w14:textId="77777777" w:rsidR="005C6338" w:rsidRPr="008B1465" w:rsidRDefault="005C6338" w:rsidP="00DC2851">
      <w:pPr>
        <w:spacing w:after="0" w:line="360" w:lineRule="auto"/>
        <w:jc w:val="both"/>
        <w:rPr>
          <w:rFonts w:ascii="Times New Roman" w:eastAsia="Calibri" w:hAnsi="Times New Roman"/>
          <w:sz w:val="24"/>
          <w:szCs w:val="24"/>
        </w:rPr>
      </w:pPr>
    </w:p>
    <w:p w14:paraId="1EBAF3A5" w14:textId="00884D8A" w:rsidR="00DC2851" w:rsidRPr="008B1465" w:rsidRDefault="00DC2851" w:rsidP="00DC2851">
      <w:pPr>
        <w:pStyle w:val="Heading3"/>
        <w:spacing w:line="360" w:lineRule="auto"/>
        <w:rPr>
          <w:rFonts w:cs="Times New Roman"/>
        </w:rPr>
      </w:pPr>
      <w:bookmarkStart w:id="52" w:name="_Toc145951089"/>
      <w:r w:rsidRPr="008B1465">
        <w:rPr>
          <w:rFonts w:cs="Times New Roman"/>
        </w:rPr>
        <w:t>Investigation of Fraud</w:t>
      </w:r>
      <w:bookmarkEnd w:id="52"/>
    </w:p>
    <w:p w14:paraId="2D592A2B" w14:textId="77777777" w:rsidR="00042469" w:rsidRPr="008B1465" w:rsidRDefault="00DC2851" w:rsidP="00DC2851">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Fraud bribery and embezzlement are all motivated by money. It is for this reason that people bribe, commit fraud, and embezzle money. Fraud is defined as a purposeful conduct taken with the intention of obtaining an unfair or unlawful advantage. In law, the act of dishonestly withholding assets for the goal of converting them by one or more people to whom the funds were committed, either to be held or to be used for certain objectives, is referred to as embezzlement.</w:t>
      </w:r>
      <w:r w:rsidR="00042469" w:rsidRPr="008B1465">
        <w:rPr>
          <w:rFonts w:ascii="Times New Roman" w:eastAsia="Calibri" w:hAnsi="Times New Roman"/>
          <w:sz w:val="24"/>
          <w:szCs w:val="24"/>
        </w:rPr>
        <w:t xml:space="preserve"> </w:t>
      </w:r>
      <w:r w:rsidRPr="008B1465">
        <w:rPr>
          <w:rFonts w:ascii="Times New Roman" w:eastAsia="Calibri" w:hAnsi="Times New Roman"/>
          <w:sz w:val="24"/>
          <w:szCs w:val="24"/>
        </w:rPr>
        <w:t>The word "investigation," which comes from the Latin vestigere, which means "to track or trace," refers to a methodical process of fact-finding and reporting that involves both an inquisitive mind and attention to detail (Bennett, Hess &amp; Orthmann, 2004). Investigation is also described by the global intellectual property organization (</w:t>
      </w:r>
      <w:r w:rsidRPr="008B1465">
        <w:rPr>
          <w:rFonts w:ascii="Times New Roman" w:hAnsi="Times New Roman"/>
          <w:sz w:val="24"/>
          <w:szCs w:val="24"/>
          <w:shd w:val="clear" w:color="auto" w:fill="FFFFFF"/>
        </w:rPr>
        <w:t>Hely, 2010</w:t>
      </w:r>
      <w:r w:rsidRPr="008B1465">
        <w:rPr>
          <w:rFonts w:ascii="Times New Roman" w:eastAsia="Calibri" w:hAnsi="Times New Roman"/>
          <w:sz w:val="24"/>
          <w:szCs w:val="24"/>
        </w:rPr>
        <w:t xml:space="preserve">) as a fact-finding inquiry to look into claims of misbehavior and wrongdoing in order to ascertain whether they have occurred and, if so, who is/are accountable. </w:t>
      </w:r>
    </w:p>
    <w:p w14:paraId="23C2AB8E" w14:textId="2D274C29" w:rsidR="00DC2851" w:rsidRPr="008B1465" w:rsidRDefault="00DC2851" w:rsidP="00DC2851">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Gunter and Hertig (2005) list the following types of investigations: criminal, which may involve felonies, misdemeanors, summary offenses, or ordinance violations; accident, which may involve a vehicle or the workplace and may be staged as part of a fraud scheme; human resource/personnel, which involves any policy violation, which may or may not involve a criminal or civil offense (tort); and background, which involves reference, employment history, criminal, credit, and employment checks for hiring (social history).</w:t>
      </w:r>
      <w:r w:rsidR="00042469" w:rsidRPr="008B1465">
        <w:rPr>
          <w:rFonts w:ascii="Times New Roman" w:eastAsia="Calibri" w:hAnsi="Times New Roman"/>
          <w:sz w:val="24"/>
          <w:szCs w:val="24"/>
        </w:rPr>
        <w:t xml:space="preserve"> </w:t>
      </w:r>
      <w:r w:rsidRPr="008B1465">
        <w:rPr>
          <w:rFonts w:ascii="Times New Roman" w:eastAsia="Calibri" w:hAnsi="Times New Roman"/>
          <w:sz w:val="24"/>
          <w:szCs w:val="24"/>
        </w:rPr>
        <w:t xml:space="preserve">A common definition of fraud offers a barrier in literature since it seems to have such a large scope and can take several forms with varied complexity levels. It has always been challenging to provide an accurate definition of fraud (Stephen, 1883). As a result, several authors have described it in different ways. Schuchter and Levi (2015) defined it simply as getting commodities and/or money by fraud. According to Brenner (2001), fraud differs from theft in that the victim of fraud voluntarily gives up their property, but they do so after being duped by the fraudsters' </w:t>
      </w:r>
      <w:r w:rsidR="00042469" w:rsidRPr="008B1465">
        <w:rPr>
          <w:rFonts w:ascii="Times New Roman" w:eastAsia="Calibri" w:hAnsi="Times New Roman"/>
          <w:sz w:val="24"/>
          <w:szCs w:val="24"/>
        </w:rPr>
        <w:t>materially</w:t>
      </w:r>
      <w:r w:rsidRPr="008B1465">
        <w:rPr>
          <w:rFonts w:ascii="Times New Roman" w:eastAsia="Calibri" w:hAnsi="Times New Roman"/>
          <w:sz w:val="24"/>
          <w:szCs w:val="24"/>
        </w:rPr>
        <w:t xml:space="preserve"> false statements, whereas in a theft, the perpetrator takes the victim's property without their consent (or even knowledge).</w:t>
      </w:r>
      <w:r w:rsidR="005F4C88" w:rsidRPr="008B1465">
        <w:rPr>
          <w:rFonts w:ascii="Times New Roman" w:eastAsia="Calibri" w:hAnsi="Times New Roman"/>
          <w:sz w:val="24"/>
          <w:szCs w:val="24"/>
        </w:rPr>
        <w:t xml:space="preserve"> </w:t>
      </w:r>
      <w:r w:rsidRPr="008B1465">
        <w:rPr>
          <w:rFonts w:ascii="Times New Roman" w:eastAsia="Calibri" w:hAnsi="Times New Roman"/>
          <w:sz w:val="24"/>
          <w:szCs w:val="24"/>
        </w:rPr>
        <w:t>In legal terms, fraud is a general category of illegal behavior that involves the use of dishonest or deceptive techniques in order to achieve an unfair advantage over another person, according to (Smith, 2012). In the context of business, fraud can be challenging to define because it can take many different forms. For instance, it can involve something as insignificant as a worker taking an unapproved extended lunch break or it can involve the massive financial misappropriation of a company accountant involving millions of dollars.</w:t>
      </w:r>
    </w:p>
    <w:p w14:paraId="7E3C25AC" w14:textId="66B6440B" w:rsidR="00DC2851" w:rsidRPr="008B1465" w:rsidRDefault="00DC2851" w:rsidP="00DC2851">
      <w:pPr>
        <w:pStyle w:val="Heading3"/>
        <w:spacing w:line="360" w:lineRule="auto"/>
        <w:rPr>
          <w:rFonts w:cs="Times New Roman"/>
        </w:rPr>
      </w:pPr>
      <w:bookmarkStart w:id="53" w:name="_Toc145951090"/>
      <w:r w:rsidRPr="008B1465">
        <w:rPr>
          <w:rFonts w:cs="Times New Roman"/>
        </w:rPr>
        <w:t>Litigation Services</w:t>
      </w:r>
      <w:bookmarkEnd w:id="53"/>
    </w:p>
    <w:p w14:paraId="7912C81F" w14:textId="77777777" w:rsidR="005617F8" w:rsidRPr="008B1465" w:rsidRDefault="00DC2851" w:rsidP="00DC2851">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Dada and Jimoh, (2020) are of the opinion that Litigation is a term encompassing the use of court processes to resolve a dispute, in line with the rules in place in that jurisdiction. The stages in litigation involves before litigation starts, preparing a case and finally, trial and enforcement. Before litigation begins various forms of preliminary investigations takes place also, various forms of alternative dispute resolution (ADR) are encouraged to be examined (Harwood, 2016). </w:t>
      </w:r>
    </w:p>
    <w:p w14:paraId="58D4F090" w14:textId="57A18946" w:rsidR="00DC2851" w:rsidRPr="008B1465" w:rsidRDefault="00DC2851" w:rsidP="00DC2851">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Bassey (2018), </w:t>
      </w:r>
      <w:r w:rsidR="00807DAF" w:rsidRPr="008B1465">
        <w:rPr>
          <w:rFonts w:ascii="Times New Roman" w:eastAsia="Calibri" w:hAnsi="Times New Roman"/>
          <w:sz w:val="24"/>
          <w:szCs w:val="24"/>
        </w:rPr>
        <w:t xml:space="preserve">asserted that </w:t>
      </w:r>
      <w:r w:rsidRPr="008B1465">
        <w:rPr>
          <w:rFonts w:ascii="Times New Roman" w:eastAsia="Calibri" w:hAnsi="Times New Roman"/>
          <w:sz w:val="24"/>
          <w:szCs w:val="24"/>
        </w:rPr>
        <w:t xml:space="preserve">the term “litigation support service” refers to any actions, generally performed within a legal firm, that are aimed to help a lawyer prepare don a trial, such as document review, witness interviews and case preparation. Owolabi, Dada and Olaoye (2013), </w:t>
      </w:r>
      <w:r w:rsidR="00807DAF" w:rsidRPr="008B1465">
        <w:rPr>
          <w:rFonts w:ascii="Times New Roman" w:eastAsia="Calibri" w:hAnsi="Times New Roman"/>
          <w:sz w:val="24"/>
          <w:szCs w:val="24"/>
        </w:rPr>
        <w:t>po</w:t>
      </w:r>
      <w:r w:rsidR="00E34F73" w:rsidRPr="008B1465">
        <w:rPr>
          <w:rFonts w:ascii="Times New Roman" w:eastAsia="Calibri" w:hAnsi="Times New Roman"/>
          <w:sz w:val="24"/>
          <w:szCs w:val="24"/>
        </w:rPr>
        <w:t xml:space="preserve">sited that </w:t>
      </w:r>
      <w:r w:rsidRPr="008B1465">
        <w:rPr>
          <w:rFonts w:ascii="Times New Roman" w:eastAsia="Calibri" w:hAnsi="Times New Roman"/>
          <w:sz w:val="24"/>
          <w:szCs w:val="24"/>
        </w:rPr>
        <w:t>forensic accounting encompasses litigation assistance, expert testimony, and investigative accounting. Forensic accounting delivers an accounting analysis fit for the count, which will form the foundation for discussion, debate, and eventually conflict settlement. Litigation support's main purpose is to organize, analyze, and present case material using a computer system, Litigation support entails the application of the accounting and auditing tools to assess economic losses incurred as a result of previous or ongoing legal proceedings. It supplied accounting support in a case where there was or was going to be litigation. It focuses on difficulties with the estimation of economic losses (Bessey, 2018).</w:t>
      </w:r>
    </w:p>
    <w:p w14:paraId="141FF09F" w14:textId="285EC613" w:rsidR="00716EAE" w:rsidRPr="008B1465" w:rsidRDefault="00DC2851" w:rsidP="00270D22">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The English counts believe that going to court should only be done as a last resort. The parties are encouraged to look at other options for settling conflicts first. The more traditional options for alternative dispute resolution (ADR) include: When one or more arbitrators decide on a case instead of a court-appointed judge, arbitration is a private form of conflict settlement. An impartial third-party mediator who has been chosen by the parties facilitates the bargaining process during mediation. When a neutral expert is chosen to address the issue and render a conclusive, legally enforceable judgement, this is known as expert determination (Koo, 2018)</w:t>
      </w:r>
      <w:r w:rsidR="00E34F73" w:rsidRPr="008B1465">
        <w:rPr>
          <w:rFonts w:ascii="Times New Roman" w:eastAsia="Calibri" w:hAnsi="Times New Roman"/>
          <w:sz w:val="24"/>
          <w:szCs w:val="24"/>
        </w:rPr>
        <w:t>.</w:t>
      </w:r>
      <w:r w:rsidR="005F4C88" w:rsidRPr="008B1465">
        <w:rPr>
          <w:rFonts w:ascii="Times New Roman" w:eastAsia="Calibri" w:hAnsi="Times New Roman"/>
          <w:sz w:val="24"/>
          <w:szCs w:val="24"/>
        </w:rPr>
        <w:t xml:space="preserve"> </w:t>
      </w:r>
      <w:r w:rsidRPr="008B1465">
        <w:rPr>
          <w:rFonts w:ascii="Times New Roman" w:eastAsia="Calibri" w:hAnsi="Times New Roman"/>
          <w:sz w:val="24"/>
          <w:szCs w:val="24"/>
        </w:rPr>
        <w:t>In the process of preparing cases for litigation, claim forms and particulars of claims are created for each party, served, and then usually followed by a defense, a counterclaim, and a response from the parties involved. The allocation of resources and guidance for how the case will be handled moving forward, as well as the disclosure of documents, witness statements, expert reports, and expert meetings, are all steps in the process of preparing cases for court proceedings. The trial and enforcement phases are now followed by this stage, as well as the parties' appeals. (Law reform Commission, 2010;</w:t>
      </w:r>
      <w:r w:rsidRPr="008B1465">
        <w:rPr>
          <w:rFonts w:ascii="Times New Roman" w:hAnsi="Times New Roman"/>
          <w:sz w:val="24"/>
          <w:szCs w:val="24"/>
          <w:shd w:val="clear" w:color="auto" w:fill="FFFFFF"/>
        </w:rPr>
        <w:t xml:space="preserve"> Chung, Farrar, Puri &amp; Thorne, 2010; </w:t>
      </w:r>
      <w:r w:rsidRPr="008B1465">
        <w:rPr>
          <w:rFonts w:ascii="Times New Roman" w:eastAsia="Calibri" w:hAnsi="Times New Roman"/>
          <w:sz w:val="24"/>
          <w:szCs w:val="24"/>
        </w:rPr>
        <w:t>Funnell &amp; Jupe, 2022).</w:t>
      </w:r>
      <w:r w:rsidR="00716EAE" w:rsidRPr="008B1465">
        <w:rPr>
          <w:rFonts w:ascii="Times New Roman" w:eastAsia="Calibri" w:hAnsi="Times New Roman"/>
          <w:sz w:val="24"/>
          <w:szCs w:val="24"/>
        </w:rPr>
        <w:t xml:space="preserve"> </w:t>
      </w:r>
    </w:p>
    <w:p w14:paraId="198AD5D9" w14:textId="0F21860A" w:rsidR="00DC2851" w:rsidRPr="008B1465" w:rsidRDefault="00DC2851" w:rsidP="00270D22">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Business advisory on the other hand has to do with rendering expert advice from an objective point of view for business establishments. The fact that businesses are faced with different priorities at intervals warrants the need for expert advice on how to cope with the different phases of the change in order to be smart, creative and forward thinking. This will enable the business to be able to scale through the hurdle of the changing phases. A business that yields to expert's advice will most likely not find itself involved with litigations resulting from adapting to changing phases.</w:t>
      </w:r>
    </w:p>
    <w:p w14:paraId="7E3AA897" w14:textId="78DE2851" w:rsidR="00DC2851" w:rsidRPr="008B1465" w:rsidRDefault="00DC2851" w:rsidP="00DC2851">
      <w:pPr>
        <w:tabs>
          <w:tab w:val="left" w:pos="3240"/>
        </w:tabs>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Dada and Jimoh (2020), </w:t>
      </w:r>
      <w:r w:rsidR="00270D22" w:rsidRPr="008B1465">
        <w:rPr>
          <w:rFonts w:ascii="Times New Roman" w:eastAsia="Calibri" w:hAnsi="Times New Roman"/>
          <w:sz w:val="24"/>
          <w:szCs w:val="24"/>
        </w:rPr>
        <w:t xml:space="preserve">investigated </w:t>
      </w:r>
      <w:r w:rsidRPr="008B1465">
        <w:rPr>
          <w:rFonts w:ascii="Times New Roman" w:eastAsia="Calibri" w:hAnsi="Times New Roman"/>
          <w:sz w:val="24"/>
          <w:szCs w:val="24"/>
        </w:rPr>
        <w:t>the concept of litigation services is that the fear of a vow process, as Well as yielding to expert's independent and objective advice as a forensic accounting practice, can serve as an instrument for mitigating and possibly curbing financial crimes in public sector organizations by the perpetrators of these crimes. It refers to the procedures and regulations that are used in the judicial system to resolve disputes. Litigation is most commonly linked with lawsuits, but it may occur in a variety of situations including disputed divorces and eviction processes, it is the process of presenting a case on action to a court.</w:t>
      </w:r>
    </w:p>
    <w:p w14:paraId="2B62A2FD" w14:textId="3AD5B350" w:rsidR="00DC2851" w:rsidRPr="008B1465" w:rsidRDefault="00DC2851" w:rsidP="00DC2851">
      <w:pPr>
        <w:pStyle w:val="Heading3"/>
        <w:spacing w:line="360" w:lineRule="auto"/>
        <w:rPr>
          <w:rFonts w:cs="Times New Roman"/>
        </w:rPr>
      </w:pPr>
      <w:bookmarkStart w:id="54" w:name="_Toc145951091"/>
      <w:r w:rsidRPr="008B1465">
        <w:rPr>
          <w:rFonts w:cs="Times New Roman"/>
        </w:rPr>
        <w:t>Surprise Cash Count Practices</w:t>
      </w:r>
      <w:bookmarkEnd w:id="54"/>
    </w:p>
    <w:p w14:paraId="0B3EC7F4" w14:textId="77777777" w:rsidR="00DB00E5" w:rsidRDefault="00DC2851" w:rsidP="00DC2851">
      <w:pPr>
        <w:spacing w:after="0" w:line="360" w:lineRule="auto"/>
        <w:jc w:val="both"/>
        <w:rPr>
          <w:rFonts w:ascii="Times New Roman" w:eastAsia="Calibri" w:hAnsi="Times New Roman"/>
          <w:sz w:val="24"/>
          <w:szCs w:val="24"/>
        </w:rPr>
      </w:pPr>
      <w:r w:rsidRPr="008B1465">
        <w:rPr>
          <w:rFonts w:ascii="Times New Roman" w:hAnsi="Times New Roman"/>
          <w:sz w:val="24"/>
          <w:szCs w:val="24"/>
        </w:rPr>
        <w:t>Oseni</w:t>
      </w:r>
      <w:r w:rsidR="007B442B">
        <w:rPr>
          <w:rFonts w:ascii="Times New Roman" w:hAnsi="Times New Roman"/>
          <w:sz w:val="24"/>
          <w:szCs w:val="24"/>
        </w:rPr>
        <w:t xml:space="preserve"> </w:t>
      </w:r>
      <w:r w:rsidRPr="008B1465">
        <w:rPr>
          <w:rFonts w:ascii="Times New Roman" w:hAnsi="Times New Roman"/>
          <w:sz w:val="24"/>
          <w:szCs w:val="24"/>
        </w:rPr>
        <w:t>(2017)</w:t>
      </w:r>
      <w:r w:rsidRPr="008B1465">
        <w:rPr>
          <w:rFonts w:ascii="Times New Roman" w:eastAsia="Calibri" w:hAnsi="Times New Roman"/>
          <w:sz w:val="24"/>
          <w:szCs w:val="24"/>
        </w:rPr>
        <w:t xml:space="preserve"> posited that because it can vanish without a trace if merchants are careless, it has a magical quality that can drive them mad. Documented cash handling procedures, personnel training in those procedures, and cash controls are essential for preventing that. Regarding controls, Milaham </w:t>
      </w:r>
      <w:r w:rsidR="005B37E1">
        <w:rPr>
          <w:rFonts w:ascii="Times New Roman" w:eastAsia="Calibri" w:hAnsi="Times New Roman"/>
          <w:sz w:val="24"/>
          <w:szCs w:val="24"/>
        </w:rPr>
        <w:t>and</w:t>
      </w:r>
      <w:r w:rsidRPr="008B1465">
        <w:rPr>
          <w:rFonts w:ascii="Times New Roman" w:eastAsia="Calibri" w:hAnsi="Times New Roman"/>
          <w:sz w:val="24"/>
          <w:szCs w:val="24"/>
        </w:rPr>
        <w:t xml:space="preserve"> Milaham (2020) also stated that the routine cash audit is a crucial instrument, and the random surprise audit offers enough uncertainty to aid in preventing sticky fingers from accessing the till and petty cash even more. Employees may decide not to try since they are aware that they could be audited at any time and run the danger of being caught and fired.</w:t>
      </w:r>
      <w:r w:rsidR="00716EAE" w:rsidRPr="008B1465">
        <w:rPr>
          <w:rFonts w:ascii="Times New Roman" w:eastAsia="Calibri" w:hAnsi="Times New Roman"/>
          <w:sz w:val="24"/>
          <w:szCs w:val="24"/>
        </w:rPr>
        <w:t xml:space="preserve"> </w:t>
      </w:r>
      <w:r w:rsidRPr="008B1465">
        <w:rPr>
          <w:rFonts w:ascii="Times New Roman" w:eastAsia="Calibri" w:hAnsi="Times New Roman"/>
          <w:sz w:val="24"/>
          <w:szCs w:val="24"/>
        </w:rPr>
        <w:t>Firas (2020)</w:t>
      </w:r>
      <w:r w:rsidR="00585C85" w:rsidRPr="008B1465">
        <w:rPr>
          <w:rFonts w:ascii="Times New Roman" w:eastAsia="Calibri" w:hAnsi="Times New Roman"/>
          <w:sz w:val="24"/>
          <w:szCs w:val="24"/>
        </w:rPr>
        <w:t xml:space="preserve"> stated that </w:t>
      </w:r>
      <w:r w:rsidRPr="008B1465">
        <w:rPr>
          <w:rFonts w:ascii="Times New Roman" w:eastAsia="Calibri" w:hAnsi="Times New Roman"/>
          <w:sz w:val="24"/>
          <w:szCs w:val="24"/>
        </w:rPr>
        <w:t xml:space="preserve">cash count register audit's goal is to confirm that the day's total in cash, checks, and credit receipts corresponds to the day's business operations. </w:t>
      </w:r>
    </w:p>
    <w:p w14:paraId="7ADFE935" w14:textId="70DFD39B" w:rsidR="008D104C" w:rsidRPr="008B1465" w:rsidRDefault="00DC2851" w:rsidP="00DC2851">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Keeping track of petty cash involves making sure that the sum of the cash left in and the receipts for money taken out equals the amount that should be there. If staff work in shifts, audits should be performed at the end of each shift, according to (Appah &amp; Inini's, 2021) recommendation for all retailers. In this approach, any discrepancies may be attributed to the employees who worked a specific shift. This aids in identifying any issues, including those brought on by theft or errors.</w:t>
      </w:r>
      <w:r w:rsidR="00DB00E5">
        <w:rPr>
          <w:rFonts w:ascii="Times New Roman" w:eastAsia="Calibri" w:hAnsi="Times New Roman"/>
          <w:sz w:val="24"/>
          <w:szCs w:val="24"/>
        </w:rPr>
        <w:t xml:space="preserve"> </w:t>
      </w:r>
      <w:r w:rsidRPr="008B1465">
        <w:rPr>
          <w:rFonts w:ascii="Times New Roman" w:eastAsia="Calibri" w:hAnsi="Times New Roman"/>
          <w:sz w:val="24"/>
          <w:szCs w:val="24"/>
        </w:rPr>
        <w:t>By providing running transaction records that can be printed, exported to a spreadsheet, or both, electronic means of registering and recording cash were suggested by (Okoye, Adeniyi, &amp; James, 2019). This means that whoever is in charge of the business during that time period can and should perform the counting of the receipts for each type of transaction. To help discover patterns, they stated that all voids should be signed for and the makers should be noted; a high number of voids may indicate that a person lacks training or is stealing. Petty cash needs its own logbook (Onuorah &amp; Appah, 2012). This logbook should chronicle receipts and cash spending as they happen, as well as who received the cash when and where, as well as when and who conducted the audit and any inconsistencies and reconciliations. Always leave a record of your audit control so that it may be tracked and referenced in case of an unrelated future occurrence or for the person who will be held accountable.</w:t>
      </w:r>
    </w:p>
    <w:p w14:paraId="3CF9EF77" w14:textId="42E51696" w:rsidR="00DC2851" w:rsidRPr="008B1465" w:rsidRDefault="00DC2851" w:rsidP="00DC2851">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Ugwu (2021)</w:t>
      </w:r>
      <w:r w:rsidR="008D104C" w:rsidRPr="008B1465">
        <w:rPr>
          <w:rFonts w:ascii="Times New Roman" w:eastAsia="Calibri" w:hAnsi="Times New Roman"/>
          <w:sz w:val="24"/>
          <w:szCs w:val="24"/>
        </w:rPr>
        <w:t xml:space="preserve"> reported that </w:t>
      </w:r>
      <w:r w:rsidRPr="008B1465">
        <w:rPr>
          <w:rFonts w:ascii="Times New Roman" w:eastAsia="Calibri" w:hAnsi="Times New Roman"/>
          <w:sz w:val="24"/>
          <w:szCs w:val="24"/>
        </w:rPr>
        <w:t>owners or managers should conduct surprise audits on an apparently random basis to prevent staff from getting around the regular audits. It's comparable to robbers who utilize a night guard's routine to their advantage when the guard isn't present to enter a building. In addition, if the owner isn't the one doing the audits, those executing them should also be susceptible to unexpected audits. Many firms have suffered greatly as a result of dishonest managers and bookkeepers. The audits should ideally not be carried out by those in charge of daily operations or direct supervision in order to establish a certain level of independence. Sutherland (1949) stated that, theoretically, the less exposure to currency there is, the less likely it is that someone will be motivated to commit fraud or theft. As a result, how money is handled and stored has a big impact on your risk of exposure.</w:t>
      </w:r>
    </w:p>
    <w:p w14:paraId="5B647781" w14:textId="236353D9" w:rsidR="00DC2851" w:rsidRPr="008B1465" w:rsidRDefault="00DC2851" w:rsidP="00DC2851">
      <w:pPr>
        <w:pStyle w:val="Heading3"/>
        <w:spacing w:line="360" w:lineRule="auto"/>
        <w:rPr>
          <w:rFonts w:cs="Times New Roman"/>
        </w:rPr>
      </w:pPr>
      <w:bookmarkStart w:id="55" w:name="_Toc145951092"/>
      <w:r w:rsidRPr="008B1465">
        <w:rPr>
          <w:rFonts w:cs="Times New Roman"/>
        </w:rPr>
        <w:t>Accounting and Digital Environment</w:t>
      </w:r>
      <w:bookmarkEnd w:id="55"/>
      <w:r w:rsidRPr="008B1465">
        <w:rPr>
          <w:rFonts w:cs="Times New Roman"/>
        </w:rPr>
        <w:t xml:space="preserve"> </w:t>
      </w:r>
    </w:p>
    <w:p w14:paraId="38497072" w14:textId="77777777" w:rsidR="00DC2851" w:rsidRPr="008B1465" w:rsidRDefault="00DC2851" w:rsidP="00DC2851">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The key factor behind the shift in information and communication strategies in recent years has been identified as digitization approaches. The removal of international borders for company operations and the transition from conventional to digital forms of business transactions are two factors that have contributed to the development of these approaches. The ideas and procedures of e-business, e-commerce, and digital accounting have been inescapable as a result of the shifts to a digital company structure. Costs for businesses to produce knowledge and disseminate it to users have significantly dropped thanks to the advent of the Internet and forensic accounting in financial fraud control in the digital environment (Sevim, Yildiz, &amp; Dalkiliç, 2016; Atabey, &amp; Yılmaz, 2013).</w:t>
      </w:r>
    </w:p>
    <w:p w14:paraId="1F6FB50C" w14:textId="77777777" w:rsidR="00DB00E5" w:rsidRDefault="00DC2851" w:rsidP="00DC2851">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Businesses should take a few factors into mind in order to avoid fraud and manipulation on both a national and international level. Accounting scandals, changes in the digital environment, money laundering, the need for trust to invest in domestic and international markets, and other factors compel businesses to take action to combat activities that are carried out whether or not they are compliant with accounting principles and standards (Kurnaz, Köksal, &amp; Ulusoy, 2019). Task separation, internal control systems, internal audits, external audits, and other procedures are among the actions that firms must do. </w:t>
      </w:r>
    </w:p>
    <w:p w14:paraId="746BA46C" w14:textId="55C5C6FD" w:rsidR="00DC2851" w:rsidRPr="008B1465" w:rsidRDefault="00DC2851" w:rsidP="00DC2851">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In addition to being a tool for corporate management to employ to prevent financial crime, forensic accounting also provides guidance to companies on how to construct an active internal control structure, organize themselves in a dependable and active manner, and create an active external presence. Akabom-Ita (2012) affirmed that businesses need to stay up with advancements in computer and communication technologies if they want to be able to adapt to new business models in the recent years. Since innovations have increased the amount of data that can be gathered, saved, processed, and turned into information in enterprises, digital procedures have become increasingly necessary.   </w:t>
      </w:r>
    </w:p>
    <w:p w14:paraId="608FA95C" w14:textId="77777777" w:rsidR="00DC2851" w:rsidRPr="008B1465" w:rsidRDefault="00DC2851" w:rsidP="00DC2851">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Businesses are increasingly engaging in accounting fraud as a result of these methods' development in industry and ineffective application. The integrated model in the process of forensic accounting investigation has been developed in order to identify and stop frauds committed in the digital environment by white collar employees of businesses, which can be seen in the data, and manipulations carried out in accordance with accounting principles and standards (Grubor,  Berber, Aleksić, &amp; Bjekić, 2020). Technology advancements can be viewed as having a negative impact due to the fact that business frauds are committed using keyboards far more frequently than with pens or weapons. As time goes on, the value of forensic accounting, which is recognized as a discipline that draws attention owing to both its core expertise and qualities in preventing or identifying these adverse consequences, will become more and more important.</w:t>
      </w:r>
    </w:p>
    <w:p w14:paraId="02611E72" w14:textId="3E42E8CC" w:rsidR="00DC2851" w:rsidRPr="008B1465" w:rsidRDefault="00DC2851" w:rsidP="00A8325F">
      <w:pPr>
        <w:spacing w:before="240"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The forensic accounting profession can be easily distinguished from other professions because it covers more ground by nature and conducts a more thorough investigation, features that set it apart from audit or fraud investigation, which are believed to be among the techniques used to determine financial fraud. Narveson provides a synopsis of the most useful and comprehensive data for triggering fraud and forensic accounting in a digital environment. This means that determining the effectiveness of deterrence and prevention is the first stage of the five-stage tactical assessment. Within this context, it is essential to comprehend information management science technology, IT risk evaluation, the process involving manual and computerized systems, the field of use of IT systems generally in fraud and other crimes, and how IT security is circumvented or violated</w:t>
      </w:r>
      <w:r w:rsidR="00B75E14" w:rsidRPr="008B1465">
        <w:rPr>
          <w:rFonts w:ascii="Times New Roman" w:eastAsia="Calibri" w:hAnsi="Times New Roman"/>
          <w:bCs/>
          <w:sz w:val="24"/>
          <w:szCs w:val="24"/>
        </w:rPr>
        <w:t xml:space="preserve"> </w:t>
      </w:r>
      <w:r w:rsidR="00A8325F" w:rsidRPr="008B1465">
        <w:rPr>
          <w:rFonts w:ascii="Times New Roman" w:eastAsia="Calibri" w:hAnsi="Times New Roman"/>
          <w:bCs/>
          <w:sz w:val="24"/>
          <w:szCs w:val="24"/>
        </w:rPr>
        <w:t>(</w:t>
      </w:r>
      <w:r w:rsidR="00B75E14" w:rsidRPr="008B1465">
        <w:rPr>
          <w:rFonts w:ascii="Times New Roman" w:eastAsia="Calibri" w:hAnsi="Times New Roman"/>
          <w:bCs/>
          <w:sz w:val="24"/>
          <w:szCs w:val="24"/>
        </w:rPr>
        <w:t>Kurnaz</w:t>
      </w:r>
      <w:r w:rsidR="00A8325F" w:rsidRPr="008B1465">
        <w:rPr>
          <w:rFonts w:ascii="Times New Roman" w:eastAsia="Calibri" w:hAnsi="Times New Roman"/>
          <w:bCs/>
          <w:sz w:val="24"/>
          <w:szCs w:val="24"/>
        </w:rPr>
        <w:t>,</w:t>
      </w:r>
      <w:r w:rsidR="00B75E14" w:rsidRPr="008B1465">
        <w:rPr>
          <w:rFonts w:ascii="Times New Roman" w:eastAsia="Calibri" w:hAnsi="Times New Roman"/>
          <w:bCs/>
          <w:sz w:val="24"/>
          <w:szCs w:val="24"/>
        </w:rPr>
        <w:t xml:space="preserve"> et al., </w:t>
      </w:r>
      <w:r w:rsidR="00A8325F" w:rsidRPr="008B1465">
        <w:rPr>
          <w:rFonts w:ascii="Times New Roman" w:eastAsia="Calibri" w:hAnsi="Times New Roman"/>
          <w:bCs/>
          <w:sz w:val="24"/>
          <w:szCs w:val="24"/>
        </w:rPr>
        <w:t>2019).</w:t>
      </w:r>
    </w:p>
    <w:p w14:paraId="1ACD06FF" w14:textId="0DECFAAB" w:rsidR="007E0DE1" w:rsidRPr="008B1465" w:rsidRDefault="00DC2851" w:rsidP="007E0DE1">
      <w:pPr>
        <w:spacing w:before="240"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Following is a list of what needs to be done for this first group: develop a business case scenario for fraud prevention control; manage the risk evaluation provided with a specific method; perform application control and neutralization for exploring the human risk factors within the parameters provided by the given information and instructor; use this type of assessments as a model for certain fraud risks and approach of other cases; and determine the manipulation of the IT system for fraud. Evaluation of digital evidence is the second crucial strategy, according to 1616.</w:t>
      </w:r>
      <w:r w:rsidR="00716EAE" w:rsidRPr="008B1465">
        <w:rPr>
          <w:rFonts w:ascii="Times New Roman" w:eastAsia="Calibri" w:hAnsi="Times New Roman"/>
          <w:bCs/>
          <w:sz w:val="24"/>
          <w:szCs w:val="24"/>
        </w:rPr>
        <w:t xml:space="preserve"> </w:t>
      </w:r>
      <w:r w:rsidRPr="008B1465">
        <w:rPr>
          <w:rFonts w:ascii="Times New Roman" w:eastAsia="Calibri" w:hAnsi="Times New Roman"/>
          <w:bCs/>
          <w:sz w:val="24"/>
          <w:szCs w:val="24"/>
        </w:rPr>
        <w:t>The gathering of digital evidence is one of the key links of TWG in a digital setting. The fraudster can make numerous attempts with digital proof because of expert data entering. They can, for instance, corrupt or delete all of the evidence in a trial utilizing a seized computer employing a straightforward activation technique</w:t>
      </w:r>
      <w:r w:rsidR="007E0DE1" w:rsidRPr="008B1465">
        <w:rPr>
          <w:rFonts w:ascii="Times New Roman" w:eastAsia="Calibri" w:hAnsi="Times New Roman"/>
          <w:bCs/>
          <w:sz w:val="24"/>
          <w:szCs w:val="24"/>
        </w:rPr>
        <w:t xml:space="preserve"> </w:t>
      </w:r>
      <w:r w:rsidR="00D36359" w:rsidRPr="008B1465">
        <w:rPr>
          <w:rFonts w:ascii="Times New Roman" w:eastAsia="Calibri" w:hAnsi="Times New Roman"/>
          <w:bCs/>
          <w:sz w:val="24"/>
          <w:szCs w:val="24"/>
        </w:rPr>
        <w:t>(</w:t>
      </w:r>
      <w:r w:rsidR="007E0DE1" w:rsidRPr="008B1465">
        <w:rPr>
          <w:rFonts w:ascii="Times New Roman" w:eastAsia="Calibri" w:hAnsi="Times New Roman"/>
          <w:bCs/>
          <w:sz w:val="24"/>
          <w:szCs w:val="24"/>
        </w:rPr>
        <w:t>Kurnaz, et al., 2019).</w:t>
      </w:r>
    </w:p>
    <w:p w14:paraId="4409539F" w14:textId="469217B3" w:rsidR="005160D6" w:rsidRPr="008B1465" w:rsidRDefault="005160D6" w:rsidP="00DC2851">
      <w:pPr>
        <w:spacing w:after="0" w:line="360" w:lineRule="auto"/>
        <w:jc w:val="both"/>
        <w:rPr>
          <w:rFonts w:ascii="Times New Roman" w:eastAsia="Calibri" w:hAnsi="Times New Roman"/>
          <w:bCs/>
          <w:sz w:val="24"/>
          <w:szCs w:val="24"/>
        </w:rPr>
      </w:pPr>
    </w:p>
    <w:p w14:paraId="3B2A7FEB" w14:textId="740E2C51" w:rsidR="00DC2851" w:rsidRPr="008B1465" w:rsidRDefault="00DC2851" w:rsidP="00DC2851">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In this context, the following elements should be taken into account and studied: a special need to be ready to gather and store digital pieces of evidence for forensic investigations, such as headers in documents, digital evidence type information, such as e-mail links and audit logs in investigations, online source information (public records, filing, submissions, and court records), information of contacting other experts in case of findings regarding digital evidence</w:t>
      </w:r>
      <w:r w:rsidR="00716EAE" w:rsidRPr="008B1465">
        <w:rPr>
          <w:rFonts w:ascii="Times New Roman" w:eastAsia="Calibri" w:hAnsi="Times New Roman"/>
          <w:bCs/>
          <w:sz w:val="24"/>
          <w:szCs w:val="24"/>
        </w:rPr>
        <w:t xml:space="preserve">. </w:t>
      </w:r>
      <w:r w:rsidRPr="008B1465">
        <w:rPr>
          <w:rFonts w:ascii="Times New Roman" w:eastAsia="Calibri" w:hAnsi="Times New Roman"/>
          <w:bCs/>
          <w:sz w:val="24"/>
          <w:szCs w:val="24"/>
        </w:rPr>
        <w:t>The following steps should be taken in order to achieve these goals: applying the rules for the storage and management of evidence in an investigation method; introducing and utilizing digital evidence in a case scenario; utilizing the Internet and other sources for investigation and data collection; defining the situations where forensic experts on data security and computers are necessary; and describing the impact of proper e-mail usage on electronic exploration. The third tactical evaluation focuses on reporting. To report and explain the results of a fraud investigation, it is required to have a status in which reports, graphic presentations, verbal sources, and contact forms are written down and incorporated.</w:t>
      </w:r>
      <w:r w:rsidR="005160D6" w:rsidRPr="008B1465">
        <w:rPr>
          <w:rFonts w:ascii="Times New Roman" w:eastAsia="Calibri" w:hAnsi="Times New Roman"/>
          <w:bCs/>
          <w:sz w:val="24"/>
          <w:szCs w:val="24"/>
        </w:rPr>
        <w:t xml:space="preserve"> </w:t>
      </w:r>
      <w:r w:rsidRPr="008B1465">
        <w:rPr>
          <w:rFonts w:ascii="Times New Roman" w:eastAsia="Calibri" w:hAnsi="Times New Roman"/>
          <w:bCs/>
          <w:sz w:val="24"/>
          <w:szCs w:val="24"/>
        </w:rPr>
        <w:t>To complete the transactions, show fragments of evidence and results, and create an assessment by employing cybercrimes for the data display and analysis by using schedules and themes verbally and visually. The need for basic knowledge of cybercrimes and legal knowledge regarding intellectual property rights and cybercrimes is the fourth tactical assessment, which is perhaps the most crucial. Within this context, it is crucial to be able to define the situations that call for data security or forensic experts as well as the situations that violate the law, confidential rights, or other subjects related to the crime</w:t>
      </w:r>
      <w:r w:rsidR="00D877A3" w:rsidRPr="008B1465">
        <w:rPr>
          <w:rFonts w:ascii="Times New Roman" w:eastAsia="Calibri" w:hAnsi="Times New Roman"/>
          <w:bCs/>
          <w:sz w:val="24"/>
          <w:szCs w:val="24"/>
        </w:rPr>
        <w:t xml:space="preserve"> (Akabom-Ita, 2012).</w:t>
      </w:r>
    </w:p>
    <w:p w14:paraId="687A27EB" w14:textId="48BEE786" w:rsidR="00DC2851" w:rsidRPr="008B1465" w:rsidRDefault="00DC2851" w:rsidP="00DC2851">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The following are the primary requirements for the phase of determination and pieces of evidence, which is the final tactical assessment: to observe the contradictory statements and attempts of perpetrators to conceal their active frauds, to alter the regular file's pieces of evidenced types and to demonstrate proximity to electronic files, to seize forensic hardware, such as Roadmaster, St 500, and write protectors and deleted files, to acquire software packages accommodative of forensic hardware, information about software useful for case analyses, continuous supervision, and data mining. In addition to training, forensic accountants must have a general understanding of the methods and equipment used on forensic computers and for retrieving data from confiscated systems</w:t>
      </w:r>
      <w:r w:rsidR="00DC5889" w:rsidRPr="008B1465">
        <w:rPr>
          <w:rFonts w:ascii="Times New Roman" w:eastAsia="Calibri" w:hAnsi="Times New Roman"/>
          <w:bCs/>
          <w:sz w:val="24"/>
          <w:szCs w:val="24"/>
        </w:rPr>
        <w:t xml:space="preserve"> (Sevim, et al., 2016).</w:t>
      </w:r>
    </w:p>
    <w:p w14:paraId="315A6280" w14:textId="2E453E7E" w:rsidR="00DC2851" w:rsidRPr="008B1465" w:rsidRDefault="00DC2851" w:rsidP="00DC2851">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To define how to declare fraud types and how computer-related issues are detected using audit tools and techniques, specifically to determine the use of BDDT; to define specific analysis techniques for fraud detection and the analysis defined to state the solution to the distinction between an error and fraud; to use computer-based tools for standard audit software for data requisition (</w:t>
      </w:r>
      <w:r w:rsidRPr="008B1465">
        <w:rPr>
          <w:rFonts w:ascii="Times New Roman" w:hAnsi="Times New Roman"/>
          <w:sz w:val="24"/>
          <w:szCs w:val="24"/>
          <w:shd w:val="clear" w:color="auto" w:fill="FFFFFF"/>
        </w:rPr>
        <w:t xml:space="preserve">Kurnaz, </w:t>
      </w:r>
      <w:r w:rsidR="00FD366E" w:rsidRPr="008B1465">
        <w:rPr>
          <w:rFonts w:ascii="Times New Roman" w:hAnsi="Times New Roman"/>
          <w:sz w:val="24"/>
          <w:szCs w:val="24"/>
          <w:shd w:val="clear" w:color="auto" w:fill="FFFFFF"/>
        </w:rPr>
        <w:t>et al.</w:t>
      </w:r>
      <w:r w:rsidRPr="008B1465">
        <w:rPr>
          <w:rFonts w:ascii="Times New Roman" w:hAnsi="Times New Roman"/>
          <w:sz w:val="24"/>
          <w:szCs w:val="24"/>
          <w:shd w:val="clear" w:color="auto" w:fill="FFFFFF"/>
        </w:rPr>
        <w:t>, 2019).</w:t>
      </w:r>
    </w:p>
    <w:p w14:paraId="73819333" w14:textId="327EDA9F" w:rsidR="00DC2851" w:rsidRPr="008B1465" w:rsidRDefault="009E7BC8" w:rsidP="00DC2851">
      <w:pPr>
        <w:pStyle w:val="Heading2"/>
        <w:spacing w:line="360" w:lineRule="auto"/>
        <w:rPr>
          <w:rFonts w:cs="Times New Roman"/>
          <w:sz w:val="24"/>
          <w:szCs w:val="24"/>
        </w:rPr>
      </w:pPr>
      <w:r w:rsidRPr="008B1465">
        <w:rPr>
          <w:rFonts w:cs="Times New Roman"/>
          <w:sz w:val="24"/>
          <w:szCs w:val="24"/>
        </w:rPr>
        <w:t xml:space="preserve">  </w:t>
      </w:r>
      <w:bookmarkStart w:id="56" w:name="_Toc145951093"/>
      <w:r w:rsidR="00DC2851" w:rsidRPr="008B1465">
        <w:rPr>
          <w:rFonts w:cs="Times New Roman"/>
          <w:sz w:val="24"/>
          <w:szCs w:val="24"/>
        </w:rPr>
        <w:t>Theoretical Review</w:t>
      </w:r>
      <w:bookmarkEnd w:id="56"/>
    </w:p>
    <w:p w14:paraId="4CF90F67" w14:textId="3C3EF8BD" w:rsidR="00DC2851" w:rsidRPr="008B1465" w:rsidRDefault="00DC2851" w:rsidP="00DC2851">
      <w:pPr>
        <w:pStyle w:val="Heading3"/>
        <w:spacing w:line="360" w:lineRule="auto"/>
        <w:rPr>
          <w:rFonts w:cs="Times New Roman"/>
        </w:rPr>
      </w:pPr>
      <w:bookmarkStart w:id="57" w:name="_Toc145951094"/>
      <w:r w:rsidRPr="008B1465">
        <w:rPr>
          <w:rFonts w:cs="Times New Roman"/>
        </w:rPr>
        <w:t>Theoretical Background</w:t>
      </w:r>
      <w:bookmarkEnd w:id="57"/>
    </w:p>
    <w:p w14:paraId="09D0B046" w14:textId="17129F93" w:rsidR="00DC2851" w:rsidRPr="008B1465" w:rsidRDefault="00DC2851" w:rsidP="00DC2851">
      <w:pPr>
        <w:spacing w:after="0" w:line="360" w:lineRule="auto"/>
        <w:jc w:val="both"/>
        <w:rPr>
          <w:rFonts w:ascii="Times New Roman" w:hAnsi="Times New Roman"/>
          <w:sz w:val="24"/>
          <w:szCs w:val="24"/>
        </w:rPr>
      </w:pPr>
      <w:r w:rsidRPr="008B1465">
        <w:rPr>
          <w:rFonts w:ascii="Times New Roman" w:hAnsi="Times New Roman"/>
          <w:sz w:val="24"/>
          <w:szCs w:val="24"/>
        </w:rPr>
        <w:t>Before proceeding to the theoretical expansions, we present a review of the prevalent models for explaining why people commit fraud to emphasize the existing theoretical foundation and current advancements, as well as to identify improvement opportunities. The most widely accepted model for explaining why people commit fraud is the fraud triangle. The fraud triangle is the most widely acknowledged paradigm for explaining why people commit fraud. This concept was devised by Cressey (1953), a criminologist whose research concentrated on embezzlers, whom he referred to as "trust violators." One leg of the triangle reflects an unshared financial necessity. The second leg symbolizes anticipated opportunity, whereas the final leg represents rationalization.  The first leg of the fraud triangle is pressure. Cressey defined pressure as a non-shareable financial problem or motive that leads to fraud. Cressey hypothesized that when trusted people believe they have a problem, they become trust violators. The second leg of the fraud triangle is perceived opportunity. According to the fraud triangle theory, the presence of a non-shareable financial concern will not automatically lead to an employee committing fraud. For a trust violation to occur, all three components must be present. The perceived opportunity component refers to the imagined capacity for deception. In other words, the employee must believe he can conduct the offense without being caught.</w:t>
      </w:r>
    </w:p>
    <w:p w14:paraId="2EEB2AD8" w14:textId="77777777" w:rsidR="00E37528" w:rsidRPr="008B1465" w:rsidRDefault="00DC2851" w:rsidP="00DC2851">
      <w:pPr>
        <w:spacing w:after="0" w:line="360" w:lineRule="auto"/>
        <w:jc w:val="both"/>
        <w:rPr>
          <w:rFonts w:ascii="Times New Roman" w:hAnsi="Times New Roman"/>
          <w:sz w:val="24"/>
          <w:szCs w:val="24"/>
        </w:rPr>
      </w:pPr>
      <w:r w:rsidRPr="008B1465">
        <w:rPr>
          <w:rFonts w:ascii="Times New Roman" w:hAnsi="Times New Roman"/>
          <w:sz w:val="24"/>
          <w:szCs w:val="24"/>
        </w:rPr>
        <w:t>Cressey</w:t>
      </w:r>
      <w:r w:rsidR="00E37528" w:rsidRPr="008B1465">
        <w:rPr>
          <w:rFonts w:ascii="Times New Roman" w:hAnsi="Times New Roman"/>
          <w:sz w:val="24"/>
          <w:szCs w:val="24"/>
        </w:rPr>
        <w:t xml:space="preserve"> (1953)</w:t>
      </w:r>
      <w:r w:rsidRPr="008B1465">
        <w:rPr>
          <w:rFonts w:ascii="Times New Roman" w:hAnsi="Times New Roman"/>
          <w:sz w:val="24"/>
          <w:szCs w:val="24"/>
        </w:rPr>
        <w:t xml:space="preserve">, the perceived opportunity leg consists of two components: general knowledge and technical expertise. General knowledge is the awareness that an employee's position of trust could be compromised. This knowledge could come from hearing of past embezzlement, witnessing dishonest behavior by other employees, or simply being aware that the employee is in a position to exploit his employer's trust. Technical ability refers to the abilities required to commit the offense. Typically, these are the same competencies required for the role. Rationalization is the third and last factor in the fraud triangle. Rationalization permits the criminal to comprehend his illegal activities and to keep his self-image as a trustworthy individual. Prior to the commission of a crime, rationalization is a crucial component. Rationalization is part of the reason for the crime. Because the embezzler does not perceive himself as a criminal, he must justify his offenses before he ever acts on them. </w:t>
      </w:r>
    </w:p>
    <w:p w14:paraId="26071658" w14:textId="48D1BB0A" w:rsidR="00DC2851" w:rsidRPr="008B1465" w:rsidRDefault="00DC2851" w:rsidP="00DC2851">
      <w:pPr>
        <w:spacing w:after="0" w:line="360" w:lineRule="auto"/>
        <w:jc w:val="both"/>
        <w:rPr>
          <w:rFonts w:ascii="Times New Roman" w:hAnsi="Times New Roman"/>
          <w:sz w:val="24"/>
          <w:szCs w:val="24"/>
        </w:rPr>
      </w:pPr>
      <w:r w:rsidRPr="008B1465">
        <w:rPr>
          <w:rFonts w:ascii="Times New Roman" w:hAnsi="Times New Roman"/>
          <w:sz w:val="24"/>
          <w:szCs w:val="24"/>
        </w:rPr>
        <w:t xml:space="preserve">Cressey </w:t>
      </w:r>
      <w:r w:rsidR="00E37528" w:rsidRPr="008B1465">
        <w:rPr>
          <w:rFonts w:ascii="Times New Roman" w:hAnsi="Times New Roman"/>
          <w:sz w:val="24"/>
          <w:szCs w:val="24"/>
        </w:rPr>
        <w:t>(1953)</w:t>
      </w:r>
      <w:r w:rsidR="00191BA5" w:rsidRPr="008B1465">
        <w:rPr>
          <w:rFonts w:ascii="Times New Roman" w:hAnsi="Times New Roman"/>
          <w:sz w:val="24"/>
          <w:szCs w:val="24"/>
        </w:rPr>
        <w:t xml:space="preserve"> </w:t>
      </w:r>
      <w:r w:rsidRPr="008B1465">
        <w:rPr>
          <w:rFonts w:ascii="Times New Roman" w:hAnsi="Times New Roman"/>
          <w:sz w:val="24"/>
          <w:szCs w:val="24"/>
        </w:rPr>
        <w:t>found that the embezzlers he studied generally excused their crimes by perceiving them as essentially non-criminal, justified, or part of a wider obligation for which they were not liable. He also discovered that rationalizations given by trust offenders tended to be linked to their positions and to individuals who committed their crimes. And although academicians have tested Cressey’s model, it has still not fully found its way into practice in terms of developing fraud prevention programs. Thus, it seems that no single model will ﬁt every situation. Moreover, Cressey’s study is nearly half a century old, and there has been considerable social change in the interim. Cressey's fraud triangle indicates that certain traits increase the probability of fraud, but it does not provide complete information. Although the fraud triangle helps to explain the nature of many occupational criminals, it does not describe the nature of all occupational criminals.</w:t>
      </w:r>
    </w:p>
    <w:p w14:paraId="78F0E82F" w14:textId="4B28FD0C" w:rsidR="00DC2851" w:rsidRPr="008B1465" w:rsidRDefault="00DC2851" w:rsidP="00DC2851">
      <w:pPr>
        <w:spacing w:after="0" w:line="360" w:lineRule="auto"/>
        <w:jc w:val="both"/>
        <w:rPr>
          <w:rFonts w:ascii="Times New Roman" w:hAnsi="Times New Roman"/>
          <w:sz w:val="24"/>
          <w:szCs w:val="24"/>
        </w:rPr>
      </w:pPr>
      <w:r w:rsidRPr="008B1465">
        <w:rPr>
          <w:rFonts w:ascii="Times New Roman" w:hAnsi="Times New Roman"/>
          <w:sz w:val="24"/>
          <w:szCs w:val="24"/>
        </w:rPr>
        <w:t xml:space="preserve">In "Deterring Fraud: The Internal Auditor's Perspective" (Institute of Internal Auditors Research Foundation), Albrecht </w:t>
      </w:r>
      <w:r w:rsidR="00576E27" w:rsidRPr="008B1465">
        <w:rPr>
          <w:rFonts w:ascii="Times New Roman" w:hAnsi="Times New Roman"/>
          <w:i/>
          <w:iCs/>
          <w:sz w:val="24"/>
          <w:szCs w:val="24"/>
        </w:rPr>
        <w:t>et al</w:t>
      </w:r>
      <w:r w:rsidRPr="008B1465">
        <w:rPr>
          <w:rFonts w:ascii="Times New Roman" w:hAnsi="Times New Roman"/>
          <w:sz w:val="24"/>
          <w:szCs w:val="24"/>
        </w:rPr>
        <w:t>., (1984) introduced the fraud scale as a tool to assess the likelihood of fraudulent activity through the evaluation of the relative forces of pressure, opportunity, and personal integrity. Albrecht and his coworkers concluded that it is difficult to foresee fraud because there is no credible profile of occupational fraud perpetrators. They claimed that the probability of fraudulent action might be determined by weighing the proportional forces of pressure, opportunity, and personal integrity. The fraud triangle includes both pressure and opportunity, but the fraud scale replaces personal integrity for reasoning. The fraud scale is especially appropriate to financial statement fraud when sources of pressure (for example, analyst projections, management's profits expectations, and a history of sales and earnings growth) are more visible. With this in mind, the fraud scale proposes that by taking pressure, opportunity, and integrity into account simultaneously, one may assess whether a circumstance has a higher risk of fraud. The advantage of employing personal integrity is that it allows you to assess a person's commitment to ethical decision-making by watching both his decisions and the decision-making processes.</w:t>
      </w:r>
    </w:p>
    <w:p w14:paraId="4D085872" w14:textId="77777777" w:rsidR="00DC2851" w:rsidRPr="008B1465" w:rsidRDefault="00DC2851" w:rsidP="00DC2851">
      <w:pPr>
        <w:spacing w:after="0" w:line="360" w:lineRule="auto"/>
        <w:jc w:val="both"/>
        <w:rPr>
          <w:rFonts w:ascii="Times New Roman" w:hAnsi="Times New Roman"/>
          <w:sz w:val="24"/>
          <w:szCs w:val="24"/>
        </w:rPr>
      </w:pPr>
      <w:r w:rsidRPr="008B1465">
        <w:rPr>
          <w:rFonts w:ascii="Times New Roman" w:hAnsi="Times New Roman"/>
          <w:sz w:val="24"/>
          <w:szCs w:val="24"/>
        </w:rPr>
        <w:t>In their work "The Fraud Diamond: Considering the Four Elements of Fraud," Wolfe and Hermanson (2004) included the factor of capability into Cressey's model, converting it from a triangle to a diamond. The likelihood of fraud is also influenced by a person's personality characteristics and ability, claim Wolfe and Hermanson: "Opportunity opens the doorway to fraud, and incentive (pressure) and rationalization can draw a person toward it; but the person must have the capability to recognize the open doorway as an opportunity and to take advantage of it by walking through, not just once, but time and time again.</w:t>
      </w:r>
    </w:p>
    <w:p w14:paraId="5435F38A" w14:textId="1AD96F20" w:rsidR="00DC2851" w:rsidRPr="008B1465" w:rsidRDefault="00670410" w:rsidP="00DC2851">
      <w:pPr>
        <w:spacing w:after="0" w:line="360" w:lineRule="auto"/>
        <w:jc w:val="both"/>
        <w:rPr>
          <w:rFonts w:ascii="Times New Roman" w:hAnsi="Times New Roman"/>
          <w:sz w:val="24"/>
          <w:szCs w:val="24"/>
        </w:rPr>
      </w:pPr>
      <w:r w:rsidRPr="008B1465">
        <w:rPr>
          <w:rFonts w:ascii="Times New Roman" w:hAnsi="Times New Roman"/>
          <w:sz w:val="24"/>
          <w:szCs w:val="24"/>
        </w:rPr>
        <w:t>Kranacher, R</w:t>
      </w:r>
      <w:r w:rsidR="0016518B" w:rsidRPr="008B1465">
        <w:rPr>
          <w:rFonts w:ascii="Times New Roman" w:hAnsi="Times New Roman"/>
          <w:sz w:val="24"/>
          <w:szCs w:val="24"/>
        </w:rPr>
        <w:t>iley and Wells</w:t>
      </w:r>
      <w:r w:rsidR="00DC2851" w:rsidRPr="008B1465">
        <w:rPr>
          <w:rFonts w:ascii="Times New Roman" w:hAnsi="Times New Roman"/>
          <w:sz w:val="24"/>
          <w:szCs w:val="24"/>
        </w:rPr>
        <w:t xml:space="preserve"> (2010)</w:t>
      </w:r>
      <w:r w:rsidR="00191BA5" w:rsidRPr="008B1465">
        <w:rPr>
          <w:rFonts w:ascii="Times New Roman" w:hAnsi="Times New Roman"/>
          <w:sz w:val="24"/>
          <w:szCs w:val="24"/>
        </w:rPr>
        <w:t xml:space="preserve"> affirmed that</w:t>
      </w:r>
      <w:r w:rsidR="00DC2851" w:rsidRPr="008B1465">
        <w:rPr>
          <w:rFonts w:ascii="Times New Roman" w:hAnsi="Times New Roman"/>
          <w:sz w:val="24"/>
          <w:szCs w:val="24"/>
        </w:rPr>
        <w:t xml:space="preserve"> the motivations of fraud perpetrators should be enlarged and defined with the acronym MICE: money, ideology, coercion, and ego. Ideological motivators justify stealing money or engaging in deception in order to attain some imagined greater good that is consistent with their values (ideology). Coercion happens when people are coerced into participating in a fraud plan, but those people can later become whistleblowers. People who do not want to lose their reputation or position of authority in front of their society or families may commit fraud for ego reasons. This societal pressure can be a powerful motivator for people to do dishonest acts in order to maintain their ego. While the MICE heuristic cannot account for all fraudulent motivations, and some fall into multiple categories, it is simple to remember. Furthermore, it offers experts with a larger framework to analyze the possibility of fraud.</w:t>
      </w:r>
    </w:p>
    <w:p w14:paraId="34CCE514" w14:textId="09C85BFF" w:rsidR="00DC2851" w:rsidRPr="008B1465" w:rsidRDefault="00DC2851" w:rsidP="00DC2851">
      <w:pPr>
        <w:spacing w:after="0" w:line="360" w:lineRule="auto"/>
        <w:jc w:val="both"/>
        <w:rPr>
          <w:rFonts w:ascii="Times New Roman" w:hAnsi="Times New Roman"/>
          <w:sz w:val="24"/>
          <w:szCs w:val="24"/>
        </w:rPr>
      </w:pPr>
      <w:r w:rsidRPr="008B1465">
        <w:rPr>
          <w:rFonts w:ascii="Times New Roman" w:hAnsi="Times New Roman"/>
          <w:sz w:val="24"/>
          <w:szCs w:val="24"/>
        </w:rPr>
        <w:t>Dorminey</w:t>
      </w:r>
      <w:r w:rsidR="00C32274" w:rsidRPr="008B1465">
        <w:rPr>
          <w:rFonts w:ascii="Times New Roman" w:hAnsi="Times New Roman"/>
          <w:sz w:val="24"/>
          <w:szCs w:val="24"/>
        </w:rPr>
        <w:t>,</w:t>
      </w:r>
      <w:r w:rsidR="00916F8B" w:rsidRPr="008B1465">
        <w:rPr>
          <w:rFonts w:ascii="Times New Roman" w:hAnsi="Times New Roman"/>
          <w:sz w:val="24"/>
          <w:szCs w:val="24"/>
        </w:rPr>
        <w:t xml:space="preserve"> </w:t>
      </w:r>
      <w:r w:rsidR="00550B3D" w:rsidRPr="008B1465">
        <w:rPr>
          <w:rFonts w:ascii="Times New Roman" w:hAnsi="Times New Roman"/>
          <w:sz w:val="24"/>
          <w:szCs w:val="24"/>
        </w:rPr>
        <w:t>Fleming, Kranacher, Riley and Wells</w:t>
      </w:r>
      <w:r w:rsidR="00C32274" w:rsidRPr="008B1465">
        <w:rPr>
          <w:rFonts w:ascii="Times New Roman" w:hAnsi="Times New Roman"/>
          <w:sz w:val="24"/>
          <w:szCs w:val="24"/>
        </w:rPr>
        <w:t xml:space="preserve"> </w:t>
      </w:r>
      <w:r w:rsidRPr="008B1465">
        <w:rPr>
          <w:rFonts w:ascii="Times New Roman" w:hAnsi="Times New Roman"/>
          <w:sz w:val="24"/>
          <w:szCs w:val="24"/>
        </w:rPr>
        <w:t>(2010) explore</w:t>
      </w:r>
      <w:r w:rsidR="00E27E1A" w:rsidRPr="008B1465">
        <w:rPr>
          <w:rFonts w:ascii="Times New Roman" w:hAnsi="Times New Roman"/>
          <w:sz w:val="24"/>
          <w:szCs w:val="24"/>
        </w:rPr>
        <w:t>d</w:t>
      </w:r>
      <w:r w:rsidRPr="008B1465">
        <w:rPr>
          <w:rFonts w:ascii="Times New Roman" w:hAnsi="Times New Roman"/>
          <w:sz w:val="24"/>
          <w:szCs w:val="24"/>
        </w:rPr>
        <w:t xml:space="preserve"> the fraud triangle, highlighting latest findings and current anti-fraud thought. They emphasize the usefulness of the Fraud Triangle as a model for assessing fraud risk, but believe that it is only one component of a comprehensive audit risk assessment plan and is insufficient for deterring, preventing, and discovering fraud on its own. Kassem and Higson (2012) believe that external auditors must investigate all fraud models in order to comprehend why fraud happens. They propose that the aforementioned models (fraud triangle, fraud diamond, fraud scale, and MICE model) should be considered an extension of Cressey's fraud triangle model and should be incorporated into a single model, "the New Fraud Triangle Model," which includes motivation, opportunity, integrity, and the fraudster's capabilities. They claim that with their suggested model, external auditors would take into account all aspects that contribute to the occurrence of fraud, allowing them to assess fraud risk efficiently.</w:t>
      </w:r>
    </w:p>
    <w:p w14:paraId="337CF1FB" w14:textId="39AF39DA" w:rsidR="00DC2851" w:rsidRPr="008B1465" w:rsidRDefault="00DC2851" w:rsidP="00DC2851">
      <w:pPr>
        <w:pStyle w:val="Heading3"/>
        <w:spacing w:line="360" w:lineRule="auto"/>
        <w:rPr>
          <w:rFonts w:cs="Times New Roman"/>
        </w:rPr>
      </w:pPr>
      <w:bookmarkStart w:id="58" w:name="_Toc145951095"/>
      <w:r w:rsidRPr="008B1465">
        <w:rPr>
          <w:rFonts w:cs="Times New Roman"/>
        </w:rPr>
        <w:t>Fraud Triangle Theory</w:t>
      </w:r>
      <w:bookmarkEnd w:id="58"/>
    </w:p>
    <w:p w14:paraId="5B5BE91F" w14:textId="77777777" w:rsidR="00DC2851" w:rsidRPr="008B1465" w:rsidRDefault="00DC2851" w:rsidP="00DC2851">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Fraud triangle is a theory originated by Donald Cressey in 1973. It is a theory designed to explain the reason behind an employee committing fraud in the organization. Researchers see this theory as the father of all other fraud theories because other theories have been carved out from the fraud triangle theory. </w:t>
      </w:r>
    </w:p>
    <w:p w14:paraId="700B3A47" w14:textId="7A4BEEB1" w:rsidR="00DC2851" w:rsidRPr="008B1465" w:rsidRDefault="00DC2851" w:rsidP="00DC2851">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The basic assumption of the theory is that there are three major factors in which the proponent captured to be the cycle of committing fraud in the place of work by a fraudster. They include pressure, opportunity and rationalization. It was explained that pressure or motive to commit fraud can be personal, employment or external pressure and each of these types of pressure can also happen because of financial and non-financial pressure. Opportunity is merely evaluating a company’s internal control to check for its weaknesses and deficiencies. Forensic accountants need to understand the opportunity for fraud to help them in identifying which fraud schemes an individual can commit and how fraud virus occurs when there is an ineffective or missing internal control (Mansor &amp; Abdullahi, 2015; Alshurafat </w:t>
      </w:r>
      <w:r w:rsidR="00576E27" w:rsidRPr="008B1465">
        <w:rPr>
          <w:rFonts w:ascii="Times New Roman" w:eastAsia="Calibri" w:hAnsi="Times New Roman"/>
          <w:i/>
          <w:iCs/>
          <w:sz w:val="24"/>
          <w:szCs w:val="24"/>
        </w:rPr>
        <w:t>et al</w:t>
      </w:r>
      <w:r w:rsidRPr="008B1465">
        <w:rPr>
          <w:rFonts w:ascii="Times New Roman" w:eastAsia="Calibri" w:hAnsi="Times New Roman"/>
          <w:sz w:val="24"/>
          <w:szCs w:val="24"/>
        </w:rPr>
        <w:t xml:space="preserve">., 2021). </w:t>
      </w:r>
    </w:p>
    <w:p w14:paraId="79C7A4D5" w14:textId="77777777" w:rsidR="00DC2851" w:rsidRPr="008B1465" w:rsidRDefault="00DC2851" w:rsidP="00DC2851">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However, rationalization is the last phase of the fraud triangle cycle and this is where the fraudster gives a reason for committing the crime that is acceptable to his or her internal or external range. The fraudster finds a way of not feeling bad for the crime. Rationalization is most times based on external factor such as the need to take care of the family or a compensation for working with the organization for a long period of time (Sujeewa, Yajid, Azam &amp; Dharmaratne, 2018).  Domzalski and McGladrey (2009) supported the theory by describing fraud triangle as three phases of fraud. He explains that the financial pressure be heated up at your trusted accounting employee’s home which result from a spouse's layoff. Then stir frequently late notices, embarrassing dunning phone calls and preliminary foreclosure proceedings and combine the available opportunity that is presented to this employee by your departmental staff reductions and reduced segregation of duties. To finish the cooking, all the employee is escalating feelings of exploitation caused by increased responsibilities and hours worked at the same level of pay.</w:t>
      </w:r>
    </w:p>
    <w:p w14:paraId="0449BBF2" w14:textId="7BFAD9D0" w:rsidR="00DC2851" w:rsidRPr="008B1465" w:rsidRDefault="00DC2851" w:rsidP="00DC2851">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Sorunke, (2018) criticized the fraud triangle on the basis that the three factors: financial needs that cannot be shared (motive); a perceived opportunity for illicit gain or gain improper access to fund (opportunity); a personal justification of the act to themselves (Rationalization) need by an individual to commit fraud are not sufficient. Sorunke, (2018) noted that from the survey carried out, fraudulent behaviour was seen by 86 percent of respondents as a deviant behaviour typically displayed by those with low personal ethics. Therefore, the study proposed personal ethics as a factor to committing fraud.</w:t>
      </w:r>
      <w:r w:rsidR="00AE5957" w:rsidRPr="008B1465">
        <w:rPr>
          <w:rFonts w:ascii="Times New Roman" w:eastAsia="Calibri" w:hAnsi="Times New Roman"/>
          <w:sz w:val="24"/>
          <w:szCs w:val="24"/>
        </w:rPr>
        <w:t xml:space="preserve"> </w:t>
      </w:r>
      <w:r w:rsidRPr="008B1465">
        <w:rPr>
          <w:rFonts w:ascii="Times New Roman" w:eastAsia="Calibri" w:hAnsi="Times New Roman"/>
          <w:sz w:val="24"/>
          <w:szCs w:val="24"/>
        </w:rPr>
        <w:t>Huber (2017); DiGabriele and Huber, (2018) who is also a critic of the theory noted that the fraud triangle’s defenders have responded to the many criticisms of the fraud triangle by essentially disregarding them. Despite its detractors, the fraud triangle has stood the test of time and continues to serve as the foundation of fraud theory. Yet, as originally conceived and modified, the elements of the fraud triangle (or any geometric form of choice) have been misappropriated, mistreated, contorted, stretched out of shape, and shoved into applications for which it was never intended and cannot reasonably allow. Huber (2017) examined the geometry of fraud theory and argues that forensic accounting researchers and practitioners must recognize that the fraud triangle does not apply to fraud and that any model that attempts to explain, predict prevent, detect, and prosecute financial crimes, of which fraud is merely a subset, must account for n-dimensions of financial crime. The fraud triangle was later modified and enhanced because it was believed that Donald Cressey's research concentrated on individuals and un-shareable financial pressure which has been expanded to include management incentives to commit fraud in the fraud diamond theory. Wolfe and Hermanson proposed the fraud diamond theory which added the fourth actor which they believe is missing in the fraud triangle theory which is capability. The new actor capability addresses the reality that some people will not commit fraud even if all the three original factors are strongly present. Capability which they believe is missing in the fraud triangle theory play a major role in determining or not the person will actually go ahead and commit a fraudulent act.</w:t>
      </w:r>
    </w:p>
    <w:p w14:paraId="1BBBF6E0" w14:textId="77777777" w:rsidR="00DC2851" w:rsidRPr="008B1465" w:rsidRDefault="00DC2851" w:rsidP="00DC2851">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Understanding the elements of the Fraud Triangle theory by forensic accounting experts especially in the public sector will enhance better application of forensic accounting techniques to improve value for money practice in the public sector. For instance, opportunity refers to circumstances that allow fraud to occur. One of such is poor internal control system such as poor separation of duties, poor documentation of processes and procedures, lack of supervision bring about opportunities to commit fraud. It can express in a diagrammatically:</w:t>
      </w:r>
    </w:p>
    <w:p w14:paraId="4AAF1786" w14:textId="464E84B2" w:rsidR="0006383C" w:rsidRPr="00E8110B" w:rsidRDefault="0006383C" w:rsidP="00E8110B">
      <w:pPr>
        <w:pStyle w:val="Caption"/>
        <w:rPr>
          <w:rFonts w:ascii="Times New Roman" w:eastAsia="Calibri" w:hAnsi="Times New Roman"/>
          <w:i w:val="0"/>
          <w:iCs w:val="0"/>
          <w:noProof/>
          <w:color w:val="auto"/>
          <w:sz w:val="24"/>
          <w:szCs w:val="24"/>
        </w:rPr>
      </w:pPr>
    </w:p>
    <w:p w14:paraId="6AC53AA4" w14:textId="77777777" w:rsidR="0006383C" w:rsidRPr="008B1465" w:rsidRDefault="0006383C" w:rsidP="0006383C">
      <w:pPr>
        <w:rPr>
          <w:rFonts w:ascii="Times New Roman" w:hAnsi="Times New Roman"/>
          <w:sz w:val="24"/>
          <w:szCs w:val="24"/>
        </w:rPr>
      </w:pPr>
    </w:p>
    <w:bookmarkStart w:id="59" w:name="_Toc145953086"/>
    <w:p w14:paraId="11AD70B9" w14:textId="1BB17399" w:rsidR="0006383C" w:rsidRPr="008B1465" w:rsidRDefault="0006383C" w:rsidP="00592B64">
      <w:pPr>
        <w:spacing w:before="0" w:beforeAutospacing="0"/>
        <w:jc w:val="center"/>
      </w:pPr>
      <w:r w:rsidRPr="008B1465">
        <w:rPr>
          <w:rFonts w:ascii="Times New Roman" w:eastAsia="Calibri" w:hAnsi="Times New Roman"/>
          <w:noProof/>
          <w:sz w:val="24"/>
          <w:szCs w:val="24"/>
        </w:rPr>
        <mc:AlternateContent>
          <mc:Choice Requires="wpg">
            <w:drawing>
              <wp:anchor distT="0" distB="0" distL="114300" distR="114300" simplePos="0" relativeHeight="251642368" behindDoc="0" locked="0" layoutInCell="1" allowOverlap="1" wp14:anchorId="76FB199B" wp14:editId="0C8274A4">
                <wp:simplePos x="0" y="0"/>
                <wp:positionH relativeFrom="column">
                  <wp:posOffset>12789</wp:posOffset>
                </wp:positionH>
                <wp:positionV relativeFrom="paragraph">
                  <wp:posOffset>31972</wp:posOffset>
                </wp:positionV>
                <wp:extent cx="6290310" cy="2909188"/>
                <wp:effectExtent l="0" t="0" r="0" b="5715"/>
                <wp:wrapTopAndBottom/>
                <wp:docPr id="74" name="Group 74"/>
                <wp:cNvGraphicFramePr/>
                <a:graphic xmlns:a="http://schemas.openxmlformats.org/drawingml/2006/main">
                  <a:graphicData uri="http://schemas.microsoft.com/office/word/2010/wordprocessingGroup">
                    <wpg:wgp>
                      <wpg:cNvGrpSpPr/>
                      <wpg:grpSpPr>
                        <a:xfrm>
                          <a:off x="0" y="0"/>
                          <a:ext cx="6290310" cy="2909188"/>
                          <a:chOff x="-59534" y="-98216"/>
                          <a:chExt cx="7471294" cy="3158565"/>
                        </a:xfrm>
                      </wpg:grpSpPr>
                      <wps:wsp>
                        <wps:cNvPr id="63" name="Text Box 63"/>
                        <wps:cNvSpPr txBox="1"/>
                        <wps:spPr>
                          <a:xfrm>
                            <a:off x="2702202" y="-98216"/>
                            <a:ext cx="1403445" cy="541425"/>
                          </a:xfrm>
                          <a:prstGeom prst="rect">
                            <a:avLst/>
                          </a:prstGeom>
                          <a:noFill/>
                          <a:ln w="6350">
                            <a:noFill/>
                          </a:ln>
                        </wps:spPr>
                        <wps:txbx>
                          <w:txbxContent>
                            <w:p w14:paraId="490BC8D5" w14:textId="2660C96A" w:rsidR="00FE7438" w:rsidRPr="00310C11" w:rsidRDefault="00FE7438" w:rsidP="00310C11">
                              <w:pPr>
                                <w:jc w:val="center"/>
                                <w:rPr>
                                  <w:rFonts w:ascii="Times New Roman" w:hAnsi="Times New Roman"/>
                                  <w:b/>
                                  <w:bCs/>
                                  <w:sz w:val="28"/>
                                  <w:szCs w:val="28"/>
                                </w:rPr>
                              </w:pPr>
                              <w:r w:rsidRPr="00310C11">
                                <w:rPr>
                                  <w:rFonts w:ascii="Times New Roman" w:hAnsi="Times New Roman"/>
                                  <w:b/>
                                  <w:bCs/>
                                  <w:sz w:val="28"/>
                                  <w:szCs w:val="28"/>
                                </w:rPr>
                                <w:t>Pressure</w:t>
                              </w:r>
                            </w:p>
                          </w:txbxContent>
                        </wps:txbx>
                        <wps:bodyPr rot="0" spcFirstLastPara="0" vertOverflow="overflow" horzOverflow="overflow" vert="horz" wrap="square" lIns="91440" tIns="45720" rIns="91440" bIns="45720" numCol="1" spcCol="0" rtlCol="0" fromWordArt="0" anchor="t" anchorCtr="0" forceAA="0" compatLnSpc="1">
                          <a:noAutofit/>
                        </wps:bodyPr>
                      </wps:wsp>
                      <wpg:grpSp>
                        <wpg:cNvPr id="72" name="Group 72"/>
                        <wpg:cNvGrpSpPr/>
                        <wpg:grpSpPr>
                          <a:xfrm>
                            <a:off x="-59534" y="284285"/>
                            <a:ext cx="7471294" cy="2776064"/>
                            <a:chOff x="-59537" y="0"/>
                            <a:chExt cx="7471608" cy="2776130"/>
                          </a:xfrm>
                        </wpg:grpSpPr>
                        <wps:wsp>
                          <wps:cNvPr id="67" name="Isosceles Triangle 67"/>
                          <wps:cNvSpPr/>
                          <wps:spPr>
                            <a:xfrm>
                              <a:off x="1133328" y="0"/>
                              <a:ext cx="4447443" cy="2307102"/>
                            </a:xfrm>
                            <a:prstGeom prst="triangle">
                              <a:avLst/>
                            </a:prstGeom>
                            <a:ln w="3810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69" name="Text Box 69"/>
                          <wps:cNvSpPr txBox="1"/>
                          <wps:spPr>
                            <a:xfrm>
                              <a:off x="5559337" y="2194317"/>
                              <a:ext cx="1852734" cy="581813"/>
                            </a:xfrm>
                            <a:prstGeom prst="rect">
                              <a:avLst/>
                            </a:prstGeom>
                            <a:noFill/>
                            <a:ln w="6350">
                              <a:noFill/>
                            </a:ln>
                          </wps:spPr>
                          <wps:txbx>
                            <w:txbxContent>
                              <w:p w14:paraId="65030911" w14:textId="77777777" w:rsidR="00FE7438" w:rsidRPr="008A58DF" w:rsidRDefault="00FE7438" w:rsidP="00310C11">
                                <w:pPr>
                                  <w:rPr>
                                    <w:rFonts w:ascii="Times New Roman" w:hAnsi="Times New Roman"/>
                                    <w:b/>
                                    <w:bCs/>
                                    <w:sz w:val="28"/>
                                    <w:szCs w:val="28"/>
                                  </w:rPr>
                                </w:pPr>
                                <w:r w:rsidRPr="008A58DF">
                                  <w:rPr>
                                    <w:rFonts w:ascii="Times New Roman" w:hAnsi="Times New Roman"/>
                                    <w:b/>
                                    <w:bCs/>
                                    <w:sz w:val="28"/>
                                    <w:szCs w:val="28"/>
                                  </w:rPr>
                                  <w:t xml:space="preserve">Rationalization  </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68" name="Text Box 68"/>
                          <wps:cNvSpPr txBox="1"/>
                          <wps:spPr>
                            <a:xfrm>
                              <a:off x="-59537" y="2222351"/>
                              <a:ext cx="1793831" cy="330931"/>
                            </a:xfrm>
                            <a:prstGeom prst="rect">
                              <a:avLst/>
                            </a:prstGeom>
                            <a:noFill/>
                            <a:ln w="6350">
                              <a:noFill/>
                            </a:ln>
                          </wps:spPr>
                          <wps:txbx>
                            <w:txbxContent>
                              <w:p w14:paraId="642470AA" w14:textId="2B7D3C2B" w:rsidR="00FE7438" w:rsidRPr="008A58DF" w:rsidRDefault="00FE7438" w:rsidP="008A58DF">
                                <w:pPr>
                                  <w:rPr>
                                    <w:rFonts w:ascii="Times New Roman" w:hAnsi="Times New Roman"/>
                                    <w:b/>
                                    <w:bCs/>
                                    <w:sz w:val="28"/>
                                    <w:szCs w:val="28"/>
                                  </w:rPr>
                                </w:pPr>
                                <w:r w:rsidRPr="008A58DF">
                                  <w:rPr>
                                    <w:rFonts w:ascii="Times New Roman" w:hAnsi="Times New Roman"/>
                                    <w:b/>
                                    <w:bCs/>
                                    <w:sz w:val="28"/>
                                    <w:szCs w:val="28"/>
                                  </w:rPr>
                                  <w:t>Opportunity</w:t>
                                </w:r>
                              </w:p>
                            </w:txbxContent>
                          </wps:txbx>
                          <wps:bodyPr rot="0" spcFirstLastPara="0" vertOverflow="overflow" horzOverflow="overflow" vert="horz" wrap="square" lIns="91440" tIns="45720" rIns="91440" bIns="45720" numCol="1" spcCol="0" rtlCol="0" fromWordArt="0" anchor="t" anchorCtr="0" forceAA="0" compatLnSpc="1">
                            <a:noAutofit/>
                          </wps:bodyPr>
                        </wps:wsp>
                      </wpg:grpSp>
                      <wps:wsp>
                        <wps:cNvPr id="70" name="Text Box 70"/>
                        <wps:cNvSpPr txBox="1"/>
                        <wps:spPr>
                          <a:xfrm>
                            <a:off x="2567069" y="1519298"/>
                            <a:ext cx="1462039" cy="457200"/>
                          </a:xfrm>
                          <a:prstGeom prst="rect">
                            <a:avLst/>
                          </a:prstGeom>
                          <a:noFill/>
                          <a:ln w="6350">
                            <a:noFill/>
                          </a:ln>
                        </wps:spPr>
                        <wps:txbx>
                          <w:txbxContent>
                            <w:p w14:paraId="407FACD0" w14:textId="6FEE5C88" w:rsidR="00FE7438" w:rsidRPr="00310C11" w:rsidRDefault="00FE7438" w:rsidP="00310C11">
                              <w:pPr>
                                <w:jc w:val="center"/>
                                <w:rPr>
                                  <w:rFonts w:ascii="Times New Roman" w:hAnsi="Times New Roman"/>
                                  <w:b/>
                                  <w:bCs/>
                                  <w:sz w:val="28"/>
                                  <w:szCs w:val="28"/>
                                </w:rPr>
                              </w:pPr>
                              <w:r w:rsidRPr="00310C11">
                                <w:rPr>
                                  <w:rFonts w:ascii="Times New Roman" w:hAnsi="Times New Roman"/>
                                  <w:b/>
                                  <w:bCs/>
                                  <w:sz w:val="28"/>
                                  <w:szCs w:val="28"/>
                                </w:rPr>
                                <w:t>Fraud</w:t>
                              </w: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76FB199B" id="Group 74" o:spid="_x0000_s1188" style="position:absolute;left:0;text-align:left;margin-left:1pt;margin-top:2.5pt;width:495.3pt;height:229.05pt;z-index:251642368;mso-width-relative:margin;mso-height-relative:margin" coordorigin="-595,-982" coordsize="74712,315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">
                <v:shape id="Text Box 63" o:spid="_x0000_s1189" type="#_x0000_t202" style="position:absolute;left:27022;top:-982;width:14034;height:54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" filled="f" stroked="f" strokeweight=".5pt">
                  <v:textbox>
                    <w:txbxContent>
                      <w:p w14:paraId="490BC8D5" w14:textId="2660C96A" w:rsidR="00FE7438" w:rsidRPr="00310C11" w:rsidRDefault="00FE7438" w:rsidP="00310C11">
                        <w:pPr>
                          <w:jc w:val="center"/>
                          <w:rPr>
                            <w:rFonts w:ascii="Times New Roman" w:hAnsi="Times New Roman"/>
                            <w:b/>
                            <w:bCs/>
                            <w:sz w:val="28"/>
                            <w:szCs w:val="28"/>
                          </w:rPr>
                        </w:pPr>
                        <w:r w:rsidRPr="00310C11">
                          <w:rPr>
                            <w:rFonts w:ascii="Times New Roman" w:hAnsi="Times New Roman"/>
                            <w:b/>
                            <w:bCs/>
                            <w:sz w:val="28"/>
                            <w:szCs w:val="28"/>
                          </w:rPr>
                          <w:t>Pressure</w:t>
                        </w:r>
                      </w:p>
                    </w:txbxContent>
                  </v:textbox>
                </v:shape>
                <v:group id="Group 72" o:spid="_x0000_s1190" style="position:absolute;left:-595;top:2842;width:74712;height:27761" coordorigin="-595" coordsize="74716,277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67" o:spid="_x0000_s1191" type="#_x0000_t5" style="position:absolute;left:11333;width:44474;height:230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" fillcolor="white [3201]" strokecolor="black [3213]" strokeweight="3pt"/>
                  <v:shape id="Text Box 69" o:spid="_x0000_s1192" type="#_x0000_t202" style="position:absolute;left:55593;top:21943;width:18527;height:58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" filled="f" stroked="f" strokeweight=".5pt">
                    <v:textbox>
                      <w:txbxContent>
                        <w:p w14:paraId="65030911" w14:textId="77777777" w:rsidR="00FE7438" w:rsidRPr="008A58DF" w:rsidRDefault="00FE7438" w:rsidP="00310C11">
                          <w:pPr>
                            <w:rPr>
                              <w:rFonts w:ascii="Times New Roman" w:hAnsi="Times New Roman"/>
                              <w:b/>
                              <w:bCs/>
                              <w:sz w:val="28"/>
                              <w:szCs w:val="28"/>
                            </w:rPr>
                          </w:pPr>
                          <w:r w:rsidRPr="008A58DF">
                            <w:rPr>
                              <w:rFonts w:ascii="Times New Roman" w:hAnsi="Times New Roman"/>
                              <w:b/>
                              <w:bCs/>
                              <w:sz w:val="28"/>
                              <w:szCs w:val="28"/>
                            </w:rPr>
                            <w:t xml:space="preserve">Rationalization  </w:t>
                          </w:r>
                        </w:p>
                      </w:txbxContent>
                    </v:textbox>
                  </v:shape>
                  <v:shape id="Text Box 68" o:spid="_x0000_s1193" type="#_x0000_t202" style="position:absolute;left:-595;top:22223;width:17937;height:3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" filled="f" stroked="f" strokeweight=".5pt">
                    <v:textbox>
                      <w:txbxContent>
                        <w:p w14:paraId="642470AA" w14:textId="2B7D3C2B" w:rsidR="00FE7438" w:rsidRPr="008A58DF" w:rsidRDefault="00FE7438" w:rsidP="008A58DF">
                          <w:pPr>
                            <w:rPr>
                              <w:rFonts w:ascii="Times New Roman" w:hAnsi="Times New Roman"/>
                              <w:b/>
                              <w:bCs/>
                              <w:sz w:val="28"/>
                              <w:szCs w:val="28"/>
                            </w:rPr>
                          </w:pPr>
                          <w:r w:rsidRPr="008A58DF">
                            <w:rPr>
                              <w:rFonts w:ascii="Times New Roman" w:hAnsi="Times New Roman"/>
                              <w:b/>
                              <w:bCs/>
                              <w:sz w:val="28"/>
                              <w:szCs w:val="28"/>
                            </w:rPr>
                            <w:t>Opportunity</w:t>
                          </w:r>
                        </w:p>
                      </w:txbxContent>
                    </v:textbox>
                  </v:shape>
                </v:group>
                <v:shape id="Text Box 70" o:spid="_x0000_s1194" type="#_x0000_t202" style="position:absolute;left:25670;top:15192;width:14621;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" filled="f" stroked="f" strokeweight=".5pt">
                  <v:textbox>
                    <w:txbxContent>
                      <w:p w14:paraId="407FACD0" w14:textId="6FEE5C88" w:rsidR="00FE7438" w:rsidRPr="00310C11" w:rsidRDefault="00FE7438" w:rsidP="00310C11">
                        <w:pPr>
                          <w:jc w:val="center"/>
                          <w:rPr>
                            <w:rFonts w:ascii="Times New Roman" w:hAnsi="Times New Roman"/>
                            <w:b/>
                            <w:bCs/>
                            <w:sz w:val="28"/>
                            <w:szCs w:val="28"/>
                          </w:rPr>
                        </w:pPr>
                        <w:r w:rsidRPr="00310C11">
                          <w:rPr>
                            <w:rFonts w:ascii="Times New Roman" w:hAnsi="Times New Roman"/>
                            <w:b/>
                            <w:bCs/>
                            <w:sz w:val="28"/>
                            <w:szCs w:val="28"/>
                          </w:rPr>
                          <w:t>Fraud</w:t>
                        </w:r>
                      </w:p>
                    </w:txbxContent>
                  </v:textbox>
                </v:shape>
                <w10:wrap type="topAndBottom"/>
              </v:group>
            </w:pict>
          </mc:Fallback>
        </mc:AlternateContent>
      </w:r>
      <w:r w:rsidRPr="008B1465">
        <w:rPr>
          <w:rFonts w:ascii="Times New Roman" w:hAnsi="Times New Roman"/>
          <w:sz w:val="24"/>
          <w:szCs w:val="24"/>
        </w:rPr>
        <w:t xml:space="preserve">Figure </w:t>
      </w:r>
      <w:r w:rsidRPr="008B1465">
        <w:rPr>
          <w:rFonts w:ascii="Times New Roman" w:hAnsi="Times New Roman"/>
          <w:sz w:val="24"/>
          <w:szCs w:val="24"/>
        </w:rPr>
        <w:fldChar w:fldCharType="begin"/>
      </w:r>
      <w:r w:rsidRPr="008B1465">
        <w:rPr>
          <w:rFonts w:ascii="Times New Roman" w:hAnsi="Times New Roman"/>
          <w:sz w:val="24"/>
          <w:szCs w:val="24"/>
        </w:rPr>
        <w:instrText xml:space="preserve"> STYLEREF 1 \s </w:instrText>
      </w:r>
      <w:r w:rsidRPr="008B1465">
        <w:rPr>
          <w:rFonts w:ascii="Times New Roman" w:hAnsi="Times New Roman"/>
          <w:sz w:val="24"/>
          <w:szCs w:val="24"/>
        </w:rPr>
        <w:fldChar w:fldCharType="separate"/>
      </w:r>
      <w:r w:rsidR="007B5846">
        <w:rPr>
          <w:rFonts w:ascii="Times New Roman" w:hAnsi="Times New Roman"/>
          <w:noProof/>
          <w:sz w:val="24"/>
          <w:szCs w:val="24"/>
        </w:rPr>
        <w:t>2</w:t>
      </w:r>
      <w:r w:rsidRPr="008B1465">
        <w:rPr>
          <w:rFonts w:ascii="Times New Roman" w:hAnsi="Times New Roman"/>
          <w:sz w:val="24"/>
          <w:szCs w:val="24"/>
        </w:rPr>
        <w:fldChar w:fldCharType="end"/>
      </w:r>
      <w:r w:rsidRPr="008B1465">
        <w:rPr>
          <w:rFonts w:ascii="Times New Roman" w:hAnsi="Times New Roman"/>
          <w:sz w:val="24"/>
          <w:szCs w:val="24"/>
        </w:rPr>
        <w:t>.</w:t>
      </w:r>
      <w:r w:rsidRPr="008B1465">
        <w:rPr>
          <w:rFonts w:ascii="Times New Roman" w:hAnsi="Times New Roman"/>
          <w:sz w:val="24"/>
          <w:szCs w:val="24"/>
        </w:rPr>
        <w:fldChar w:fldCharType="begin"/>
      </w:r>
      <w:r w:rsidRPr="008B1465">
        <w:rPr>
          <w:rFonts w:ascii="Times New Roman" w:hAnsi="Times New Roman"/>
          <w:sz w:val="24"/>
          <w:szCs w:val="24"/>
        </w:rPr>
        <w:instrText xml:space="preserve"> SEQ Figure \* ARABIC \s 1 </w:instrText>
      </w:r>
      <w:r w:rsidRPr="008B1465">
        <w:rPr>
          <w:rFonts w:ascii="Times New Roman" w:hAnsi="Times New Roman"/>
          <w:sz w:val="24"/>
          <w:szCs w:val="24"/>
        </w:rPr>
        <w:fldChar w:fldCharType="separate"/>
      </w:r>
      <w:r w:rsidR="007B5846">
        <w:rPr>
          <w:rFonts w:ascii="Times New Roman" w:hAnsi="Times New Roman"/>
          <w:noProof/>
          <w:sz w:val="24"/>
          <w:szCs w:val="24"/>
        </w:rPr>
        <w:t>2</w:t>
      </w:r>
      <w:r w:rsidRPr="008B1465">
        <w:rPr>
          <w:rFonts w:ascii="Times New Roman" w:hAnsi="Times New Roman"/>
          <w:sz w:val="24"/>
          <w:szCs w:val="24"/>
        </w:rPr>
        <w:fldChar w:fldCharType="end"/>
      </w:r>
      <w:r w:rsidRPr="008B1465">
        <w:rPr>
          <w:rFonts w:ascii="Times New Roman" w:hAnsi="Times New Roman"/>
          <w:sz w:val="24"/>
          <w:szCs w:val="24"/>
        </w:rPr>
        <w:t xml:space="preserve">: </w:t>
      </w:r>
      <w:r w:rsidRPr="008B1465">
        <w:rPr>
          <w:rFonts w:ascii="Times New Roman" w:eastAsia="Calibri" w:hAnsi="Times New Roman"/>
          <w:sz w:val="24"/>
          <w:szCs w:val="24"/>
        </w:rPr>
        <w:t xml:space="preserve">Fraud Triangle </w:t>
      </w:r>
      <w:r w:rsidR="003A7F0D" w:rsidRPr="008B1465">
        <w:t>Model</w:t>
      </w:r>
      <w:bookmarkEnd w:id="59"/>
    </w:p>
    <w:p w14:paraId="6F26B784" w14:textId="7FF74C0E" w:rsidR="00DC2851" w:rsidRPr="008B1465" w:rsidRDefault="004B2FE2" w:rsidP="00592B64">
      <w:pPr>
        <w:spacing w:before="0" w:beforeAutospacing="0" w:after="0" w:line="360" w:lineRule="auto"/>
        <w:jc w:val="center"/>
        <w:rPr>
          <w:rFonts w:ascii="Times New Roman" w:eastAsia="Calibri" w:hAnsi="Times New Roman"/>
          <w:b/>
          <w:sz w:val="24"/>
          <w:szCs w:val="24"/>
        </w:rPr>
      </w:pPr>
      <w:r w:rsidRPr="008B1465">
        <w:rPr>
          <w:noProof/>
        </w:rPr>
        <mc:AlternateContent>
          <mc:Choice Requires="wps">
            <w:drawing>
              <wp:anchor distT="0" distB="0" distL="114300" distR="114300" simplePos="0" relativeHeight="251667968" behindDoc="0" locked="0" layoutInCell="1" allowOverlap="1" wp14:anchorId="2E30DCD0" wp14:editId="281E21F3">
                <wp:simplePos x="0" y="0"/>
                <wp:positionH relativeFrom="column">
                  <wp:posOffset>1903730</wp:posOffset>
                </wp:positionH>
                <wp:positionV relativeFrom="paragraph">
                  <wp:posOffset>3688092</wp:posOffset>
                </wp:positionV>
                <wp:extent cx="740410" cy="119380"/>
                <wp:effectExtent l="0" t="0" r="2540" b="0"/>
                <wp:wrapTopAndBottom/>
                <wp:docPr id="26" name="Text Box 26"/>
                <wp:cNvGraphicFramePr/>
                <a:graphic xmlns:a="http://schemas.openxmlformats.org/drawingml/2006/main">
                  <a:graphicData uri="http://schemas.microsoft.com/office/word/2010/wordprocessingShape">
                    <wps:wsp>
                      <wps:cNvSpPr txBox="1"/>
                      <wps:spPr>
                        <a:xfrm flipV="1">
                          <a:off x="0" y="0"/>
                          <a:ext cx="740410" cy="119380"/>
                        </a:xfrm>
                        <a:prstGeom prst="rect">
                          <a:avLst/>
                        </a:prstGeom>
                        <a:solidFill>
                          <a:prstClr val="white"/>
                        </a:solidFill>
                        <a:ln>
                          <a:noFill/>
                        </a:ln>
                      </wps:spPr>
                      <wps:txbx>
                        <w:txbxContent>
                          <w:p w14:paraId="0B8A71F1" w14:textId="1D9A4C0D" w:rsidR="00FE7438" w:rsidRPr="005C3A63" w:rsidRDefault="00FE7438" w:rsidP="005C3A63">
                            <w:pPr>
                              <w:pStyle w:val="Caption"/>
                              <w:jc w:val="center"/>
                              <w:rPr>
                                <w:rFonts w:ascii="Times New Roman" w:eastAsia="Calibri" w:hAnsi="Times New Roman"/>
                                <w:i w:val="0"/>
                                <w:iCs w:val="0"/>
                                <w:noProof/>
                                <w:color w:val="auto"/>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E30DCD0" id="Text Box 26" o:spid="_x0000_s1195" type="#_x0000_t202" style="position:absolute;left:0;text-align:left;margin-left:149.9pt;margin-top:290.4pt;width:58.3pt;height:9.4pt;flip:y;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" stroked="f">
                <v:textbox inset="0,0,0,0">
                  <w:txbxContent>
                    <w:p w14:paraId="0B8A71F1" w14:textId="1D9A4C0D" w:rsidR="00FE7438" w:rsidRPr="005C3A63" w:rsidRDefault="00FE7438" w:rsidP="005C3A63">
                      <w:pPr>
                        <w:pStyle w:val="Caption"/>
                        <w:jc w:val="center"/>
                        <w:rPr>
                          <w:rFonts w:ascii="Times New Roman" w:eastAsia="Calibri" w:hAnsi="Times New Roman"/>
                          <w:i w:val="0"/>
                          <w:iCs w:val="0"/>
                          <w:noProof/>
                          <w:color w:val="auto"/>
                          <w:sz w:val="24"/>
                          <w:szCs w:val="24"/>
                        </w:rPr>
                      </w:pPr>
                    </w:p>
                  </w:txbxContent>
                </v:textbox>
                <w10:wrap type="topAndBottom"/>
              </v:shape>
            </w:pict>
          </mc:Fallback>
        </mc:AlternateContent>
      </w:r>
      <w:r w:rsidR="00DC2851" w:rsidRPr="008B1465">
        <w:rPr>
          <w:rFonts w:ascii="Times New Roman" w:eastAsia="Calibri" w:hAnsi="Times New Roman"/>
          <w:b/>
          <w:sz w:val="24"/>
          <w:szCs w:val="24"/>
        </w:rPr>
        <w:t>Source: The Triangle of Fraud. (Cressey, 1973)</w:t>
      </w:r>
    </w:p>
    <w:p w14:paraId="3B5B2F00" w14:textId="6BB50C9A" w:rsidR="00DC2851" w:rsidRPr="008B1465" w:rsidRDefault="00DC2851" w:rsidP="00DC2851">
      <w:pPr>
        <w:pStyle w:val="Heading3"/>
        <w:spacing w:line="360" w:lineRule="auto"/>
        <w:rPr>
          <w:rFonts w:cs="Times New Roman"/>
        </w:rPr>
      </w:pPr>
      <w:bookmarkStart w:id="60" w:name="_Toc145951096"/>
      <w:r w:rsidRPr="008B1465">
        <w:rPr>
          <w:rFonts w:cs="Times New Roman"/>
        </w:rPr>
        <w:t xml:space="preserve">Fraud Diamond </w:t>
      </w:r>
      <w:r w:rsidR="003A7F0D" w:rsidRPr="008B1465">
        <w:rPr>
          <w:rFonts w:eastAsia="Calibri"/>
        </w:rPr>
        <w:t>Theory</w:t>
      </w:r>
      <w:bookmarkEnd w:id="60"/>
      <w:r w:rsidR="003A7F0D">
        <w:rPr>
          <w:rFonts w:cs="Times New Roman"/>
        </w:rPr>
        <w:t xml:space="preserve"> </w:t>
      </w:r>
    </w:p>
    <w:p w14:paraId="53F14A6F" w14:textId="75973955" w:rsidR="00DC2851" w:rsidRPr="008B1465" w:rsidRDefault="00DC2851" w:rsidP="00DC2851">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The fraud diamond model was established in 2004 by Wolf and Hermanson. They presented the fraud diamond model, in which they expressed a different perspective on the causes of fraud. The three-factor theory of fraud triangle is expanded by a fourth variable called "capabilities." The underlying premise of this idea</w:t>
      </w:r>
      <w:r w:rsidR="00A7512A" w:rsidRPr="008B1465">
        <w:rPr>
          <w:rFonts w:ascii="Times New Roman" w:eastAsia="Calibri" w:hAnsi="Times New Roman"/>
          <w:sz w:val="24"/>
          <w:szCs w:val="24"/>
        </w:rPr>
        <w:t xml:space="preserve">. </w:t>
      </w:r>
      <w:r w:rsidRPr="008B1465">
        <w:rPr>
          <w:rFonts w:ascii="Times New Roman" w:eastAsia="Calibri" w:hAnsi="Times New Roman"/>
          <w:sz w:val="24"/>
          <w:szCs w:val="24"/>
        </w:rPr>
        <w:t xml:space="preserve">Wolf and Hermanson (2004) </w:t>
      </w:r>
      <w:r w:rsidR="00A7512A" w:rsidRPr="008B1465">
        <w:rPr>
          <w:rFonts w:ascii="Times New Roman" w:eastAsia="Calibri" w:hAnsi="Times New Roman"/>
          <w:sz w:val="24"/>
          <w:szCs w:val="24"/>
        </w:rPr>
        <w:t xml:space="preserve">argued that </w:t>
      </w:r>
      <w:r w:rsidRPr="008B1465">
        <w:rPr>
          <w:rFonts w:ascii="Times New Roman" w:eastAsia="Calibri" w:hAnsi="Times New Roman"/>
          <w:sz w:val="24"/>
          <w:szCs w:val="24"/>
        </w:rPr>
        <w:t xml:space="preserve">is several scams would not have happened without the proper individual carrying out the specifics of the fraud. The researchers also identified four characteristics for committing fraud, including an authoritative position or function within the organization, the ability to comprehend and take advantage of accounting systems and internal controls, confidence that he or she will not be discovered or that, if discovered, he or she will be able to escape the situation with ease, and the ability to handle the stress caused when an otherwise good person commits a bad act. (Wolf and Hermanson 2004 Mansor </w:t>
      </w:r>
      <w:r w:rsidR="003839BC">
        <w:rPr>
          <w:rFonts w:ascii="Times New Roman" w:eastAsia="Calibri" w:hAnsi="Times New Roman"/>
          <w:sz w:val="24"/>
          <w:szCs w:val="24"/>
        </w:rPr>
        <w:t>and</w:t>
      </w:r>
      <w:r w:rsidRPr="008B1465">
        <w:rPr>
          <w:rFonts w:ascii="Times New Roman" w:eastAsia="Calibri" w:hAnsi="Times New Roman"/>
          <w:sz w:val="24"/>
          <w:szCs w:val="24"/>
        </w:rPr>
        <w:t xml:space="preserve"> Abdullahi, 2015; Diab-Bahman </w:t>
      </w:r>
      <w:r w:rsidR="003839BC">
        <w:rPr>
          <w:rFonts w:ascii="Times New Roman" w:eastAsia="Calibri" w:hAnsi="Times New Roman"/>
          <w:sz w:val="24"/>
          <w:szCs w:val="24"/>
        </w:rPr>
        <w:t>and</w:t>
      </w:r>
      <w:r w:rsidRPr="008B1465">
        <w:rPr>
          <w:rFonts w:ascii="Times New Roman" w:eastAsia="Calibri" w:hAnsi="Times New Roman"/>
          <w:sz w:val="24"/>
          <w:szCs w:val="24"/>
        </w:rPr>
        <w:t xml:space="preserve"> Bahman, 2022) explained further that cycle involved in fraud in a diamond form because fraud is not a net that comes up in one day but a process.</w:t>
      </w:r>
      <w:r w:rsidR="00AE5957" w:rsidRPr="008B1465">
        <w:rPr>
          <w:rFonts w:ascii="Times New Roman" w:eastAsia="Calibri" w:hAnsi="Times New Roman"/>
          <w:sz w:val="24"/>
          <w:szCs w:val="24"/>
        </w:rPr>
        <w:t xml:space="preserve"> </w:t>
      </w:r>
      <w:r w:rsidRPr="008B1465">
        <w:rPr>
          <w:rFonts w:ascii="Times New Roman" w:eastAsia="Calibri" w:hAnsi="Times New Roman"/>
          <w:sz w:val="24"/>
          <w:szCs w:val="24"/>
        </w:rPr>
        <w:t>Pressure, rationalization and opportunity under fraud diamond model are the same under hand trample model. The fourth variable which is added to the fraud triangle to make it diamond is the capability of someone to recognize a doorway as an opportunity and to take advantage of it by walking through not just once but time and time again (Mansor &amp; Abduliahi. 2015; Sujeewa, Yajid, Azam &amp; Dharmaratne, 2018). In support of the fraud diamond theory</w:t>
      </w:r>
      <w:r w:rsidRPr="008B1465">
        <w:rPr>
          <w:rFonts w:ascii="Times New Roman" w:hAnsi="Times New Roman"/>
          <w:sz w:val="24"/>
          <w:szCs w:val="24"/>
        </w:rPr>
        <w:t xml:space="preserve"> Adebisi (2013)</w:t>
      </w:r>
      <w:r w:rsidRPr="008B1465">
        <w:rPr>
          <w:rFonts w:ascii="Times New Roman" w:eastAsia="Calibri" w:hAnsi="Times New Roman"/>
          <w:sz w:val="24"/>
          <w:szCs w:val="24"/>
        </w:rPr>
        <w:t xml:space="preserve"> opined that there are people who may have motivation, opportunities, and rationale but choose not to commit fraud because they lack the means to carry it out or hide it. A fraudster is someone who has the knowledge and aptitude to take advantage of internal control flaws and to maximize their advantage by using their position, function, or permitted access. Many of today's biggest frauds are committed by smart, skilled, creative individuals who have a firm understanding of controls and vulnerabilities. (Mansor &amp; Abdullahi, 2015; Wolf &amp; Hermanson, 2004).</w:t>
      </w:r>
    </w:p>
    <w:p w14:paraId="6AC1589E" w14:textId="77777777" w:rsidR="00DC2851" w:rsidRPr="008B1465" w:rsidRDefault="00DC2851" w:rsidP="00DC2851">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In criticism of the theory, </w:t>
      </w:r>
      <w:r w:rsidRPr="008B1465">
        <w:rPr>
          <w:rFonts w:ascii="Times New Roman" w:hAnsi="Times New Roman"/>
          <w:sz w:val="24"/>
          <w:szCs w:val="24"/>
        </w:rPr>
        <w:t>Olayinka and Owolabi (2021),</w:t>
      </w:r>
      <w:r w:rsidRPr="008B1465">
        <w:rPr>
          <w:rFonts w:ascii="Times New Roman" w:eastAsia="Calibri" w:hAnsi="Times New Roman"/>
          <w:sz w:val="24"/>
          <w:szCs w:val="24"/>
        </w:rPr>
        <w:t xml:space="preserve"> in their work Fraud Star Hypothesis, they identify the peculiarity of committing fraud in an environment like Nigeria. Hence, they proposed another variable to the known as “Punishment” Noting that beyond the four variables identified in the fraud Diamond Model, there is a need to add punishment. The extent of punishment might influence the reason for committing fraud. </w:t>
      </w:r>
    </w:p>
    <w:p w14:paraId="16718C81" w14:textId="39310FA2" w:rsidR="00DC2851" w:rsidRPr="008B1465" w:rsidRDefault="00DC2851" w:rsidP="00DC2851">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Sorunke (2018), </w:t>
      </w:r>
      <w:r w:rsidR="004F316B">
        <w:rPr>
          <w:rFonts w:ascii="Times New Roman" w:eastAsia="Calibri" w:hAnsi="Times New Roman"/>
          <w:sz w:val="24"/>
          <w:szCs w:val="24"/>
        </w:rPr>
        <w:t xml:space="preserve">opined that </w:t>
      </w:r>
      <w:r w:rsidRPr="008B1465">
        <w:rPr>
          <w:rFonts w:ascii="Times New Roman" w:eastAsia="Calibri" w:hAnsi="Times New Roman"/>
          <w:sz w:val="24"/>
          <w:szCs w:val="24"/>
        </w:rPr>
        <w:t>fraud triangle on the basis that the three factors: financial needs that cannot be shared (motive); a perceived opportunity for illicit gain or gain improper access to fund (opportunity); a personal justification of the act to themselves (Rationalization) need by an individual to commit fraud are not sufficient. Furthermore, the fraud diamond which added a fourth variable of capability is still not sufficient. Sorunke, (2018) noted that from the survey carried out; fraudulent behaviour was seen by 86 percent of respondents as a deviant behaviour typically displayed by those with low personal ethics. Therefore, proposed personal ethics as a variable for motivation to committing fraud.</w:t>
      </w:r>
    </w:p>
    <w:p w14:paraId="74D6D3AE" w14:textId="3D3DE424" w:rsidR="00DC2851" w:rsidRDefault="00820A70" w:rsidP="001E6FA3">
      <w:pPr>
        <w:keepNext/>
        <w:spacing w:before="0" w:beforeAutospacing="0" w:after="0" w:line="360" w:lineRule="auto"/>
        <w:jc w:val="center"/>
        <w:rPr>
          <w:rFonts w:ascii="Times New Roman" w:eastAsia="Calibri" w:hAnsi="Times New Roman"/>
          <w:b/>
          <w:sz w:val="24"/>
          <w:szCs w:val="24"/>
        </w:rPr>
      </w:pPr>
      <w:r w:rsidRPr="008B1465">
        <w:rPr>
          <w:noProof/>
        </w:rPr>
        <mc:AlternateContent>
          <mc:Choice Requires="wpg">
            <w:drawing>
              <wp:anchor distT="0" distB="0" distL="114300" distR="114300" simplePos="0" relativeHeight="251694592" behindDoc="0" locked="0" layoutInCell="1" allowOverlap="1" wp14:anchorId="02BD28A3" wp14:editId="4AC132B3">
                <wp:simplePos x="0" y="0"/>
                <wp:positionH relativeFrom="column">
                  <wp:posOffset>989330</wp:posOffset>
                </wp:positionH>
                <wp:positionV relativeFrom="paragraph">
                  <wp:posOffset>0</wp:posOffset>
                </wp:positionV>
                <wp:extent cx="4699000" cy="2502535"/>
                <wp:effectExtent l="0" t="0" r="25400" b="12065"/>
                <wp:wrapTopAndBottom/>
                <wp:docPr id="37" name="Group 8"/>
                <wp:cNvGraphicFramePr/>
                <a:graphic xmlns:a="http://schemas.openxmlformats.org/drawingml/2006/main">
                  <a:graphicData uri="http://schemas.microsoft.com/office/word/2010/wordprocessingGroup">
                    <wpg:wgp>
                      <wpg:cNvGrpSpPr/>
                      <wpg:grpSpPr>
                        <a:xfrm>
                          <a:off x="0" y="0"/>
                          <a:ext cx="4699000" cy="2502535"/>
                          <a:chOff x="0" y="0"/>
                          <a:chExt cx="6452884" cy="3433530"/>
                        </a:xfrm>
                        <a:noFill/>
                      </wpg:grpSpPr>
                      <wps:wsp>
                        <wps:cNvPr id="38" name="Diamond 38"/>
                        <wps:cNvSpPr/>
                        <wps:spPr>
                          <a:xfrm>
                            <a:off x="1861930" y="585695"/>
                            <a:ext cx="2256390" cy="2175633"/>
                          </a:xfrm>
                          <a:prstGeom prst="diamond">
                            <a:avLst/>
                          </a:prstGeom>
                          <a:grpFill/>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9" name="Rectangle 39"/>
                        <wps:cNvSpPr/>
                        <wps:spPr>
                          <a:xfrm>
                            <a:off x="4118320" y="1420800"/>
                            <a:ext cx="2334564" cy="505421"/>
                          </a:xfrm>
                          <a:prstGeom prst="rect">
                            <a:avLst/>
                          </a:prstGeom>
                          <a:grpFill/>
                        </wps:spPr>
                        <wps:style>
                          <a:lnRef idx="2">
                            <a:schemeClr val="accent1">
                              <a:shade val="50000"/>
                            </a:schemeClr>
                          </a:lnRef>
                          <a:fillRef idx="1">
                            <a:schemeClr val="accent1"/>
                          </a:fillRef>
                          <a:effectRef idx="0">
                            <a:schemeClr val="accent1"/>
                          </a:effectRef>
                          <a:fontRef idx="minor">
                            <a:schemeClr val="lt1"/>
                          </a:fontRef>
                        </wps:style>
                        <wps:txbx>
                          <w:txbxContent>
                            <w:p w14:paraId="4E4F4029" w14:textId="77777777" w:rsidR="00FE7438" w:rsidRPr="00FB367F" w:rsidRDefault="00FE7438" w:rsidP="009E7BC8">
                              <w:pPr>
                                <w:jc w:val="center"/>
                                <w:rPr>
                                  <w:b/>
                                  <w:bCs/>
                                  <w:sz w:val="24"/>
                                  <w:szCs w:val="24"/>
                                </w:rPr>
                              </w:pPr>
                              <w:r w:rsidRPr="00FB367F">
                                <w:rPr>
                                  <w:b/>
                                  <w:bCs/>
                                  <w:color w:val="000000" w:themeColor="text1"/>
                                  <w:kern w:val="24"/>
                                  <w:sz w:val="36"/>
                                  <w:szCs w:val="36"/>
                                </w:rPr>
                                <w:t>OPPURTUNITY</w:t>
                              </w:r>
                            </w:p>
                          </w:txbxContent>
                        </wps:txbx>
                        <wps:bodyPr rtlCol="0" anchor="ctr"/>
                      </wps:wsp>
                      <wps:wsp>
                        <wps:cNvPr id="40" name="Rectangle 40"/>
                        <wps:cNvSpPr/>
                        <wps:spPr>
                          <a:xfrm>
                            <a:off x="0" y="1382092"/>
                            <a:ext cx="1861930" cy="616226"/>
                          </a:xfrm>
                          <a:prstGeom prst="rect">
                            <a:avLst/>
                          </a:prstGeom>
                          <a:grpFill/>
                        </wps:spPr>
                        <wps:style>
                          <a:lnRef idx="2">
                            <a:schemeClr val="accent1">
                              <a:shade val="50000"/>
                            </a:schemeClr>
                          </a:lnRef>
                          <a:fillRef idx="1">
                            <a:schemeClr val="accent1"/>
                          </a:fillRef>
                          <a:effectRef idx="0">
                            <a:schemeClr val="accent1"/>
                          </a:effectRef>
                          <a:fontRef idx="minor">
                            <a:schemeClr val="lt1"/>
                          </a:fontRef>
                        </wps:style>
                        <wps:txbx>
                          <w:txbxContent>
                            <w:p w14:paraId="0017512A" w14:textId="77777777" w:rsidR="00FE7438" w:rsidRPr="00FB367F" w:rsidRDefault="00FE7438" w:rsidP="009E7BC8">
                              <w:pPr>
                                <w:jc w:val="center"/>
                                <w:rPr>
                                  <w:b/>
                                  <w:bCs/>
                                  <w:sz w:val="24"/>
                                  <w:szCs w:val="24"/>
                                </w:rPr>
                              </w:pPr>
                              <w:r w:rsidRPr="00FB367F">
                                <w:rPr>
                                  <w:b/>
                                  <w:bCs/>
                                  <w:color w:val="000000" w:themeColor="text1"/>
                                  <w:kern w:val="24"/>
                                  <w:sz w:val="36"/>
                                  <w:szCs w:val="36"/>
                                </w:rPr>
                                <w:t>CAPACITY</w:t>
                              </w:r>
                            </w:p>
                          </w:txbxContent>
                        </wps:txbx>
                        <wps:bodyPr rtlCol="0" anchor="ctr"/>
                      </wps:wsp>
                      <wps:wsp>
                        <wps:cNvPr id="41" name="Rectangle 41"/>
                        <wps:cNvSpPr/>
                        <wps:spPr>
                          <a:xfrm>
                            <a:off x="1787520" y="2788222"/>
                            <a:ext cx="2651018" cy="645308"/>
                          </a:xfrm>
                          <a:prstGeom prst="rect">
                            <a:avLst/>
                          </a:prstGeom>
                          <a:grpFill/>
                        </wps:spPr>
                        <wps:style>
                          <a:lnRef idx="2">
                            <a:schemeClr val="accent1">
                              <a:shade val="50000"/>
                            </a:schemeClr>
                          </a:lnRef>
                          <a:fillRef idx="1">
                            <a:schemeClr val="accent1"/>
                          </a:fillRef>
                          <a:effectRef idx="0">
                            <a:schemeClr val="accent1"/>
                          </a:effectRef>
                          <a:fontRef idx="minor">
                            <a:schemeClr val="lt1"/>
                          </a:fontRef>
                        </wps:style>
                        <wps:txbx>
                          <w:txbxContent>
                            <w:p w14:paraId="7A8E6097" w14:textId="77777777" w:rsidR="00FE7438" w:rsidRPr="00FB367F" w:rsidRDefault="00FE7438" w:rsidP="009E7BC8">
                              <w:pPr>
                                <w:jc w:val="center"/>
                                <w:rPr>
                                  <w:b/>
                                  <w:bCs/>
                                  <w:sz w:val="24"/>
                                  <w:szCs w:val="24"/>
                                </w:rPr>
                              </w:pPr>
                              <w:r w:rsidRPr="00FB367F">
                                <w:rPr>
                                  <w:b/>
                                  <w:bCs/>
                                  <w:color w:val="000000" w:themeColor="text1"/>
                                  <w:kern w:val="24"/>
                                  <w:sz w:val="36"/>
                                  <w:szCs w:val="36"/>
                                </w:rPr>
                                <w:t>RATIONALIZATION</w:t>
                              </w:r>
                            </w:p>
                          </w:txbxContent>
                        </wps:txbx>
                        <wps:bodyPr rtlCol="0" anchor="ctr"/>
                      </wps:wsp>
                      <wps:wsp>
                        <wps:cNvPr id="42" name="Rectangle 42"/>
                        <wps:cNvSpPr/>
                        <wps:spPr>
                          <a:xfrm>
                            <a:off x="2080696" y="0"/>
                            <a:ext cx="1818861" cy="558800"/>
                          </a:xfrm>
                          <a:prstGeom prst="rect">
                            <a:avLst/>
                          </a:prstGeom>
                          <a:grpFill/>
                        </wps:spPr>
                        <wps:style>
                          <a:lnRef idx="2">
                            <a:schemeClr val="accent1">
                              <a:shade val="50000"/>
                            </a:schemeClr>
                          </a:lnRef>
                          <a:fillRef idx="1">
                            <a:schemeClr val="accent1"/>
                          </a:fillRef>
                          <a:effectRef idx="0">
                            <a:schemeClr val="accent1"/>
                          </a:effectRef>
                          <a:fontRef idx="minor">
                            <a:schemeClr val="lt1"/>
                          </a:fontRef>
                        </wps:style>
                        <wps:txbx>
                          <w:txbxContent>
                            <w:p w14:paraId="33D65128" w14:textId="77777777" w:rsidR="00FE7438" w:rsidRPr="00FB367F" w:rsidRDefault="00FE7438" w:rsidP="009E7BC8">
                              <w:pPr>
                                <w:jc w:val="center"/>
                                <w:rPr>
                                  <w:b/>
                                  <w:bCs/>
                                  <w:sz w:val="24"/>
                                  <w:szCs w:val="24"/>
                                </w:rPr>
                              </w:pPr>
                              <w:r w:rsidRPr="00FB367F">
                                <w:rPr>
                                  <w:b/>
                                  <w:bCs/>
                                  <w:color w:val="000000" w:themeColor="text1"/>
                                  <w:kern w:val="24"/>
                                  <w:sz w:val="36"/>
                                  <w:szCs w:val="36"/>
                                </w:rPr>
                                <w:t>PRESSURE</w:t>
                              </w:r>
                            </w:p>
                          </w:txbxContent>
                        </wps:txbx>
                        <wps:bodyPr rtlCol="0" anchor="ctr"/>
                      </wps:wsp>
                    </wpg:wg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2BD28A3" id="Group 8" o:spid="_x0000_s1196" style="position:absolute;left:0;text-align:left;margin-left:77.9pt;margin-top:0;width:370pt;height:197.05pt;z-index:251694592;mso-width-relative:margin;mso-height-relative:margin" coordsize="64528,34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">
                <v:shapetype id="_x0000_t4" coordsize="21600,21600" o:spt="4" path="m10800,l,10800,10800,21600,21600,10800xe">
                  <v:stroke joinstyle="miter"/>
                  <v:path gradientshapeok="t" o:connecttype="rect" textboxrect="5400,5400,16200,16200"/>
                </v:shapetype>
                <v:shape id="Diamond 38" o:spid="_x0000_s1197" type="#_x0000_t4" style="position:absolute;left:18619;top:5856;width:22564;height:217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" filled="f" strokecolor="#1f3763 [1604]" strokeweight="1pt"/>
                <v:rect id="Rectangle 39" o:spid="_x0000_s1198" style="position:absolute;left:41183;top:14208;width:23345;height:50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" filled="f" strokecolor="#1f3763 [1604]" strokeweight="1pt">
                  <v:textbox>
                    <w:txbxContent>
                      <w:p w14:paraId="4E4F4029" w14:textId="77777777" w:rsidR="00FE7438" w:rsidRPr="00FB367F" w:rsidRDefault="00FE7438" w:rsidP="009E7BC8">
                        <w:pPr>
                          <w:jc w:val="center"/>
                          <w:rPr>
                            <w:b/>
                            <w:bCs/>
                            <w:sz w:val="24"/>
                            <w:szCs w:val="24"/>
                          </w:rPr>
                        </w:pPr>
                        <w:r w:rsidRPr="00FB367F">
                          <w:rPr>
                            <w:b/>
                            <w:bCs/>
                            <w:color w:val="000000" w:themeColor="text1"/>
                            <w:kern w:val="24"/>
                            <w:sz w:val="36"/>
                            <w:szCs w:val="36"/>
                          </w:rPr>
                          <w:t>OPPURTUNITY</w:t>
                        </w:r>
                      </w:p>
                    </w:txbxContent>
                  </v:textbox>
                </v:rect>
                <v:rect id="Rectangle 40" o:spid="_x0000_s1199" style="position:absolute;top:13820;width:18619;height:61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" filled="f" strokecolor="#1f3763 [1604]" strokeweight="1pt">
                  <v:textbox>
                    <w:txbxContent>
                      <w:p w14:paraId="0017512A" w14:textId="77777777" w:rsidR="00FE7438" w:rsidRPr="00FB367F" w:rsidRDefault="00FE7438" w:rsidP="009E7BC8">
                        <w:pPr>
                          <w:jc w:val="center"/>
                          <w:rPr>
                            <w:b/>
                            <w:bCs/>
                            <w:sz w:val="24"/>
                            <w:szCs w:val="24"/>
                          </w:rPr>
                        </w:pPr>
                        <w:r w:rsidRPr="00FB367F">
                          <w:rPr>
                            <w:b/>
                            <w:bCs/>
                            <w:color w:val="000000" w:themeColor="text1"/>
                            <w:kern w:val="24"/>
                            <w:sz w:val="36"/>
                            <w:szCs w:val="36"/>
                          </w:rPr>
                          <w:t>CAPACITY</w:t>
                        </w:r>
                      </w:p>
                    </w:txbxContent>
                  </v:textbox>
                </v:rect>
                <v:rect id="Rectangle 41" o:spid="_x0000_s1200" style="position:absolute;left:17875;top:27882;width:26510;height:64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" filled="f" strokecolor="#1f3763 [1604]" strokeweight="1pt">
                  <v:textbox>
                    <w:txbxContent>
                      <w:p w14:paraId="7A8E6097" w14:textId="77777777" w:rsidR="00FE7438" w:rsidRPr="00FB367F" w:rsidRDefault="00FE7438" w:rsidP="009E7BC8">
                        <w:pPr>
                          <w:jc w:val="center"/>
                          <w:rPr>
                            <w:b/>
                            <w:bCs/>
                            <w:sz w:val="24"/>
                            <w:szCs w:val="24"/>
                          </w:rPr>
                        </w:pPr>
                        <w:r w:rsidRPr="00FB367F">
                          <w:rPr>
                            <w:b/>
                            <w:bCs/>
                            <w:color w:val="000000" w:themeColor="text1"/>
                            <w:kern w:val="24"/>
                            <w:sz w:val="36"/>
                            <w:szCs w:val="36"/>
                          </w:rPr>
                          <w:t>RATIONALIZATION</w:t>
                        </w:r>
                      </w:p>
                    </w:txbxContent>
                  </v:textbox>
                </v:rect>
                <v:rect id="Rectangle 42" o:spid="_x0000_s1201" style="position:absolute;left:20806;width:18189;height:55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" filled="f" strokecolor="#1f3763 [1604]" strokeweight="1pt">
                  <v:textbox>
                    <w:txbxContent>
                      <w:p w14:paraId="33D65128" w14:textId="77777777" w:rsidR="00FE7438" w:rsidRPr="00FB367F" w:rsidRDefault="00FE7438" w:rsidP="009E7BC8">
                        <w:pPr>
                          <w:jc w:val="center"/>
                          <w:rPr>
                            <w:b/>
                            <w:bCs/>
                            <w:sz w:val="24"/>
                            <w:szCs w:val="24"/>
                          </w:rPr>
                        </w:pPr>
                        <w:r w:rsidRPr="00FB367F">
                          <w:rPr>
                            <w:b/>
                            <w:bCs/>
                            <w:color w:val="000000" w:themeColor="text1"/>
                            <w:kern w:val="24"/>
                            <w:sz w:val="36"/>
                            <w:szCs w:val="36"/>
                          </w:rPr>
                          <w:t>PRESSURE</w:t>
                        </w:r>
                      </w:p>
                    </w:txbxContent>
                  </v:textbox>
                </v:rect>
                <w10:wrap type="topAndBottom"/>
              </v:group>
            </w:pict>
          </mc:Fallback>
        </mc:AlternateContent>
      </w:r>
      <w:r w:rsidR="00723F16" w:rsidRPr="008B1465">
        <w:rPr>
          <w:noProof/>
        </w:rPr>
        <mc:AlternateContent>
          <mc:Choice Requires="wps">
            <w:drawing>
              <wp:anchor distT="0" distB="0" distL="114300" distR="114300" simplePos="0" relativeHeight="251696640" behindDoc="0" locked="0" layoutInCell="1" allowOverlap="1" wp14:anchorId="43EC5D90" wp14:editId="4153E691">
                <wp:simplePos x="0" y="0"/>
                <wp:positionH relativeFrom="column">
                  <wp:posOffset>990600</wp:posOffset>
                </wp:positionH>
                <wp:positionV relativeFrom="paragraph">
                  <wp:posOffset>2559685</wp:posOffset>
                </wp:positionV>
                <wp:extent cx="4699000" cy="635"/>
                <wp:effectExtent l="0" t="0" r="0" b="0"/>
                <wp:wrapTopAndBottom/>
                <wp:docPr id="6" name="Text Box 6"/>
                <wp:cNvGraphicFramePr/>
                <a:graphic xmlns:a="http://schemas.openxmlformats.org/drawingml/2006/main">
                  <a:graphicData uri="http://schemas.microsoft.com/office/word/2010/wordprocessingShape">
                    <wps:wsp>
                      <wps:cNvSpPr txBox="1"/>
                      <wps:spPr>
                        <a:xfrm>
                          <a:off x="0" y="0"/>
                          <a:ext cx="4699000" cy="635"/>
                        </a:xfrm>
                        <a:prstGeom prst="rect">
                          <a:avLst/>
                        </a:prstGeom>
                        <a:solidFill>
                          <a:prstClr val="white"/>
                        </a:solidFill>
                        <a:ln>
                          <a:noFill/>
                        </a:ln>
                      </wps:spPr>
                      <wps:txbx>
                        <w:txbxContent>
                          <w:p w14:paraId="4046446F" w14:textId="74F06B01" w:rsidR="00FE7438" w:rsidRPr="00723F16" w:rsidRDefault="00FE7438" w:rsidP="001E6FA3">
                            <w:pPr>
                              <w:pStyle w:val="Caption"/>
                              <w:spacing w:after="0"/>
                              <w:jc w:val="center"/>
                              <w:rPr>
                                <w:rFonts w:ascii="Times New Roman" w:hAnsi="Times New Roman"/>
                                <w:i w:val="0"/>
                                <w:iCs w:val="0"/>
                                <w:noProof/>
                                <w:color w:val="auto"/>
                                <w:sz w:val="24"/>
                                <w:szCs w:val="24"/>
                              </w:rPr>
                            </w:pPr>
                            <w:bookmarkStart w:id="61" w:name="_Toc145953087"/>
                            <w:r w:rsidRPr="00723F16">
                              <w:rPr>
                                <w:rFonts w:ascii="Times New Roman" w:hAnsi="Times New Roman"/>
                                <w:i w:val="0"/>
                                <w:iCs w:val="0"/>
                                <w:color w:val="auto"/>
                                <w:sz w:val="24"/>
                                <w:szCs w:val="24"/>
                              </w:rPr>
                              <w:t xml:space="preserve">Figure </w:t>
                            </w:r>
                            <w:r w:rsidRPr="00723F16">
                              <w:rPr>
                                <w:rFonts w:ascii="Times New Roman" w:hAnsi="Times New Roman"/>
                                <w:i w:val="0"/>
                                <w:iCs w:val="0"/>
                                <w:color w:val="auto"/>
                                <w:sz w:val="24"/>
                                <w:szCs w:val="24"/>
                              </w:rPr>
                              <w:fldChar w:fldCharType="begin"/>
                            </w:r>
                            <w:r w:rsidRPr="00723F16">
                              <w:rPr>
                                <w:rFonts w:ascii="Times New Roman" w:hAnsi="Times New Roman"/>
                                <w:i w:val="0"/>
                                <w:iCs w:val="0"/>
                                <w:color w:val="auto"/>
                                <w:sz w:val="24"/>
                                <w:szCs w:val="24"/>
                              </w:rPr>
                              <w:instrText xml:space="preserve"> STYLEREF 1 \s </w:instrText>
                            </w:r>
                            <w:r w:rsidRPr="00723F16">
                              <w:rPr>
                                <w:rFonts w:ascii="Times New Roman" w:hAnsi="Times New Roman"/>
                                <w:i w:val="0"/>
                                <w:iCs w:val="0"/>
                                <w:color w:val="auto"/>
                                <w:sz w:val="24"/>
                                <w:szCs w:val="24"/>
                              </w:rPr>
                              <w:fldChar w:fldCharType="separate"/>
                            </w:r>
                            <w:r>
                              <w:rPr>
                                <w:rFonts w:ascii="Times New Roman" w:hAnsi="Times New Roman"/>
                                <w:i w:val="0"/>
                                <w:iCs w:val="0"/>
                                <w:noProof/>
                                <w:color w:val="auto"/>
                                <w:sz w:val="24"/>
                                <w:szCs w:val="24"/>
                              </w:rPr>
                              <w:t>2</w:t>
                            </w:r>
                            <w:r w:rsidRPr="00723F16">
                              <w:rPr>
                                <w:rFonts w:ascii="Times New Roman" w:hAnsi="Times New Roman"/>
                                <w:i w:val="0"/>
                                <w:iCs w:val="0"/>
                                <w:color w:val="auto"/>
                                <w:sz w:val="24"/>
                                <w:szCs w:val="24"/>
                              </w:rPr>
                              <w:fldChar w:fldCharType="end"/>
                            </w:r>
                            <w:r w:rsidRPr="00723F16">
                              <w:rPr>
                                <w:rFonts w:ascii="Times New Roman" w:hAnsi="Times New Roman"/>
                                <w:i w:val="0"/>
                                <w:iCs w:val="0"/>
                                <w:color w:val="auto"/>
                                <w:sz w:val="24"/>
                                <w:szCs w:val="24"/>
                              </w:rPr>
                              <w:t>.</w:t>
                            </w:r>
                            <w:r w:rsidRPr="00723F16">
                              <w:rPr>
                                <w:rFonts w:ascii="Times New Roman" w:hAnsi="Times New Roman"/>
                                <w:i w:val="0"/>
                                <w:iCs w:val="0"/>
                                <w:color w:val="auto"/>
                                <w:sz w:val="24"/>
                                <w:szCs w:val="24"/>
                              </w:rPr>
                              <w:fldChar w:fldCharType="begin"/>
                            </w:r>
                            <w:r w:rsidRPr="00723F16">
                              <w:rPr>
                                <w:rFonts w:ascii="Times New Roman" w:hAnsi="Times New Roman"/>
                                <w:i w:val="0"/>
                                <w:iCs w:val="0"/>
                                <w:color w:val="auto"/>
                                <w:sz w:val="24"/>
                                <w:szCs w:val="24"/>
                              </w:rPr>
                              <w:instrText xml:space="preserve"> SEQ Figure \* ARABIC \s 1 </w:instrText>
                            </w:r>
                            <w:r w:rsidRPr="00723F16">
                              <w:rPr>
                                <w:rFonts w:ascii="Times New Roman" w:hAnsi="Times New Roman"/>
                                <w:i w:val="0"/>
                                <w:iCs w:val="0"/>
                                <w:color w:val="auto"/>
                                <w:sz w:val="24"/>
                                <w:szCs w:val="24"/>
                              </w:rPr>
                              <w:fldChar w:fldCharType="separate"/>
                            </w:r>
                            <w:r>
                              <w:rPr>
                                <w:rFonts w:ascii="Times New Roman" w:hAnsi="Times New Roman"/>
                                <w:i w:val="0"/>
                                <w:iCs w:val="0"/>
                                <w:noProof/>
                                <w:color w:val="auto"/>
                                <w:sz w:val="24"/>
                                <w:szCs w:val="24"/>
                              </w:rPr>
                              <w:t>3</w:t>
                            </w:r>
                            <w:r w:rsidRPr="00723F16">
                              <w:rPr>
                                <w:rFonts w:ascii="Times New Roman" w:hAnsi="Times New Roman"/>
                                <w:i w:val="0"/>
                                <w:iCs w:val="0"/>
                                <w:color w:val="auto"/>
                                <w:sz w:val="24"/>
                                <w:szCs w:val="24"/>
                              </w:rPr>
                              <w:fldChar w:fldCharType="end"/>
                            </w:r>
                            <w:r w:rsidRPr="00723F16">
                              <w:rPr>
                                <w:rFonts w:ascii="Times New Roman" w:hAnsi="Times New Roman"/>
                                <w:i w:val="0"/>
                                <w:iCs w:val="0"/>
                                <w:color w:val="auto"/>
                                <w:sz w:val="24"/>
                                <w:szCs w:val="24"/>
                              </w:rPr>
                              <w:t xml:space="preserve">: </w:t>
                            </w:r>
                            <w:r w:rsidRPr="00723F16">
                              <w:rPr>
                                <w:rFonts w:ascii="Times New Roman" w:eastAsia="Calibri" w:hAnsi="Times New Roman"/>
                                <w:i w:val="0"/>
                                <w:iCs w:val="0"/>
                                <w:color w:val="auto"/>
                                <w:sz w:val="24"/>
                                <w:szCs w:val="24"/>
                              </w:rPr>
                              <w:t>The Fraud Diamond</w:t>
                            </w:r>
                            <w:bookmarkEnd w:id="6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3EC5D90" id="Text Box 6" o:spid="_x0000_s1202" type="#_x0000_t202" style="position:absolute;left:0;text-align:left;margin-left:78pt;margin-top:201.55pt;width:370pt;height:.05pt;z-index:2516966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" stroked="f">
                <v:textbox style="mso-fit-shape-to-text:t" inset="0,0,0,0">
                  <w:txbxContent>
                    <w:p w14:paraId="4046446F" w14:textId="74F06B01" w:rsidR="00FE7438" w:rsidRPr="00723F16" w:rsidRDefault="00FE7438" w:rsidP="001E6FA3">
                      <w:pPr>
                        <w:pStyle w:val="Caption"/>
                        <w:spacing w:after="0"/>
                        <w:jc w:val="center"/>
                        <w:rPr>
                          <w:rFonts w:ascii="Times New Roman" w:hAnsi="Times New Roman"/>
                          <w:i w:val="0"/>
                          <w:iCs w:val="0"/>
                          <w:noProof/>
                          <w:color w:val="auto"/>
                          <w:sz w:val="24"/>
                          <w:szCs w:val="24"/>
                        </w:rPr>
                      </w:pPr>
                      <w:bookmarkStart w:id="62" w:name="_Toc145953087"/>
                      <w:r w:rsidRPr="00723F16">
                        <w:rPr>
                          <w:rFonts w:ascii="Times New Roman" w:hAnsi="Times New Roman"/>
                          <w:i w:val="0"/>
                          <w:iCs w:val="0"/>
                          <w:color w:val="auto"/>
                          <w:sz w:val="24"/>
                          <w:szCs w:val="24"/>
                        </w:rPr>
                        <w:t xml:space="preserve">Figure </w:t>
                      </w:r>
                      <w:r w:rsidRPr="00723F16">
                        <w:rPr>
                          <w:rFonts w:ascii="Times New Roman" w:hAnsi="Times New Roman"/>
                          <w:i w:val="0"/>
                          <w:iCs w:val="0"/>
                          <w:color w:val="auto"/>
                          <w:sz w:val="24"/>
                          <w:szCs w:val="24"/>
                        </w:rPr>
                        <w:fldChar w:fldCharType="begin"/>
                      </w:r>
                      <w:r w:rsidRPr="00723F16">
                        <w:rPr>
                          <w:rFonts w:ascii="Times New Roman" w:hAnsi="Times New Roman"/>
                          <w:i w:val="0"/>
                          <w:iCs w:val="0"/>
                          <w:color w:val="auto"/>
                          <w:sz w:val="24"/>
                          <w:szCs w:val="24"/>
                        </w:rPr>
                        <w:instrText xml:space="preserve"> STYLEREF 1 \s </w:instrText>
                      </w:r>
                      <w:r w:rsidRPr="00723F16">
                        <w:rPr>
                          <w:rFonts w:ascii="Times New Roman" w:hAnsi="Times New Roman"/>
                          <w:i w:val="0"/>
                          <w:iCs w:val="0"/>
                          <w:color w:val="auto"/>
                          <w:sz w:val="24"/>
                          <w:szCs w:val="24"/>
                        </w:rPr>
                        <w:fldChar w:fldCharType="separate"/>
                      </w:r>
                      <w:r>
                        <w:rPr>
                          <w:rFonts w:ascii="Times New Roman" w:hAnsi="Times New Roman"/>
                          <w:i w:val="0"/>
                          <w:iCs w:val="0"/>
                          <w:noProof/>
                          <w:color w:val="auto"/>
                          <w:sz w:val="24"/>
                          <w:szCs w:val="24"/>
                        </w:rPr>
                        <w:t>2</w:t>
                      </w:r>
                      <w:r w:rsidRPr="00723F16">
                        <w:rPr>
                          <w:rFonts w:ascii="Times New Roman" w:hAnsi="Times New Roman"/>
                          <w:i w:val="0"/>
                          <w:iCs w:val="0"/>
                          <w:color w:val="auto"/>
                          <w:sz w:val="24"/>
                          <w:szCs w:val="24"/>
                        </w:rPr>
                        <w:fldChar w:fldCharType="end"/>
                      </w:r>
                      <w:r w:rsidRPr="00723F16">
                        <w:rPr>
                          <w:rFonts w:ascii="Times New Roman" w:hAnsi="Times New Roman"/>
                          <w:i w:val="0"/>
                          <w:iCs w:val="0"/>
                          <w:color w:val="auto"/>
                          <w:sz w:val="24"/>
                          <w:szCs w:val="24"/>
                        </w:rPr>
                        <w:t>.</w:t>
                      </w:r>
                      <w:r w:rsidRPr="00723F16">
                        <w:rPr>
                          <w:rFonts w:ascii="Times New Roman" w:hAnsi="Times New Roman"/>
                          <w:i w:val="0"/>
                          <w:iCs w:val="0"/>
                          <w:color w:val="auto"/>
                          <w:sz w:val="24"/>
                          <w:szCs w:val="24"/>
                        </w:rPr>
                        <w:fldChar w:fldCharType="begin"/>
                      </w:r>
                      <w:r w:rsidRPr="00723F16">
                        <w:rPr>
                          <w:rFonts w:ascii="Times New Roman" w:hAnsi="Times New Roman"/>
                          <w:i w:val="0"/>
                          <w:iCs w:val="0"/>
                          <w:color w:val="auto"/>
                          <w:sz w:val="24"/>
                          <w:szCs w:val="24"/>
                        </w:rPr>
                        <w:instrText xml:space="preserve"> SEQ Figure \* ARABIC \s 1 </w:instrText>
                      </w:r>
                      <w:r w:rsidRPr="00723F16">
                        <w:rPr>
                          <w:rFonts w:ascii="Times New Roman" w:hAnsi="Times New Roman"/>
                          <w:i w:val="0"/>
                          <w:iCs w:val="0"/>
                          <w:color w:val="auto"/>
                          <w:sz w:val="24"/>
                          <w:szCs w:val="24"/>
                        </w:rPr>
                        <w:fldChar w:fldCharType="separate"/>
                      </w:r>
                      <w:r>
                        <w:rPr>
                          <w:rFonts w:ascii="Times New Roman" w:hAnsi="Times New Roman"/>
                          <w:i w:val="0"/>
                          <w:iCs w:val="0"/>
                          <w:noProof/>
                          <w:color w:val="auto"/>
                          <w:sz w:val="24"/>
                          <w:szCs w:val="24"/>
                        </w:rPr>
                        <w:t>3</w:t>
                      </w:r>
                      <w:r w:rsidRPr="00723F16">
                        <w:rPr>
                          <w:rFonts w:ascii="Times New Roman" w:hAnsi="Times New Roman"/>
                          <w:i w:val="0"/>
                          <w:iCs w:val="0"/>
                          <w:color w:val="auto"/>
                          <w:sz w:val="24"/>
                          <w:szCs w:val="24"/>
                        </w:rPr>
                        <w:fldChar w:fldCharType="end"/>
                      </w:r>
                      <w:r w:rsidRPr="00723F16">
                        <w:rPr>
                          <w:rFonts w:ascii="Times New Roman" w:hAnsi="Times New Roman"/>
                          <w:i w:val="0"/>
                          <w:iCs w:val="0"/>
                          <w:color w:val="auto"/>
                          <w:sz w:val="24"/>
                          <w:szCs w:val="24"/>
                        </w:rPr>
                        <w:t xml:space="preserve">: </w:t>
                      </w:r>
                      <w:r w:rsidRPr="00723F16">
                        <w:rPr>
                          <w:rFonts w:ascii="Times New Roman" w:eastAsia="Calibri" w:hAnsi="Times New Roman"/>
                          <w:i w:val="0"/>
                          <w:iCs w:val="0"/>
                          <w:color w:val="auto"/>
                          <w:sz w:val="24"/>
                          <w:szCs w:val="24"/>
                        </w:rPr>
                        <w:t>The Fraud Diamond</w:t>
                      </w:r>
                      <w:bookmarkEnd w:id="62"/>
                    </w:p>
                  </w:txbxContent>
                </v:textbox>
                <w10:wrap type="topAndBottom"/>
              </v:shape>
            </w:pict>
          </mc:Fallback>
        </mc:AlternateContent>
      </w:r>
      <w:r w:rsidR="00FB475F">
        <w:rPr>
          <w:rFonts w:ascii="Times New Roman" w:eastAsia="Calibri" w:hAnsi="Times New Roman"/>
          <w:b/>
          <w:sz w:val="24"/>
          <w:szCs w:val="24"/>
        </w:rPr>
        <w:t xml:space="preserve">                   </w:t>
      </w:r>
      <w:r w:rsidR="00DC2851" w:rsidRPr="008B1465">
        <w:rPr>
          <w:rFonts w:ascii="Times New Roman" w:eastAsia="Calibri" w:hAnsi="Times New Roman"/>
          <w:b/>
          <w:sz w:val="24"/>
          <w:szCs w:val="24"/>
        </w:rPr>
        <w:t>Source: Wolf and Hermanson (2004)</w:t>
      </w:r>
    </w:p>
    <w:p w14:paraId="55C1CF30" w14:textId="77777777" w:rsidR="00C15734" w:rsidRPr="00DE207B" w:rsidRDefault="00C15734" w:rsidP="00C15734">
      <w:pPr>
        <w:pStyle w:val="Heading3"/>
      </w:pPr>
      <w:bookmarkStart w:id="62" w:name="_Toc145951097"/>
      <w:r w:rsidRPr="00DE207B">
        <w:t>Forensic Accounting theory</w:t>
      </w:r>
      <w:bookmarkEnd w:id="62"/>
    </w:p>
    <w:p w14:paraId="0736355D" w14:textId="77777777" w:rsidR="00C15734" w:rsidRPr="005B32D9" w:rsidRDefault="00C15734" w:rsidP="00C15734">
      <w:pPr>
        <w:spacing w:line="360" w:lineRule="auto"/>
        <w:jc w:val="both"/>
        <w:rPr>
          <w:rFonts w:ascii="Times New Roman" w:hAnsi="Times New Roman"/>
          <w:sz w:val="24"/>
          <w:szCs w:val="24"/>
        </w:rPr>
      </w:pPr>
      <w:r w:rsidRPr="005B32D9">
        <w:rPr>
          <w:rFonts w:ascii="Times New Roman" w:hAnsi="Times New Roman"/>
          <w:sz w:val="24"/>
          <w:szCs w:val="24"/>
        </w:rPr>
        <w:t>Forensic accounting, as a field, has developed over time with contributions from various individuals and organizations</w:t>
      </w:r>
      <w:r>
        <w:rPr>
          <w:rFonts w:ascii="Times New Roman" w:hAnsi="Times New Roman"/>
          <w:sz w:val="24"/>
          <w:szCs w:val="24"/>
        </w:rPr>
        <w:t xml:space="preserve"> (</w:t>
      </w:r>
      <w:r w:rsidRPr="00C85B68">
        <w:rPr>
          <w:rFonts w:ascii="Times New Roman" w:hAnsi="Times New Roman"/>
          <w:sz w:val="24"/>
          <w:szCs w:val="24"/>
        </w:rPr>
        <w:t>Alshurafat, 2022</w:t>
      </w:r>
      <w:r>
        <w:rPr>
          <w:rFonts w:ascii="Times New Roman" w:hAnsi="Times New Roman"/>
          <w:sz w:val="24"/>
          <w:szCs w:val="24"/>
        </w:rPr>
        <w:t xml:space="preserve">; </w:t>
      </w:r>
      <w:r w:rsidRPr="00683E66">
        <w:rPr>
          <w:rFonts w:ascii="Times New Roman" w:hAnsi="Times New Roman"/>
          <w:color w:val="222222"/>
          <w:sz w:val="24"/>
          <w:szCs w:val="24"/>
          <w:shd w:val="clear" w:color="auto" w:fill="FFFFFF"/>
        </w:rPr>
        <w:t>Wahyuni-TD., Haron., &amp; Fernando, 2021)</w:t>
      </w:r>
      <w:r w:rsidRPr="005B32D9">
        <w:rPr>
          <w:rFonts w:ascii="Times New Roman" w:hAnsi="Times New Roman"/>
          <w:sz w:val="24"/>
          <w:szCs w:val="24"/>
        </w:rPr>
        <w:t>. It does</w:t>
      </w:r>
      <w:r>
        <w:rPr>
          <w:rFonts w:ascii="Times New Roman" w:hAnsi="Times New Roman"/>
          <w:sz w:val="24"/>
          <w:szCs w:val="24"/>
        </w:rPr>
        <w:t xml:space="preserve"> </w:t>
      </w:r>
      <w:r w:rsidRPr="005B32D9">
        <w:rPr>
          <w:rFonts w:ascii="Times New Roman" w:hAnsi="Times New Roman"/>
          <w:sz w:val="24"/>
          <w:szCs w:val="24"/>
        </w:rPr>
        <w:t>n</w:t>
      </w:r>
      <w:r>
        <w:rPr>
          <w:rFonts w:ascii="Times New Roman" w:hAnsi="Times New Roman"/>
          <w:sz w:val="24"/>
          <w:szCs w:val="24"/>
        </w:rPr>
        <w:t>o</w:t>
      </w:r>
      <w:r w:rsidRPr="005B32D9">
        <w:rPr>
          <w:rFonts w:ascii="Times New Roman" w:hAnsi="Times New Roman"/>
          <w:sz w:val="24"/>
          <w:szCs w:val="24"/>
        </w:rPr>
        <w:t>t have a single founder or a specific year of inception like some scientific theories</w:t>
      </w:r>
      <w:r>
        <w:rPr>
          <w:rFonts w:ascii="Times New Roman" w:hAnsi="Times New Roman"/>
          <w:sz w:val="24"/>
          <w:szCs w:val="24"/>
        </w:rPr>
        <w:t xml:space="preserve"> (</w:t>
      </w:r>
      <w:r w:rsidRPr="009143C6">
        <w:rPr>
          <w:rFonts w:ascii="Times New Roman" w:hAnsi="Times New Roman"/>
          <w:sz w:val="24"/>
          <w:szCs w:val="24"/>
        </w:rPr>
        <w:t>Felin., Gambardella., Stern., &amp; Zenger, 2019</w:t>
      </w:r>
      <w:r>
        <w:rPr>
          <w:rFonts w:ascii="Times New Roman" w:hAnsi="Times New Roman"/>
          <w:sz w:val="24"/>
          <w:szCs w:val="24"/>
        </w:rPr>
        <w:t xml:space="preserve">; </w:t>
      </w:r>
      <w:r w:rsidRPr="005E6C1C">
        <w:rPr>
          <w:rFonts w:ascii="Times New Roman" w:hAnsi="Times New Roman"/>
          <w:sz w:val="24"/>
          <w:szCs w:val="24"/>
        </w:rPr>
        <w:t xml:space="preserve">Núñez., Allen., Gao., Miller Rigoli., Relaford-Doyle., &amp; Semenuks, 2019). </w:t>
      </w:r>
      <w:r w:rsidRPr="005B32D9">
        <w:rPr>
          <w:rFonts w:ascii="Times New Roman" w:hAnsi="Times New Roman"/>
          <w:sz w:val="24"/>
          <w:szCs w:val="24"/>
        </w:rPr>
        <w:t>Instead, it evolved in response to the growing need for financial fraud detection, investigation, and prevention. The origins of forensic accounting can be traced back to ancient civilizations where individuals were responsible for verifying financial transactions and uncovering irregularities</w:t>
      </w:r>
      <w:r>
        <w:rPr>
          <w:rFonts w:ascii="Times New Roman" w:hAnsi="Times New Roman"/>
          <w:sz w:val="24"/>
          <w:szCs w:val="24"/>
        </w:rPr>
        <w:t xml:space="preserve"> (</w:t>
      </w:r>
      <w:r w:rsidRPr="00A83C12">
        <w:rPr>
          <w:rFonts w:ascii="Times New Roman" w:hAnsi="Times New Roman"/>
          <w:sz w:val="24"/>
          <w:szCs w:val="24"/>
        </w:rPr>
        <w:t>Gottschalk., &amp; Benson, 2020).</w:t>
      </w:r>
      <w:r w:rsidRPr="005B32D9">
        <w:rPr>
          <w:rFonts w:ascii="Times New Roman" w:hAnsi="Times New Roman"/>
          <w:sz w:val="24"/>
          <w:szCs w:val="24"/>
        </w:rPr>
        <w:t xml:space="preserve"> However, the modern concept of forensic accounting, which integrates accounting principles with investigative techniques and legal aspects, has developed more recently.</w:t>
      </w:r>
      <w:r>
        <w:rPr>
          <w:rFonts w:ascii="Times New Roman" w:hAnsi="Times New Roman"/>
          <w:sz w:val="24"/>
          <w:szCs w:val="24"/>
        </w:rPr>
        <w:t xml:space="preserve"> </w:t>
      </w:r>
      <w:r w:rsidRPr="005B32D9">
        <w:rPr>
          <w:rFonts w:ascii="Times New Roman" w:hAnsi="Times New Roman"/>
          <w:sz w:val="24"/>
          <w:szCs w:val="24"/>
        </w:rPr>
        <w:t>Forensic accounting gained significant prominence and recognition following high-profile financial scandals in the late 20th century, such as the Enron scandal in the early 2000s. This prompted the development of forensic accounting as a specialized field within accounting and auditing. While specific individuals and organizations have made significant contributions to the development and promotion of forensic accounting, it's more accurate to view it as a collective effort by professionals, academics, and institutions over time, rather than being attributed to a single person or a particular year of origin.</w:t>
      </w:r>
    </w:p>
    <w:p w14:paraId="45A9EADB" w14:textId="77777777" w:rsidR="00C15734" w:rsidRPr="009A61A7" w:rsidRDefault="00C15734" w:rsidP="00C15734">
      <w:pPr>
        <w:spacing w:line="360" w:lineRule="auto"/>
        <w:jc w:val="both"/>
        <w:rPr>
          <w:rFonts w:ascii="Times New Roman" w:hAnsi="Times New Roman"/>
          <w:sz w:val="24"/>
          <w:szCs w:val="24"/>
        </w:rPr>
      </w:pPr>
      <w:r w:rsidRPr="009A61A7">
        <w:rPr>
          <w:rFonts w:ascii="Times New Roman" w:hAnsi="Times New Roman"/>
          <w:sz w:val="24"/>
          <w:szCs w:val="24"/>
        </w:rPr>
        <w:t>Forensic accounting theory is a foundational framework that guides the practice of forensic accounting, which is the application of accounting principles and investigative techniques to detect, prevent, and investigate financial fraud and misconduct</w:t>
      </w:r>
      <w:r>
        <w:rPr>
          <w:rFonts w:ascii="Times New Roman" w:hAnsi="Times New Roman"/>
          <w:sz w:val="24"/>
          <w:szCs w:val="24"/>
        </w:rPr>
        <w:t xml:space="preserve"> (</w:t>
      </w:r>
      <w:r w:rsidRPr="00860A62">
        <w:rPr>
          <w:rFonts w:ascii="Times New Roman" w:hAnsi="Times New Roman"/>
          <w:sz w:val="24"/>
          <w:szCs w:val="24"/>
        </w:rPr>
        <w:t>Kaur., Sood., &amp; Grima, 2022)</w:t>
      </w:r>
      <w:r w:rsidRPr="009A61A7">
        <w:rPr>
          <w:rFonts w:ascii="Times New Roman" w:hAnsi="Times New Roman"/>
          <w:sz w:val="24"/>
          <w:szCs w:val="24"/>
        </w:rPr>
        <w:t>. Here are some key elements and concepts within forensic accounting theory</w:t>
      </w:r>
      <w:r>
        <w:rPr>
          <w:rFonts w:ascii="Times New Roman" w:hAnsi="Times New Roman"/>
          <w:sz w:val="24"/>
          <w:szCs w:val="24"/>
        </w:rPr>
        <w:t xml:space="preserve">. </w:t>
      </w:r>
      <w:r w:rsidRPr="009A61A7">
        <w:rPr>
          <w:rFonts w:ascii="Times New Roman" w:hAnsi="Times New Roman"/>
          <w:sz w:val="24"/>
          <w:szCs w:val="24"/>
        </w:rPr>
        <w:t>This is at the core of forensic accounting theory. It encompasses the study of why and how individuals or organizations commit fraud. The Fraud Triangle and Fraud Diamond are common models that explore the factors contributing to fraud, including motivation, opportunity, rationalization, and pressure.</w:t>
      </w:r>
    </w:p>
    <w:p w14:paraId="22A3A4A2" w14:textId="77777777" w:rsidR="00C15734" w:rsidRPr="009A61A7" w:rsidRDefault="00C15734" w:rsidP="00C15734">
      <w:pPr>
        <w:spacing w:line="360" w:lineRule="auto"/>
        <w:jc w:val="both"/>
        <w:rPr>
          <w:rFonts w:ascii="Times New Roman" w:hAnsi="Times New Roman"/>
          <w:sz w:val="24"/>
          <w:szCs w:val="24"/>
        </w:rPr>
      </w:pPr>
      <w:r w:rsidRPr="009A61A7">
        <w:rPr>
          <w:rFonts w:ascii="Times New Roman" w:hAnsi="Times New Roman"/>
          <w:sz w:val="24"/>
          <w:szCs w:val="24"/>
        </w:rPr>
        <w:t>Forensic accountants are trained to gather, preserve, and analyze financial and non-financial evidence. The theory emphasizes the importance of maintaining the chain of custody and ensuring that evidence is admissible in legal proceedings.</w:t>
      </w:r>
      <w:r>
        <w:rPr>
          <w:rFonts w:ascii="Times New Roman" w:hAnsi="Times New Roman"/>
          <w:sz w:val="24"/>
          <w:szCs w:val="24"/>
        </w:rPr>
        <w:t xml:space="preserve"> </w:t>
      </w:r>
      <w:r w:rsidRPr="009A61A7">
        <w:rPr>
          <w:rFonts w:ascii="Times New Roman" w:hAnsi="Times New Roman"/>
          <w:sz w:val="24"/>
          <w:szCs w:val="24"/>
        </w:rPr>
        <w:t>Forensic accounting theory outlines various investigative procedures, such as data analysis, interviews, document examination, and forensic auditing techniques. These procedures are designed to uncover financial irregularities and trace the flow of funds.</w:t>
      </w:r>
      <w:r>
        <w:rPr>
          <w:rFonts w:ascii="Times New Roman" w:hAnsi="Times New Roman"/>
          <w:sz w:val="24"/>
          <w:szCs w:val="24"/>
        </w:rPr>
        <w:t xml:space="preserve"> </w:t>
      </w:r>
      <w:r w:rsidRPr="009A61A7">
        <w:rPr>
          <w:rFonts w:ascii="Times New Roman" w:hAnsi="Times New Roman"/>
          <w:sz w:val="24"/>
          <w:szCs w:val="24"/>
        </w:rPr>
        <w:t>Understanding the legal framework is crucial for forensic accountants. This includes knowledge of relevant laws, regulations, and standards, as well as the ability to work within the legal system as expert witnesses or consultants.</w:t>
      </w:r>
      <w:r>
        <w:rPr>
          <w:rFonts w:ascii="Times New Roman" w:hAnsi="Times New Roman"/>
          <w:sz w:val="24"/>
          <w:szCs w:val="24"/>
        </w:rPr>
        <w:t xml:space="preserve"> </w:t>
      </w:r>
      <w:r w:rsidRPr="009A61A7">
        <w:rPr>
          <w:rFonts w:ascii="Times New Roman" w:hAnsi="Times New Roman"/>
          <w:sz w:val="24"/>
          <w:szCs w:val="24"/>
        </w:rPr>
        <w:t>Ethical principles play a significant role in forensic accounting theory. Forensic accountants are expected to adhere to high ethical standards, including objectivity, integrity, confidentiality, and professional skepticism.</w:t>
      </w:r>
    </w:p>
    <w:p w14:paraId="7AEFA2DB" w14:textId="77777777" w:rsidR="00C15734" w:rsidRPr="009A61A7" w:rsidRDefault="00C15734" w:rsidP="00C15734">
      <w:pPr>
        <w:spacing w:line="360" w:lineRule="auto"/>
        <w:jc w:val="both"/>
        <w:rPr>
          <w:rFonts w:ascii="Times New Roman" w:hAnsi="Times New Roman"/>
          <w:sz w:val="24"/>
          <w:szCs w:val="24"/>
        </w:rPr>
      </w:pPr>
      <w:r w:rsidRPr="009A61A7">
        <w:rPr>
          <w:rFonts w:ascii="Times New Roman" w:hAnsi="Times New Roman"/>
          <w:sz w:val="24"/>
          <w:szCs w:val="24"/>
        </w:rPr>
        <w:t xml:space="preserve">Forensic accountants often serve as expert witnesses in legal proceedings. </w:t>
      </w:r>
      <w:r w:rsidRPr="009626B0">
        <w:rPr>
          <w:rFonts w:ascii="Times New Roman" w:hAnsi="Times New Roman"/>
          <w:color w:val="222222"/>
          <w:sz w:val="24"/>
          <w:szCs w:val="24"/>
          <w:shd w:val="clear" w:color="auto" w:fill="FFFFFF"/>
        </w:rPr>
        <w:t xml:space="preserve">Bali., Edmond., Ballantyne., Kemp., </w:t>
      </w:r>
      <w:r>
        <w:rPr>
          <w:rFonts w:ascii="Times New Roman" w:hAnsi="Times New Roman"/>
          <w:color w:val="222222"/>
          <w:sz w:val="24"/>
          <w:szCs w:val="24"/>
          <w:shd w:val="clear" w:color="auto" w:fill="FFFFFF"/>
        </w:rPr>
        <w:t>and</w:t>
      </w:r>
      <w:r w:rsidRPr="009626B0">
        <w:rPr>
          <w:rFonts w:ascii="Times New Roman" w:hAnsi="Times New Roman"/>
          <w:color w:val="222222"/>
          <w:sz w:val="24"/>
          <w:szCs w:val="24"/>
          <w:shd w:val="clear" w:color="auto" w:fill="FFFFFF"/>
        </w:rPr>
        <w:t xml:space="preserve"> Martire, (2020) </w:t>
      </w:r>
      <w:r>
        <w:rPr>
          <w:rFonts w:ascii="Times New Roman" w:hAnsi="Times New Roman"/>
          <w:color w:val="222222"/>
          <w:sz w:val="24"/>
          <w:szCs w:val="24"/>
          <w:shd w:val="clear" w:color="auto" w:fill="FFFFFF"/>
        </w:rPr>
        <w:t>concluded that</w:t>
      </w:r>
      <w:r w:rsidRPr="009A61A7">
        <w:rPr>
          <w:rFonts w:ascii="Times New Roman" w:hAnsi="Times New Roman"/>
          <w:sz w:val="24"/>
          <w:szCs w:val="24"/>
        </w:rPr>
        <w:t xml:space="preserve"> </w:t>
      </w:r>
      <w:r>
        <w:rPr>
          <w:rFonts w:ascii="Times New Roman" w:hAnsi="Times New Roman"/>
          <w:sz w:val="24"/>
          <w:szCs w:val="24"/>
        </w:rPr>
        <w:t xml:space="preserve">forensic accounting </w:t>
      </w:r>
      <w:r w:rsidRPr="009A61A7">
        <w:rPr>
          <w:rFonts w:ascii="Times New Roman" w:hAnsi="Times New Roman"/>
          <w:sz w:val="24"/>
          <w:szCs w:val="24"/>
        </w:rPr>
        <w:t>theory covers the preparation and presentation of expert testimony, including the ability to communicate complex financial information in a clear and understandable manner to judges and juries.</w:t>
      </w:r>
      <w:r>
        <w:rPr>
          <w:rFonts w:ascii="Times New Roman" w:hAnsi="Times New Roman"/>
          <w:sz w:val="24"/>
          <w:szCs w:val="24"/>
        </w:rPr>
        <w:t xml:space="preserve"> </w:t>
      </w:r>
      <w:r w:rsidRPr="009A61A7">
        <w:rPr>
          <w:rFonts w:ascii="Times New Roman" w:hAnsi="Times New Roman"/>
          <w:sz w:val="24"/>
          <w:szCs w:val="24"/>
        </w:rPr>
        <w:t>Forensic accountants may be involved in examining financial statements and disclosures to detect fraudulent reporting or misrepresentation. Understanding financial reporting standards is essential.</w:t>
      </w:r>
      <w:r>
        <w:rPr>
          <w:rFonts w:ascii="Times New Roman" w:hAnsi="Times New Roman"/>
          <w:sz w:val="24"/>
          <w:szCs w:val="24"/>
        </w:rPr>
        <w:t xml:space="preserve"> </w:t>
      </w:r>
      <w:r w:rsidRPr="009A61A7">
        <w:rPr>
          <w:rFonts w:ascii="Times New Roman" w:hAnsi="Times New Roman"/>
          <w:sz w:val="24"/>
          <w:szCs w:val="24"/>
        </w:rPr>
        <w:t>As technology advances, forensic accounting theory has expanded to include digital forensics. This involves the examination of electronic records, computer systems, and digital evidence to uncover fraud and cybercrimes. Forensic accountants assess and strengthen internal controls within organizations to prevent fraud</w:t>
      </w:r>
      <w:r w:rsidRPr="00A03693">
        <w:rPr>
          <w:rFonts w:ascii="Arial" w:eastAsiaTheme="minorHAnsi" w:hAnsi="Arial" w:cs="Arial"/>
          <w:color w:val="222222"/>
          <w:sz w:val="20"/>
          <w:szCs w:val="20"/>
          <w:shd w:val="clear" w:color="auto" w:fill="FFFFFF"/>
        </w:rPr>
        <w:t xml:space="preserve"> </w:t>
      </w:r>
      <w:r>
        <w:rPr>
          <w:rFonts w:ascii="Arial" w:eastAsiaTheme="minorHAnsi" w:hAnsi="Arial" w:cs="Arial"/>
          <w:color w:val="222222"/>
          <w:sz w:val="20"/>
          <w:szCs w:val="20"/>
          <w:shd w:val="clear" w:color="auto" w:fill="FFFFFF"/>
        </w:rPr>
        <w:t>(</w:t>
      </w:r>
      <w:r w:rsidRPr="00A03693">
        <w:rPr>
          <w:rFonts w:ascii="Times New Roman" w:hAnsi="Times New Roman"/>
          <w:sz w:val="24"/>
          <w:szCs w:val="24"/>
        </w:rPr>
        <w:t>Dewayanto, 2023)</w:t>
      </w:r>
      <w:r w:rsidRPr="009A61A7">
        <w:rPr>
          <w:rFonts w:ascii="Times New Roman" w:hAnsi="Times New Roman"/>
          <w:sz w:val="24"/>
          <w:szCs w:val="24"/>
        </w:rPr>
        <w:t>. This includes evaluating the effectiveness of control systems and identifying vulnerabilities. Understanding the importance of whistleblowing mechanisms and encouraging individuals to report fraud is part of forensic accounting theory. This involves considering the protection of whistleblowers and promoting a culture of transparency</w:t>
      </w:r>
      <w:r w:rsidRPr="005D1963">
        <w:rPr>
          <w:rFonts w:ascii="Times New Roman" w:hAnsi="Times New Roman"/>
          <w:sz w:val="24"/>
          <w:szCs w:val="24"/>
        </w:rPr>
        <w:t xml:space="preserve"> </w:t>
      </w:r>
      <w:r>
        <w:rPr>
          <w:rFonts w:ascii="Times New Roman" w:hAnsi="Times New Roman"/>
          <w:sz w:val="24"/>
          <w:szCs w:val="24"/>
        </w:rPr>
        <w:t>(</w:t>
      </w:r>
      <w:r w:rsidRPr="00C81B8C">
        <w:rPr>
          <w:rFonts w:ascii="Times New Roman" w:hAnsi="Times New Roman"/>
          <w:sz w:val="24"/>
          <w:szCs w:val="24"/>
        </w:rPr>
        <w:t>Al-Shaer., Malik., &amp; Zaman, 2021</w:t>
      </w:r>
      <w:r>
        <w:rPr>
          <w:rFonts w:ascii="Times New Roman" w:hAnsi="Times New Roman"/>
          <w:sz w:val="24"/>
          <w:szCs w:val="24"/>
        </w:rPr>
        <w:t xml:space="preserve">; </w:t>
      </w:r>
      <w:r w:rsidRPr="003B0619">
        <w:rPr>
          <w:rFonts w:ascii="Times New Roman" w:hAnsi="Times New Roman"/>
          <w:sz w:val="24"/>
          <w:szCs w:val="24"/>
        </w:rPr>
        <w:t>Anggiriawan., Yadnyana., Wirakusuma., &amp; Putra, 2023)</w:t>
      </w:r>
      <w:r w:rsidRPr="00C81B8C">
        <w:rPr>
          <w:rFonts w:ascii="Times New Roman" w:hAnsi="Times New Roman"/>
          <w:sz w:val="24"/>
          <w:szCs w:val="24"/>
        </w:rPr>
        <w:t>.</w:t>
      </w:r>
    </w:p>
    <w:p w14:paraId="0A65FC71" w14:textId="48B1D96D" w:rsidR="00C15734" w:rsidRPr="00857AFB" w:rsidRDefault="00C15734" w:rsidP="00857AFB">
      <w:pPr>
        <w:spacing w:line="360" w:lineRule="auto"/>
        <w:jc w:val="both"/>
        <w:rPr>
          <w:rFonts w:ascii="Times New Roman" w:hAnsi="Times New Roman"/>
          <w:sz w:val="24"/>
          <w:szCs w:val="24"/>
        </w:rPr>
      </w:pPr>
      <w:r w:rsidRPr="00FC05E8">
        <w:rPr>
          <w:rFonts w:ascii="Times New Roman" w:hAnsi="Times New Roman"/>
          <w:sz w:val="24"/>
          <w:szCs w:val="24"/>
        </w:rPr>
        <w:t xml:space="preserve">DiGabriele., Heitger., </w:t>
      </w:r>
      <w:r>
        <w:rPr>
          <w:rFonts w:ascii="Times New Roman" w:hAnsi="Times New Roman"/>
          <w:sz w:val="24"/>
          <w:szCs w:val="24"/>
        </w:rPr>
        <w:t>and</w:t>
      </w:r>
      <w:r w:rsidRPr="00FC05E8">
        <w:rPr>
          <w:rFonts w:ascii="Times New Roman" w:hAnsi="Times New Roman"/>
          <w:sz w:val="24"/>
          <w:szCs w:val="24"/>
        </w:rPr>
        <w:t xml:space="preserve"> Riley Jr, (2020).</w:t>
      </w:r>
      <w:r>
        <w:rPr>
          <w:rFonts w:ascii="Times New Roman" w:hAnsi="Times New Roman"/>
          <w:sz w:val="24"/>
          <w:szCs w:val="24"/>
        </w:rPr>
        <w:t xml:space="preserve"> discovered that, f</w:t>
      </w:r>
      <w:r w:rsidRPr="009A61A7">
        <w:rPr>
          <w:rFonts w:ascii="Times New Roman" w:hAnsi="Times New Roman"/>
          <w:sz w:val="24"/>
          <w:szCs w:val="24"/>
        </w:rPr>
        <w:t>orensic accounting theory is not limited to a specific jurisdiction. It incorporates international perspectives, as financial fraud and misconduct can occur on a global scale.</w:t>
      </w:r>
      <w:r>
        <w:rPr>
          <w:rFonts w:ascii="Times New Roman" w:hAnsi="Times New Roman"/>
          <w:sz w:val="24"/>
          <w:szCs w:val="24"/>
        </w:rPr>
        <w:t xml:space="preserve"> </w:t>
      </w:r>
      <w:r w:rsidRPr="009A61A7">
        <w:rPr>
          <w:rFonts w:ascii="Times New Roman" w:hAnsi="Times New Roman"/>
          <w:sz w:val="24"/>
          <w:szCs w:val="24"/>
        </w:rPr>
        <w:t>The theory recognizes the dynamic nature of forensic accounting</w:t>
      </w:r>
      <w:r>
        <w:rPr>
          <w:rFonts w:ascii="Times New Roman" w:hAnsi="Times New Roman"/>
          <w:sz w:val="24"/>
          <w:szCs w:val="24"/>
        </w:rPr>
        <w:t xml:space="preserve"> (</w:t>
      </w:r>
      <w:r w:rsidRPr="00FD5DCC">
        <w:rPr>
          <w:rFonts w:ascii="Times New Roman" w:hAnsi="Times New Roman"/>
          <w:sz w:val="24"/>
          <w:szCs w:val="24"/>
        </w:rPr>
        <w:t>Akinbowale., Mashigo., &amp; Zerihun, 2023).</w:t>
      </w:r>
      <w:r w:rsidRPr="009A61A7">
        <w:rPr>
          <w:rFonts w:ascii="Times New Roman" w:hAnsi="Times New Roman"/>
          <w:sz w:val="24"/>
          <w:szCs w:val="24"/>
        </w:rPr>
        <w:t xml:space="preserve"> Forensic accountants are expected to engage in lifelong learning to stay updated on emerging fraud schemes, technologies, and regulatory changes</w:t>
      </w:r>
      <w:r>
        <w:rPr>
          <w:rFonts w:ascii="Times New Roman" w:hAnsi="Times New Roman"/>
          <w:sz w:val="24"/>
          <w:szCs w:val="24"/>
        </w:rPr>
        <w:t xml:space="preserve"> (</w:t>
      </w:r>
      <w:r w:rsidRPr="009A2B0B">
        <w:rPr>
          <w:rFonts w:ascii="Times New Roman" w:hAnsi="Times New Roman"/>
          <w:sz w:val="24"/>
          <w:szCs w:val="24"/>
        </w:rPr>
        <w:t>Oladejo., &amp; Jack,</w:t>
      </w:r>
      <w:r>
        <w:rPr>
          <w:rFonts w:ascii="Times New Roman" w:hAnsi="Times New Roman"/>
          <w:sz w:val="24"/>
          <w:szCs w:val="24"/>
        </w:rPr>
        <w:t xml:space="preserve"> </w:t>
      </w:r>
      <w:r w:rsidRPr="009A2B0B">
        <w:rPr>
          <w:rFonts w:ascii="Times New Roman" w:hAnsi="Times New Roman"/>
          <w:sz w:val="24"/>
          <w:szCs w:val="24"/>
        </w:rPr>
        <w:t xml:space="preserve">2020). </w:t>
      </w:r>
      <w:r>
        <w:rPr>
          <w:rFonts w:ascii="Times New Roman" w:hAnsi="Times New Roman"/>
          <w:sz w:val="24"/>
          <w:szCs w:val="24"/>
        </w:rPr>
        <w:t xml:space="preserve"> </w:t>
      </w:r>
      <w:r w:rsidRPr="009A61A7">
        <w:rPr>
          <w:rFonts w:ascii="Times New Roman" w:hAnsi="Times New Roman"/>
          <w:sz w:val="24"/>
          <w:szCs w:val="24"/>
        </w:rPr>
        <w:t>Forensic accounting theory serves as the foundation for education and professional development in the field. It provides a structured approach to addressing financial fraud and misconduct while upholding the principles of accuracy, transparency, and ethical conduct in financial investigations</w:t>
      </w:r>
      <w:r w:rsidRPr="002D2546">
        <w:rPr>
          <w:rFonts w:ascii="Times New Roman" w:hAnsi="Times New Roman"/>
          <w:sz w:val="24"/>
          <w:szCs w:val="24"/>
        </w:rPr>
        <w:t xml:space="preserve"> </w:t>
      </w:r>
      <w:r>
        <w:rPr>
          <w:rFonts w:ascii="Times New Roman" w:hAnsi="Times New Roman"/>
          <w:sz w:val="24"/>
          <w:szCs w:val="24"/>
        </w:rPr>
        <w:t>(</w:t>
      </w:r>
      <w:r w:rsidRPr="00E644EC">
        <w:rPr>
          <w:rFonts w:ascii="Times New Roman" w:hAnsi="Times New Roman"/>
          <w:sz w:val="24"/>
          <w:szCs w:val="24"/>
        </w:rPr>
        <w:t>Asheela-Shikalepo, 2021</w:t>
      </w:r>
      <w:r>
        <w:rPr>
          <w:rFonts w:ascii="Times New Roman" w:hAnsi="Times New Roman"/>
          <w:sz w:val="24"/>
          <w:szCs w:val="24"/>
        </w:rPr>
        <w:t xml:space="preserve">; </w:t>
      </w:r>
      <w:r w:rsidRPr="00C350D2">
        <w:rPr>
          <w:rFonts w:ascii="Times New Roman" w:hAnsi="Times New Roman"/>
          <w:sz w:val="24"/>
          <w:szCs w:val="24"/>
        </w:rPr>
        <w:t>Qira, 2023)</w:t>
      </w:r>
    </w:p>
    <w:p w14:paraId="7083A2CF" w14:textId="0752F6E9" w:rsidR="00DC2851" w:rsidRPr="008B1465" w:rsidRDefault="00DC2851" w:rsidP="00DC2851">
      <w:pPr>
        <w:pStyle w:val="Heading2"/>
      </w:pPr>
      <w:bookmarkStart w:id="63" w:name="_Toc145951098"/>
      <w:r w:rsidRPr="008B1465">
        <w:t xml:space="preserve">Fraud Star </w:t>
      </w:r>
      <w:r w:rsidR="005F4A1C">
        <w:t>Theory</w:t>
      </w:r>
      <w:bookmarkEnd w:id="63"/>
    </w:p>
    <w:p w14:paraId="0509CEEC" w14:textId="28D00FCF" w:rsidR="00DC2851" w:rsidRPr="008B1465" w:rsidRDefault="00DC2851" w:rsidP="00DC2851">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This hypothesis was proposed in the work of Olayinka</w:t>
      </w:r>
      <w:r w:rsidR="00ED122F" w:rsidRPr="008B1465">
        <w:rPr>
          <w:rFonts w:ascii="Times New Roman" w:eastAsia="Calibri" w:hAnsi="Times New Roman"/>
          <w:sz w:val="24"/>
          <w:szCs w:val="24"/>
        </w:rPr>
        <w:t xml:space="preserve"> and</w:t>
      </w:r>
      <w:r w:rsidR="00CA7292" w:rsidRPr="008B1465">
        <w:rPr>
          <w:rFonts w:ascii="Times New Roman" w:eastAsia="Calibri" w:hAnsi="Times New Roman"/>
          <w:sz w:val="24"/>
          <w:szCs w:val="24"/>
        </w:rPr>
        <w:t xml:space="preserve"> </w:t>
      </w:r>
      <w:r w:rsidR="00ED122F" w:rsidRPr="008B1465">
        <w:rPr>
          <w:rFonts w:ascii="Times New Roman" w:eastAsia="Calibri" w:hAnsi="Times New Roman"/>
          <w:sz w:val="24"/>
          <w:szCs w:val="24"/>
        </w:rPr>
        <w:t>Owolabi</w:t>
      </w:r>
      <w:r w:rsidRPr="008B1465">
        <w:rPr>
          <w:rFonts w:ascii="Times New Roman" w:eastAsia="Calibri" w:hAnsi="Times New Roman"/>
          <w:sz w:val="24"/>
          <w:szCs w:val="24"/>
        </w:rPr>
        <w:t xml:space="preserve"> (20</w:t>
      </w:r>
      <w:r w:rsidR="004735AE" w:rsidRPr="008B1465">
        <w:rPr>
          <w:rFonts w:ascii="Times New Roman" w:eastAsia="Calibri" w:hAnsi="Times New Roman"/>
          <w:sz w:val="24"/>
          <w:szCs w:val="24"/>
        </w:rPr>
        <w:t>21</w:t>
      </w:r>
      <w:r w:rsidRPr="008B1465">
        <w:rPr>
          <w:rFonts w:ascii="Times New Roman" w:eastAsia="Calibri" w:hAnsi="Times New Roman"/>
          <w:sz w:val="24"/>
          <w:szCs w:val="24"/>
        </w:rPr>
        <w:t>). This hypothesis was based on assertion from prior literature and the realities in the Nigeria public sector with regards to fraudulent practices. The hypothesis assumes that position that appropriate punishment should be a variable that affects committing of fraud by individuals. In support of this Hypothesis, Gibbons, (1969); Samuel and Moulds, (1986) had attempted to investigate the extent to which individuals and Nations agree on appropriate punishment for crime.</w:t>
      </w:r>
    </w:p>
    <w:p w14:paraId="00DCDFAD" w14:textId="7DBE756E" w:rsidR="00DC2851" w:rsidRPr="008B1465" w:rsidRDefault="00DC2851" w:rsidP="00DC2851">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However, Samuel and Moulds, (1986) affirm</w:t>
      </w:r>
      <w:r w:rsidR="0023622D">
        <w:rPr>
          <w:rFonts w:ascii="Times New Roman" w:eastAsia="Calibri" w:hAnsi="Times New Roman"/>
          <w:sz w:val="24"/>
          <w:szCs w:val="24"/>
        </w:rPr>
        <w:t>ed</w:t>
      </w:r>
      <w:r w:rsidRPr="008B1465">
        <w:rPr>
          <w:rFonts w:ascii="Times New Roman" w:eastAsia="Calibri" w:hAnsi="Times New Roman"/>
          <w:sz w:val="24"/>
          <w:szCs w:val="24"/>
        </w:rPr>
        <w:t xml:space="preserve"> that appropriate punishment that best fits crime committed is often the best way of discouraging criminal offenses evidenced from the judgments sample obtained and prisoners investigated. Meanwhile, Dietrich (2020) examined the effects of punishment certainty and punishment severity on compliance decisions of different individuals. The study posits that deterrence will be achievable from the enforcement of the law based with expected penalty imposition; it was also asserted that enforcement agencies should put more emphasis on the certainty of punishment or sanctioning which deals with the severity of punishment. Dietrich (2020) is in improvement to the work of Earnhart and Friesen (2013) which investigate specific deterrence using survey data, where they concluded that severity of punishment can help bring about specific deterrence.</w:t>
      </w:r>
      <w:r w:rsidR="00E8110B">
        <w:rPr>
          <w:rFonts w:ascii="Times New Roman" w:eastAsia="Calibri" w:hAnsi="Times New Roman"/>
          <w:sz w:val="24"/>
          <w:szCs w:val="24"/>
        </w:rPr>
        <w:t xml:space="preserve"> </w:t>
      </w:r>
      <w:r w:rsidRPr="008B1465">
        <w:rPr>
          <w:rFonts w:ascii="Times New Roman" w:eastAsia="Calibri" w:hAnsi="Times New Roman"/>
          <w:sz w:val="24"/>
          <w:szCs w:val="24"/>
        </w:rPr>
        <w:t>In the standard economics of crime model as described by Becker, (1965); Polinsky and Shavell (2000) they affirmed that crimes are committed when the expected benefit from committing the offense exceeds the expected punishment or penalty from offending; Dietrieh (2020) also confirmed that every offender is a rational economics agent with full understanding of the regulation in practice, they are aware of the likely punishment to be faced with they commit a crime and its (its punishment) severity when it is imposed. This is in line with philosophy of deterrence theory as used in literature (</w:t>
      </w:r>
      <w:r w:rsidRPr="008B1465">
        <w:rPr>
          <w:rFonts w:ascii="Times New Roman" w:hAnsi="Times New Roman"/>
          <w:sz w:val="24"/>
          <w:szCs w:val="24"/>
        </w:rPr>
        <w:t>Kuo Talley &amp; Huang, 2020).</w:t>
      </w:r>
      <w:r w:rsidRPr="008B1465">
        <w:rPr>
          <w:rFonts w:ascii="Times New Roman" w:eastAsia="Calibri" w:hAnsi="Times New Roman"/>
          <w:sz w:val="24"/>
          <w:szCs w:val="24"/>
        </w:rPr>
        <w:t>), starting that increase in the probability of punishment or size of the penalty (jail terms), will reduce offenses. Moreover, Doob and Webster, (2003) in their study claimed that sentence severity has no effect on the level of crime in society; this study was adjudged to have data difficulties which are inherent in this type of study.</w:t>
      </w:r>
    </w:p>
    <w:p w14:paraId="347D8DE5" w14:textId="77777777" w:rsidR="00DC2851" w:rsidRPr="008B1465" w:rsidRDefault="00DC2851" w:rsidP="00DC2851">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Effective Punishment is the administration of unpleasant response for an undesirable action (Trevino, 1992). It is used in changing the attitude of transgressors and to discourage others from engaging in an unpleasant manner. Trevino and Youngblood, (1990) affirmed that most person consider the likelihood of punishment when making any decision especially when it is an unethical decision, </w:t>
      </w:r>
      <w:r w:rsidRPr="008B1465">
        <w:rPr>
          <w:rFonts w:ascii="Times New Roman" w:hAnsi="Times New Roman"/>
          <w:sz w:val="24"/>
          <w:szCs w:val="24"/>
        </w:rPr>
        <w:t xml:space="preserve">Gibson and Frakes (1997) </w:t>
      </w:r>
      <w:r w:rsidRPr="008B1465">
        <w:rPr>
          <w:rFonts w:ascii="Times New Roman" w:eastAsia="Calibri" w:hAnsi="Times New Roman"/>
          <w:sz w:val="24"/>
          <w:szCs w:val="24"/>
        </w:rPr>
        <w:t>asserted that policy makers have three instruments used to discourage crime, which are severity, certainty and speed with which punishments are enforced. They stated that, research has not substantially shown which of these instruments is the most effective in discouraging crime. However, it was postulated that making the punishment for a criminal offense more severe would deter people strongly than improving on the possibility of apprehending the offenders.</w:t>
      </w:r>
    </w:p>
    <w:p w14:paraId="34F8069B" w14:textId="0EABE68A" w:rsidR="00AF73A1" w:rsidRPr="00E8110B" w:rsidRDefault="00DC2851" w:rsidP="00E8110B">
      <w:pPr>
        <w:spacing w:after="0" w:line="360" w:lineRule="auto"/>
        <w:jc w:val="both"/>
        <w:rPr>
          <w:rFonts w:ascii="Times New Roman" w:eastAsia="Calibri" w:hAnsi="Times New Roman"/>
          <w:sz w:val="24"/>
          <w:szCs w:val="24"/>
        </w:rPr>
      </w:pPr>
      <w:r w:rsidRPr="008B1465">
        <w:rPr>
          <w:rFonts w:ascii="Times New Roman" w:hAnsi="Times New Roman"/>
          <w:sz w:val="24"/>
          <w:szCs w:val="24"/>
        </w:rPr>
        <w:t xml:space="preserve">Olayinka and Owolabi (2021) </w:t>
      </w:r>
      <w:r w:rsidRPr="008B1465">
        <w:rPr>
          <w:rFonts w:ascii="Times New Roman" w:eastAsia="Calibri" w:hAnsi="Times New Roman"/>
          <w:sz w:val="24"/>
          <w:szCs w:val="24"/>
        </w:rPr>
        <w:t>posited that the theory of Broken Window propounded by Wilson and George, in 1982 supports the need for appropriate (severe) punishment as a factor. This is a criminological theory which emphasizes that visible signs of crime, anti-social behaviour, fraud and civil disorder create an environment that encourages further serious crime, fraud and disorder. The theory is of the opinion/suggested that policies should be made to curb crimes as they occur in appropriate measures, to help create an environment and atmosphere order and lawfulness, which will help discourage other crimes and prevent more serious crimes.</w:t>
      </w:r>
    </w:p>
    <w:p w14:paraId="7D8D31C7" w14:textId="77777777" w:rsidR="00AF73A1" w:rsidRDefault="00AF73A1" w:rsidP="00822AA6">
      <w:pPr>
        <w:jc w:val="both"/>
        <w:rPr>
          <w:rFonts w:ascii="Times New Roman" w:hAnsi="Times New Roman"/>
          <w:b/>
          <w:bCs/>
          <w:sz w:val="24"/>
          <w:szCs w:val="24"/>
        </w:rPr>
      </w:pPr>
    </w:p>
    <w:p w14:paraId="1550CED1" w14:textId="1F44CE2F" w:rsidR="00DC2851" w:rsidRPr="008B1465" w:rsidRDefault="00723F16" w:rsidP="00AF73A1">
      <w:pPr>
        <w:pStyle w:val="Heading3"/>
        <w:spacing w:before="100" w:line="360" w:lineRule="auto"/>
        <w:rPr>
          <w:rFonts w:cs="Times New Roman"/>
        </w:rPr>
      </w:pPr>
      <w:r w:rsidRPr="008B1465">
        <w:rPr>
          <w:rFonts w:cs="Times New Roman"/>
        </w:rPr>
        <w:t xml:space="preserve">  </w:t>
      </w:r>
      <w:bookmarkStart w:id="64" w:name="_Toc145951099"/>
      <w:r w:rsidR="00DC2851" w:rsidRPr="008B1465">
        <w:rPr>
          <w:rFonts w:cs="Times New Roman"/>
        </w:rPr>
        <w:t>Theoretical Framework</w:t>
      </w:r>
      <w:bookmarkEnd w:id="64"/>
    </w:p>
    <w:p w14:paraId="581AE66A" w14:textId="12EB4EFE" w:rsidR="00DC2851" w:rsidRPr="00616968" w:rsidRDefault="00DC2851" w:rsidP="00AF73A1">
      <w:pPr>
        <w:pStyle w:val="Heading4"/>
      </w:pPr>
      <w:r w:rsidRPr="00616968">
        <w:t>The S.C.O.R.E. Framework</w:t>
      </w:r>
    </w:p>
    <w:p w14:paraId="1B065D15" w14:textId="77777777" w:rsidR="00DC2851" w:rsidRPr="008B1465" w:rsidRDefault="00DC2851" w:rsidP="00AF73A1">
      <w:pPr>
        <w:spacing w:after="0" w:line="360" w:lineRule="auto"/>
        <w:jc w:val="both"/>
        <w:rPr>
          <w:rFonts w:ascii="Times New Roman" w:hAnsi="Times New Roman"/>
          <w:sz w:val="24"/>
          <w:szCs w:val="24"/>
        </w:rPr>
      </w:pPr>
      <w:r w:rsidRPr="008B1465">
        <w:rPr>
          <w:rFonts w:ascii="Times New Roman" w:hAnsi="Times New Roman"/>
          <w:sz w:val="24"/>
          <w:szCs w:val="24"/>
        </w:rPr>
        <w:t>After examining the theoretical underpinnings of the reasons that motivate people to commit fraud, it becomes evident that the present fraud models must be updated to reflect the current state of the field and the increase in fraud incidences. The author expands on the theoretical backdrop and introduces the S.C.O.R.E. model in order to strengthen the reader's comprehension of the major aspects that contribute to fraud. This model's name is comprised of the acronyms for stimulus, capability, opportunity, rationalization, and ego. The first four elements of the model (stimulus, capability, opportunity, and rationalization) are derived from the Fraud Diamond (an extension of the fraud triangle), while the fifth is introduced to improve fraud detection and prevention as well as to expand our understanding of the major determinants of fraudulent activities. The following is an analysis of the five components of the S.C.O.R.E. model.</w:t>
      </w:r>
    </w:p>
    <w:p w14:paraId="5E2DA9AC" w14:textId="5359E910" w:rsidR="00DC2851" w:rsidRPr="008B1465" w:rsidRDefault="00DC2851" w:rsidP="002A07B4">
      <w:pPr>
        <w:pStyle w:val="Heading5"/>
        <w:numPr>
          <w:ilvl w:val="0"/>
          <w:numId w:val="0"/>
        </w:numPr>
        <w:spacing w:before="100" w:line="360" w:lineRule="auto"/>
        <w:rPr>
          <w:rFonts w:ascii="Times New Roman" w:hAnsi="Times New Roman" w:cs="Times New Roman"/>
          <w:b/>
          <w:bCs/>
          <w:color w:val="auto"/>
          <w:sz w:val="24"/>
          <w:szCs w:val="24"/>
        </w:rPr>
      </w:pPr>
      <w:r w:rsidRPr="008B1465">
        <w:rPr>
          <w:rFonts w:ascii="Times New Roman" w:hAnsi="Times New Roman" w:cs="Times New Roman"/>
          <w:b/>
          <w:bCs/>
          <w:color w:val="auto"/>
          <w:sz w:val="24"/>
          <w:szCs w:val="24"/>
        </w:rPr>
        <w:t>Stimulus/incentive</w:t>
      </w:r>
    </w:p>
    <w:p w14:paraId="18D30A6C" w14:textId="2D781EBA" w:rsidR="00DC2851" w:rsidRPr="008B1465" w:rsidRDefault="00DC2851" w:rsidP="00DC2851">
      <w:pPr>
        <w:spacing w:after="0" w:line="360" w:lineRule="auto"/>
        <w:jc w:val="both"/>
        <w:rPr>
          <w:rFonts w:ascii="Times New Roman" w:hAnsi="Times New Roman"/>
          <w:sz w:val="24"/>
          <w:szCs w:val="24"/>
        </w:rPr>
      </w:pPr>
      <w:r w:rsidRPr="008B1465">
        <w:rPr>
          <w:rFonts w:ascii="Times New Roman" w:hAnsi="Times New Roman"/>
          <w:sz w:val="24"/>
          <w:szCs w:val="24"/>
        </w:rPr>
        <w:t xml:space="preserve">Stimulus (or incentive) is a financial or non-financial push to conduct fraud. High financial needs, the need to report better results due to the pressure to meet targets (especially in crisis times), frustrations related to the work environment, professional aspiration and the desire to reach them as soon as possible, and sometimes just a person's desire to prove he/she can defeat the system (attributed to egoism), are all examples of pressure. As a result of the economic recession and the pressure registered by employers to meet business objectives and reduce costs as a result of tighter budgets, the potential for fraudulent acts is significantly higher during times of economic crisis. This is so that their financial position or even their professional standing within the company is not affected. </w:t>
      </w:r>
    </w:p>
    <w:p w14:paraId="73438A07" w14:textId="1D90B419" w:rsidR="00DC2851" w:rsidRPr="008B1465" w:rsidRDefault="00DC2851" w:rsidP="00723F16">
      <w:pPr>
        <w:pStyle w:val="Heading5"/>
        <w:numPr>
          <w:ilvl w:val="0"/>
          <w:numId w:val="0"/>
        </w:numPr>
        <w:spacing w:before="100" w:line="360" w:lineRule="auto"/>
        <w:ind w:left="1008" w:hanging="1008"/>
        <w:rPr>
          <w:rFonts w:ascii="Times New Roman" w:hAnsi="Times New Roman" w:cs="Times New Roman"/>
          <w:b/>
          <w:bCs/>
          <w:color w:val="auto"/>
          <w:sz w:val="24"/>
          <w:szCs w:val="24"/>
        </w:rPr>
      </w:pPr>
      <w:r w:rsidRPr="008B1465">
        <w:rPr>
          <w:rFonts w:ascii="Times New Roman" w:hAnsi="Times New Roman" w:cs="Times New Roman"/>
          <w:b/>
          <w:bCs/>
          <w:color w:val="auto"/>
          <w:sz w:val="24"/>
          <w:szCs w:val="24"/>
        </w:rPr>
        <w:t>Capability</w:t>
      </w:r>
    </w:p>
    <w:p w14:paraId="0113229C" w14:textId="77777777" w:rsidR="00DC2851" w:rsidRPr="008B1465" w:rsidRDefault="00DC2851" w:rsidP="00DC2851">
      <w:pPr>
        <w:spacing w:after="0" w:line="360" w:lineRule="auto"/>
        <w:jc w:val="both"/>
        <w:rPr>
          <w:rFonts w:ascii="Times New Roman" w:hAnsi="Times New Roman"/>
          <w:sz w:val="24"/>
          <w:szCs w:val="24"/>
        </w:rPr>
      </w:pPr>
      <w:r w:rsidRPr="008B1465">
        <w:rPr>
          <w:rFonts w:ascii="Times New Roman" w:hAnsi="Times New Roman"/>
          <w:sz w:val="24"/>
          <w:szCs w:val="24"/>
        </w:rPr>
        <w:t>Capability refers to the attributes and skills that play a significant part in determining whether or not fraud will occur in the face of pressure, opportunity, and rationalization. Numerous frauds, particularly some of the multibillion-dollar financial statement frauds, would not have transpired without the proper person with the right skills to carry out the fraud's specifics. Opportunity opens the door, and incentive and reasoning pull the potential fraudster to the open doorway, but the individual must also be able to go through it.</w:t>
      </w:r>
    </w:p>
    <w:p w14:paraId="56237C15" w14:textId="080E098A" w:rsidR="00DC2851" w:rsidRPr="008B1465" w:rsidRDefault="00DC2851" w:rsidP="00723F16">
      <w:pPr>
        <w:pStyle w:val="Heading5"/>
        <w:numPr>
          <w:ilvl w:val="0"/>
          <w:numId w:val="0"/>
        </w:numPr>
        <w:spacing w:before="100" w:line="360" w:lineRule="auto"/>
        <w:ind w:left="1008" w:hanging="1008"/>
        <w:rPr>
          <w:rFonts w:ascii="Times New Roman" w:hAnsi="Times New Roman" w:cs="Times New Roman"/>
          <w:b/>
          <w:bCs/>
          <w:color w:val="auto"/>
          <w:sz w:val="24"/>
          <w:szCs w:val="24"/>
        </w:rPr>
      </w:pPr>
      <w:r w:rsidRPr="008B1465">
        <w:rPr>
          <w:rFonts w:ascii="Times New Roman" w:hAnsi="Times New Roman" w:cs="Times New Roman"/>
          <w:b/>
          <w:bCs/>
          <w:color w:val="auto"/>
          <w:sz w:val="24"/>
          <w:szCs w:val="24"/>
        </w:rPr>
        <w:t>Opportunity</w:t>
      </w:r>
    </w:p>
    <w:p w14:paraId="291AB0AD" w14:textId="77777777" w:rsidR="00723F16" w:rsidRPr="008B1465" w:rsidRDefault="00DC2851" w:rsidP="00723F16">
      <w:pPr>
        <w:spacing w:after="0" w:line="360" w:lineRule="auto"/>
        <w:jc w:val="both"/>
        <w:rPr>
          <w:rFonts w:ascii="Times New Roman" w:hAnsi="Times New Roman"/>
          <w:sz w:val="24"/>
          <w:szCs w:val="24"/>
        </w:rPr>
      </w:pPr>
      <w:r w:rsidRPr="008B1465">
        <w:rPr>
          <w:rFonts w:ascii="Times New Roman" w:hAnsi="Times New Roman"/>
          <w:sz w:val="24"/>
          <w:szCs w:val="24"/>
        </w:rPr>
        <w:t>The ability to conduct fraud is defined as opportunity. The culprit feels that he or she can plan and carry out fraudulent conduct without being detected. It should be noted that the perpetrator must see the opportunity as real, implying that the opportunity is not implicitly real. According to fraud studies, opportunity is offered by the position and authority of persons within the firm. A position at the top of the corporation confers authority and capacity.</w:t>
      </w:r>
    </w:p>
    <w:p w14:paraId="2B7B11D7" w14:textId="5D97F18E" w:rsidR="00DC2851" w:rsidRPr="008B1465" w:rsidRDefault="00DC2851" w:rsidP="00723F16">
      <w:pPr>
        <w:spacing w:after="0" w:line="360" w:lineRule="auto"/>
        <w:jc w:val="both"/>
        <w:rPr>
          <w:rFonts w:ascii="Times New Roman" w:hAnsi="Times New Roman"/>
          <w:sz w:val="24"/>
          <w:szCs w:val="24"/>
        </w:rPr>
      </w:pPr>
      <w:r w:rsidRPr="008B1465">
        <w:rPr>
          <w:rFonts w:ascii="Times New Roman" w:hAnsi="Times New Roman"/>
          <w:b/>
          <w:bCs/>
          <w:sz w:val="24"/>
          <w:szCs w:val="24"/>
        </w:rPr>
        <w:t>Rationalization</w:t>
      </w:r>
    </w:p>
    <w:p w14:paraId="554449A0" w14:textId="3F317D4F" w:rsidR="00DC2851" w:rsidRPr="008B1465" w:rsidRDefault="00DC2851" w:rsidP="00DC2851">
      <w:pPr>
        <w:spacing w:after="0" w:line="360" w:lineRule="auto"/>
        <w:jc w:val="both"/>
        <w:rPr>
          <w:rFonts w:ascii="Times New Roman" w:hAnsi="Times New Roman"/>
          <w:sz w:val="24"/>
          <w:szCs w:val="24"/>
        </w:rPr>
      </w:pPr>
      <w:r w:rsidRPr="008B1465">
        <w:rPr>
          <w:rFonts w:ascii="Times New Roman" w:hAnsi="Times New Roman"/>
          <w:sz w:val="24"/>
          <w:szCs w:val="24"/>
        </w:rPr>
        <w:t>Rationalization is the process of justifying the fraud</w:t>
      </w:r>
      <w:r w:rsidR="00DA5CE1">
        <w:rPr>
          <w:rFonts w:ascii="Times New Roman" w:hAnsi="Times New Roman"/>
          <w:sz w:val="24"/>
          <w:szCs w:val="24"/>
        </w:rPr>
        <w:t>, b</w:t>
      </w:r>
      <w:r w:rsidRPr="008B1465">
        <w:rPr>
          <w:rFonts w:ascii="Times New Roman" w:hAnsi="Times New Roman"/>
          <w:sz w:val="24"/>
          <w:szCs w:val="24"/>
        </w:rPr>
        <w:t>ecause many fraudsters consider themselves to be honest, ordinary individuals rather than criminals, they must devise some logic to justify their actions. The following are some examples of typical rationalization statements: I'll just take this money now and pay it back later; I was entitled to it; no one will notice; and after all these years with this company, I deserve it. Some people also justify their dishonest activities by redefining wrongdoing to exclude their actions.</w:t>
      </w:r>
    </w:p>
    <w:p w14:paraId="37C961CE" w14:textId="42AE29D6" w:rsidR="00DC2851" w:rsidRPr="008B1465" w:rsidRDefault="00DC2851" w:rsidP="00723F16">
      <w:pPr>
        <w:pStyle w:val="Heading5"/>
        <w:numPr>
          <w:ilvl w:val="0"/>
          <w:numId w:val="0"/>
        </w:numPr>
        <w:spacing w:before="100" w:line="360" w:lineRule="auto"/>
        <w:rPr>
          <w:rFonts w:ascii="Times New Roman" w:hAnsi="Times New Roman" w:cs="Times New Roman"/>
          <w:b/>
          <w:bCs/>
          <w:color w:val="auto"/>
          <w:sz w:val="24"/>
          <w:szCs w:val="24"/>
        </w:rPr>
      </w:pPr>
      <w:r w:rsidRPr="008B1465">
        <w:rPr>
          <w:rFonts w:ascii="Times New Roman" w:hAnsi="Times New Roman" w:cs="Times New Roman"/>
          <w:b/>
          <w:bCs/>
          <w:color w:val="auto"/>
          <w:sz w:val="24"/>
          <w:szCs w:val="24"/>
        </w:rPr>
        <w:t>Ego</w:t>
      </w:r>
    </w:p>
    <w:p w14:paraId="43B9FE24" w14:textId="651E53DA" w:rsidR="00DC2851" w:rsidRPr="008B1465" w:rsidRDefault="00DC2851" w:rsidP="00DC2851">
      <w:pPr>
        <w:spacing w:after="0" w:line="360" w:lineRule="auto"/>
        <w:jc w:val="both"/>
        <w:rPr>
          <w:rFonts w:ascii="Times New Roman" w:hAnsi="Times New Roman"/>
          <w:sz w:val="24"/>
          <w:szCs w:val="24"/>
        </w:rPr>
      </w:pPr>
      <w:r w:rsidRPr="008B1465">
        <w:rPr>
          <w:rFonts w:ascii="Times New Roman" w:hAnsi="Times New Roman"/>
          <w:sz w:val="24"/>
          <w:szCs w:val="24"/>
        </w:rPr>
        <w:t>Theories rooted in psychology hold that criminal behavior is the result of mental processes. Sigmund Freud's (1923) psychoanalytic concepts, in particular, focus on early childhood development and unconscious motivations, that is, reasons that the offender is unaware of. Human personality is divided into three parts, according to Freud: the id (the urge for food, sex, and other life-sustaining items), the super-ego (the conscience that arises when taught values become incorporated into a person's conduct), and the ego (the product of the interaction between what a person wants and what his conscience will allow him to do to achieve what he wants). The ego, according to Freud, is the portion of the psyche that helps us interact with reality by moderating the demands of the id, super</w:t>
      </w:r>
      <w:r w:rsidR="00DA5CE1">
        <w:rPr>
          <w:rFonts w:ascii="Times New Roman" w:hAnsi="Times New Roman"/>
          <w:sz w:val="24"/>
          <w:szCs w:val="24"/>
        </w:rPr>
        <w:t>-</w:t>
      </w:r>
      <w:r w:rsidRPr="008B1465">
        <w:rPr>
          <w:rFonts w:ascii="Times New Roman" w:hAnsi="Times New Roman"/>
          <w:sz w:val="24"/>
          <w:szCs w:val="24"/>
        </w:rPr>
        <w:t>ego, and environment. The ego keeps us from acting on every id-produced urge and from being so ethically driven that we can't operate properly.</w:t>
      </w:r>
    </w:p>
    <w:p w14:paraId="376E5AF2" w14:textId="2E66DF35" w:rsidR="00B62246" w:rsidRPr="008B1465" w:rsidRDefault="00DC2851" w:rsidP="00DC2851">
      <w:pPr>
        <w:spacing w:after="0" w:line="360" w:lineRule="auto"/>
        <w:jc w:val="both"/>
        <w:rPr>
          <w:rFonts w:ascii="Times New Roman" w:hAnsi="Times New Roman"/>
          <w:sz w:val="24"/>
          <w:szCs w:val="24"/>
        </w:rPr>
      </w:pPr>
      <w:r w:rsidRPr="008B1465">
        <w:rPr>
          <w:rFonts w:ascii="Times New Roman" w:hAnsi="Times New Roman"/>
          <w:sz w:val="24"/>
          <w:szCs w:val="24"/>
        </w:rPr>
        <w:t>Stotland (1977)</w:t>
      </w:r>
      <w:r w:rsidR="00B62246" w:rsidRPr="008B1465">
        <w:rPr>
          <w:rFonts w:ascii="Times New Roman" w:hAnsi="Times New Roman"/>
          <w:sz w:val="24"/>
          <w:szCs w:val="24"/>
        </w:rPr>
        <w:t>,</w:t>
      </w:r>
      <w:r w:rsidR="00060083" w:rsidRPr="008B1465">
        <w:rPr>
          <w:rFonts w:ascii="Times New Roman" w:hAnsi="Times New Roman"/>
          <w:sz w:val="24"/>
          <w:szCs w:val="24"/>
        </w:rPr>
        <w:t xml:space="preserve"> affirmed that </w:t>
      </w:r>
      <w:r w:rsidRPr="008B1465">
        <w:rPr>
          <w:rFonts w:ascii="Times New Roman" w:hAnsi="Times New Roman"/>
          <w:sz w:val="24"/>
          <w:szCs w:val="24"/>
        </w:rPr>
        <w:t>one of the primary motives for committing white-collar crimes (economic violations perpetrated through some combination of fraud, deception, or collaboration)</w:t>
      </w:r>
      <w:r w:rsidR="0040099B">
        <w:rPr>
          <w:rFonts w:ascii="Times New Roman" w:hAnsi="Times New Roman"/>
          <w:sz w:val="24"/>
          <w:szCs w:val="24"/>
        </w:rPr>
        <w:t>.</w:t>
      </w:r>
      <w:r w:rsidRPr="008B1465">
        <w:rPr>
          <w:rFonts w:ascii="Times New Roman" w:hAnsi="Times New Roman"/>
          <w:sz w:val="24"/>
          <w:szCs w:val="24"/>
        </w:rPr>
        <w:t xml:space="preserve"> Weisburd and Waring (2001) appears to be a sense of superiority, mastery, and adoration of others. So, in terms of ego, he states that, as fraudsters became successful at one crime, they began to take secondary pleasure in the fact that they were tricking the world and demonstrating their superiority over others. In addition to financial pressure, Duffield and Grabosky (2001) identify ego as a motivational factor that may apply to some or all types of fraud. This is applicable to power over both people and situations. Regarding the former, the feeling of control over another individual or individuals appears to be a powerful motivator for some fraud offenders, to the point where it becomes an objective in itself.</w:t>
      </w:r>
    </w:p>
    <w:p w14:paraId="275EE85A" w14:textId="05C6916F" w:rsidR="00DC2851" w:rsidRPr="008B1465" w:rsidRDefault="00DC2851" w:rsidP="00DC2851">
      <w:pPr>
        <w:spacing w:after="0" w:line="360" w:lineRule="auto"/>
        <w:jc w:val="both"/>
        <w:rPr>
          <w:rFonts w:ascii="Times New Roman" w:hAnsi="Times New Roman"/>
          <w:sz w:val="24"/>
          <w:szCs w:val="24"/>
        </w:rPr>
      </w:pPr>
      <w:r w:rsidRPr="008B1465">
        <w:rPr>
          <w:rFonts w:ascii="Times New Roman" w:hAnsi="Times New Roman"/>
          <w:sz w:val="24"/>
          <w:szCs w:val="24"/>
        </w:rPr>
        <w:t>Allan (2003),</w:t>
      </w:r>
      <w:r w:rsidR="00B62246" w:rsidRPr="008B1465">
        <w:rPr>
          <w:rFonts w:ascii="Times New Roman" w:hAnsi="Times New Roman"/>
          <w:sz w:val="24"/>
          <w:szCs w:val="24"/>
        </w:rPr>
        <w:t xml:space="preserve"> concluded that</w:t>
      </w:r>
      <w:r w:rsidRPr="008B1465">
        <w:rPr>
          <w:rFonts w:ascii="Times New Roman" w:hAnsi="Times New Roman"/>
          <w:sz w:val="24"/>
          <w:szCs w:val="24"/>
        </w:rPr>
        <w:t xml:space="preserve"> one of the most prevalent personality types among fraudsters is the "egotist," who is ambitious, self-absorbed, self-confident, and frequently narcissistic. A narcissistic personality disorder, according to the "Diagnostic and Statistical Manual of Mental Disorders" is characterized by a persistent pattern of grandiosity, a high desire for praise, and a lack of empathy for others. People with this illness have inflated perceptions of their accomplishments and abilities and believe they are superior or exceptional. As previously demonstrated, the MICE model proposed by Kranacher </w:t>
      </w:r>
      <w:r w:rsidR="00576E27" w:rsidRPr="008B1465">
        <w:rPr>
          <w:rFonts w:ascii="Times New Roman" w:hAnsi="Times New Roman"/>
          <w:i/>
          <w:iCs/>
          <w:sz w:val="24"/>
          <w:szCs w:val="24"/>
        </w:rPr>
        <w:t>et al</w:t>
      </w:r>
      <w:r w:rsidRPr="008B1465">
        <w:rPr>
          <w:rFonts w:ascii="Times New Roman" w:hAnsi="Times New Roman"/>
          <w:sz w:val="24"/>
          <w:szCs w:val="24"/>
        </w:rPr>
        <w:t>., (2010) emphasized the importance of ego as a primary motivation for committing fraud.</w:t>
      </w:r>
    </w:p>
    <w:p w14:paraId="7F0496E3" w14:textId="474B32C8" w:rsidR="00DC2851" w:rsidRPr="008B1465" w:rsidRDefault="00DC2851" w:rsidP="00DC2851">
      <w:pPr>
        <w:spacing w:after="0" w:line="360" w:lineRule="auto"/>
        <w:jc w:val="both"/>
        <w:rPr>
          <w:rFonts w:ascii="Times New Roman" w:hAnsi="Times New Roman"/>
          <w:sz w:val="24"/>
          <w:szCs w:val="24"/>
        </w:rPr>
      </w:pPr>
      <w:r w:rsidRPr="008B1465">
        <w:rPr>
          <w:rFonts w:ascii="Times New Roman" w:hAnsi="Times New Roman"/>
          <w:sz w:val="24"/>
          <w:szCs w:val="24"/>
        </w:rPr>
        <w:t>Geis (2011)</w:t>
      </w:r>
      <w:r w:rsidR="005D655F">
        <w:rPr>
          <w:rFonts w:ascii="Times New Roman" w:hAnsi="Times New Roman"/>
          <w:sz w:val="24"/>
          <w:szCs w:val="24"/>
        </w:rPr>
        <w:t>,</w:t>
      </w:r>
      <w:r w:rsidRPr="008B1465">
        <w:rPr>
          <w:rFonts w:ascii="Times New Roman" w:hAnsi="Times New Roman"/>
          <w:sz w:val="24"/>
          <w:szCs w:val="24"/>
        </w:rPr>
        <w:t xml:space="preserve"> propose</w:t>
      </w:r>
      <w:r w:rsidR="00B62246" w:rsidRPr="008B1465">
        <w:rPr>
          <w:rFonts w:ascii="Times New Roman" w:hAnsi="Times New Roman"/>
          <w:sz w:val="24"/>
          <w:szCs w:val="24"/>
        </w:rPr>
        <w:t xml:space="preserve">d </w:t>
      </w:r>
      <w:r w:rsidRPr="008B1465">
        <w:rPr>
          <w:rFonts w:ascii="Times New Roman" w:hAnsi="Times New Roman"/>
          <w:sz w:val="24"/>
          <w:szCs w:val="24"/>
        </w:rPr>
        <w:t xml:space="preserve">that a combination of variables forces certain individuals to engage in fraud. Personality, which refers to the characteristics that distinguish each individual, is one of the most influential variables. The author asserts that certain people are more ethical by nature than others. According to Geis, a person who is naturally arrogant or entitled is more prone to perpetrate fraud than someone who is more submissive. As noted by the authorizing body, the sense of entitlement and the desire for power/ego are among the most prevalent causes of fraud. </w:t>
      </w:r>
    </w:p>
    <w:p w14:paraId="12983FF9" w14:textId="533D262A" w:rsidR="009429B3" w:rsidRPr="008B1465" w:rsidRDefault="00DC2851" w:rsidP="00DC2851">
      <w:pPr>
        <w:spacing w:after="0" w:line="360" w:lineRule="auto"/>
        <w:jc w:val="both"/>
        <w:rPr>
          <w:rFonts w:ascii="Times New Roman" w:hAnsi="Times New Roman"/>
          <w:sz w:val="24"/>
          <w:szCs w:val="24"/>
        </w:rPr>
      </w:pPr>
      <w:r w:rsidRPr="008B1465">
        <w:rPr>
          <w:rFonts w:ascii="Times New Roman" w:hAnsi="Times New Roman"/>
          <w:sz w:val="24"/>
          <w:szCs w:val="24"/>
        </w:rPr>
        <w:t>Pedneault</w:t>
      </w:r>
      <w:r w:rsidR="005905D2" w:rsidRPr="008B1465">
        <w:rPr>
          <w:rFonts w:ascii="Times New Roman" w:hAnsi="Times New Roman"/>
          <w:sz w:val="24"/>
          <w:szCs w:val="24"/>
        </w:rPr>
        <w:t>, Harris and Knight</w:t>
      </w:r>
      <w:r w:rsidRPr="008B1465">
        <w:rPr>
          <w:rFonts w:ascii="Times New Roman" w:hAnsi="Times New Roman"/>
          <w:sz w:val="24"/>
          <w:szCs w:val="24"/>
        </w:rPr>
        <w:t xml:space="preserve"> (2012), </w:t>
      </w:r>
      <w:r w:rsidR="006727D1" w:rsidRPr="008B1465">
        <w:rPr>
          <w:rFonts w:ascii="Times New Roman" w:hAnsi="Times New Roman"/>
          <w:sz w:val="24"/>
          <w:szCs w:val="24"/>
        </w:rPr>
        <w:t xml:space="preserve">asserted that </w:t>
      </w:r>
      <w:r w:rsidRPr="008B1465">
        <w:rPr>
          <w:rFonts w:ascii="Times New Roman" w:hAnsi="Times New Roman"/>
          <w:sz w:val="24"/>
          <w:szCs w:val="24"/>
        </w:rPr>
        <w:t>in order to</w:t>
      </w:r>
      <w:r w:rsidR="006F3145" w:rsidRPr="008B1465">
        <w:rPr>
          <w:rFonts w:ascii="Times New Roman" w:hAnsi="Times New Roman"/>
          <w:sz w:val="24"/>
          <w:szCs w:val="24"/>
        </w:rPr>
        <w:t xml:space="preserve"> </w:t>
      </w:r>
      <w:r w:rsidR="0081789D" w:rsidRPr="008B1465">
        <w:rPr>
          <w:rFonts w:ascii="Times New Roman" w:hAnsi="Times New Roman"/>
          <w:sz w:val="24"/>
          <w:szCs w:val="24"/>
        </w:rPr>
        <w:t>engage in</w:t>
      </w:r>
      <w:r w:rsidRPr="008B1465">
        <w:rPr>
          <w:rFonts w:ascii="Times New Roman" w:hAnsi="Times New Roman"/>
          <w:sz w:val="24"/>
          <w:szCs w:val="24"/>
        </w:rPr>
        <w:t xml:space="preserve"> fraud, an </w:t>
      </w:r>
      <w:r w:rsidR="002A07B4" w:rsidRPr="008B1465">
        <w:rPr>
          <w:rFonts w:ascii="Times New Roman" w:hAnsi="Times New Roman"/>
          <w:sz w:val="24"/>
          <w:szCs w:val="24"/>
        </w:rPr>
        <w:t>individual need</w:t>
      </w:r>
      <w:r w:rsidRPr="008B1465">
        <w:rPr>
          <w:rFonts w:ascii="Times New Roman" w:hAnsi="Times New Roman"/>
          <w:sz w:val="24"/>
          <w:szCs w:val="24"/>
        </w:rPr>
        <w:t xml:space="preserve"> to have a strong ego and a considerable deal of faith that he would not be caught. Several of the most serious white-collar crimes in modern recorded history have also been linked to a common thread of egoism. Russell Wasendorf, founder of the now-defunct Iowa commodity brokerage Peregrine Financial Group, is one of the few corporate fraudsters who acknowledge the role of ego in his crimes. The confession appears in a 2012 suicide letter made by Wasendorf. "I suppose my ego was too large to admit defeat. “Therefore, I cheated," the note stated. Wasendorf manufactured fake bank statements for nearly two decades, delivered them to a post office box he controlled, and then presented them to regulators as evidence that his company was financially stable. Throughout this time, however, he stole millions of dollars in consumer payments, and his fraud amounted to $200 million. Robert Allen Stanford's $7bn global Ponzi scheme, which involved the company bearing his name, Stanford Financial Group, was one of the greatest financial scams in history. His inflated ego was partly responsible for the deception. </w:t>
      </w:r>
    </w:p>
    <w:p w14:paraId="7EA8FA97" w14:textId="6DDC065A" w:rsidR="00DC2851" w:rsidRPr="008B1465" w:rsidRDefault="009B141E" w:rsidP="00DC2851">
      <w:pPr>
        <w:spacing w:after="0" w:line="360" w:lineRule="auto"/>
        <w:jc w:val="both"/>
        <w:rPr>
          <w:rFonts w:ascii="Times New Roman" w:hAnsi="Times New Roman"/>
          <w:sz w:val="24"/>
          <w:szCs w:val="24"/>
        </w:rPr>
      </w:pPr>
      <w:r w:rsidRPr="008B1465">
        <w:rPr>
          <w:rFonts w:ascii="Times New Roman" w:hAnsi="Times New Roman"/>
          <w:noProof/>
          <w:sz w:val="24"/>
          <w:szCs w:val="24"/>
        </w:rPr>
        <mc:AlternateContent>
          <mc:Choice Requires="wpg">
            <w:drawing>
              <wp:anchor distT="0" distB="0" distL="114300" distR="114300" simplePos="0" relativeHeight="251698688" behindDoc="0" locked="0" layoutInCell="1" allowOverlap="1" wp14:anchorId="388E6A9E" wp14:editId="5B5B49EC">
                <wp:simplePos x="0" y="0"/>
                <wp:positionH relativeFrom="margin">
                  <wp:posOffset>628650</wp:posOffset>
                </wp:positionH>
                <wp:positionV relativeFrom="paragraph">
                  <wp:posOffset>2710180</wp:posOffset>
                </wp:positionV>
                <wp:extent cx="4554220" cy="2200910"/>
                <wp:effectExtent l="0" t="0" r="17780" b="27940"/>
                <wp:wrapNone/>
                <wp:docPr id="7" name="Group 9"/>
                <wp:cNvGraphicFramePr/>
                <a:graphic xmlns:a="http://schemas.openxmlformats.org/drawingml/2006/main">
                  <a:graphicData uri="http://schemas.microsoft.com/office/word/2010/wordprocessingGroup">
                    <wpg:wgp>
                      <wpg:cNvGrpSpPr/>
                      <wpg:grpSpPr>
                        <a:xfrm>
                          <a:off x="0" y="0"/>
                          <a:ext cx="4554220" cy="2200910"/>
                          <a:chOff x="31750" y="231804"/>
                          <a:chExt cx="4554220" cy="2296184"/>
                        </a:xfrm>
                      </wpg:grpSpPr>
                      <wps:wsp>
                        <wps:cNvPr id="8" name="Pentagon 8"/>
                        <wps:cNvSpPr/>
                        <wps:spPr>
                          <a:xfrm>
                            <a:off x="1393136" y="628648"/>
                            <a:ext cx="1971258" cy="1562101"/>
                          </a:xfrm>
                          <a:prstGeom prst="pentagon">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4" name="Rectangle 24"/>
                        <wps:cNvSpPr/>
                        <wps:spPr>
                          <a:xfrm>
                            <a:off x="1841369" y="231804"/>
                            <a:ext cx="1124081" cy="361216"/>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0710319" w14:textId="77777777" w:rsidR="00FE7438" w:rsidRDefault="00FE7438" w:rsidP="009B141E">
                              <w:pPr>
                                <w:jc w:val="center"/>
                                <w:rPr>
                                  <w:sz w:val="24"/>
                                  <w:szCs w:val="24"/>
                                </w:rPr>
                              </w:pPr>
                              <w:r>
                                <w:rPr>
                                  <w:b/>
                                  <w:bCs/>
                                  <w:color w:val="000000" w:themeColor="text1"/>
                                  <w:kern w:val="24"/>
                                  <w:sz w:val="36"/>
                                  <w:szCs w:val="36"/>
                                </w:rPr>
                                <w:t>Stimulus</w:t>
                              </w:r>
                            </w:p>
                          </w:txbxContent>
                        </wps:txbx>
                        <wps:bodyPr rtlCol="0" anchor="ctr"/>
                      </wps:wsp>
                      <wps:wsp>
                        <wps:cNvPr id="32" name="Rectangle 32"/>
                        <wps:cNvSpPr/>
                        <wps:spPr>
                          <a:xfrm>
                            <a:off x="209584" y="1021044"/>
                            <a:ext cx="1120052" cy="402004"/>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A90A55C" w14:textId="77777777" w:rsidR="00FE7438" w:rsidRDefault="00FE7438" w:rsidP="009B141E">
                              <w:pPr>
                                <w:jc w:val="center"/>
                                <w:rPr>
                                  <w:sz w:val="24"/>
                                  <w:szCs w:val="24"/>
                                </w:rPr>
                              </w:pPr>
                              <w:r>
                                <w:rPr>
                                  <w:b/>
                                  <w:bCs/>
                                  <w:color w:val="000000" w:themeColor="text1"/>
                                  <w:kern w:val="24"/>
                                  <w:sz w:val="36"/>
                                  <w:szCs w:val="36"/>
                                </w:rPr>
                                <w:t>Capacity</w:t>
                              </w:r>
                            </w:p>
                          </w:txbxContent>
                        </wps:txbx>
                        <wps:bodyPr rtlCol="0" anchor="ctr"/>
                      </wps:wsp>
                      <wps:wsp>
                        <wps:cNvPr id="36" name="Rectangle 36"/>
                        <wps:cNvSpPr/>
                        <wps:spPr>
                          <a:xfrm>
                            <a:off x="3485044" y="1040919"/>
                            <a:ext cx="890262" cy="36177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39B9697" w14:textId="77777777" w:rsidR="00FE7438" w:rsidRDefault="00FE7438" w:rsidP="009B141E">
                              <w:pPr>
                                <w:jc w:val="center"/>
                                <w:rPr>
                                  <w:sz w:val="24"/>
                                  <w:szCs w:val="24"/>
                                </w:rPr>
                              </w:pPr>
                              <w:r>
                                <w:rPr>
                                  <w:b/>
                                  <w:bCs/>
                                  <w:color w:val="000000" w:themeColor="text1"/>
                                  <w:kern w:val="24"/>
                                  <w:sz w:val="36"/>
                                  <w:szCs w:val="36"/>
                                </w:rPr>
                                <w:t>Ego</w:t>
                              </w:r>
                            </w:p>
                          </w:txbxContent>
                        </wps:txbx>
                        <wps:bodyPr rtlCol="0" anchor="ctr"/>
                      </wps:wsp>
                      <wps:wsp>
                        <wps:cNvPr id="43" name="Rectangle 43"/>
                        <wps:cNvSpPr/>
                        <wps:spPr>
                          <a:xfrm>
                            <a:off x="3054350" y="2124499"/>
                            <a:ext cx="1531620" cy="403489"/>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4254358" w14:textId="77777777" w:rsidR="00FE7438" w:rsidRDefault="00FE7438" w:rsidP="009B141E">
                              <w:pPr>
                                <w:jc w:val="center"/>
                                <w:rPr>
                                  <w:sz w:val="24"/>
                                  <w:szCs w:val="24"/>
                                </w:rPr>
                              </w:pPr>
                              <w:r>
                                <w:rPr>
                                  <w:b/>
                                  <w:bCs/>
                                  <w:color w:val="000000" w:themeColor="text1"/>
                                  <w:kern w:val="24"/>
                                  <w:sz w:val="36"/>
                                  <w:szCs w:val="36"/>
                                </w:rPr>
                                <w:t>Opportunity</w:t>
                              </w:r>
                            </w:p>
                          </w:txbxContent>
                        </wps:txbx>
                        <wps:bodyPr rtlCol="0" anchor="ctr"/>
                      </wps:wsp>
                      <wps:wsp>
                        <wps:cNvPr id="44" name="Rectangle 44"/>
                        <wps:cNvSpPr/>
                        <wps:spPr>
                          <a:xfrm>
                            <a:off x="31750" y="2066667"/>
                            <a:ext cx="1631632" cy="386102"/>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E17E042" w14:textId="77777777" w:rsidR="00FE7438" w:rsidRDefault="00FE7438" w:rsidP="009B141E">
                              <w:pPr>
                                <w:jc w:val="center"/>
                                <w:rPr>
                                  <w:sz w:val="24"/>
                                  <w:szCs w:val="24"/>
                                </w:rPr>
                              </w:pPr>
                              <w:r>
                                <w:rPr>
                                  <w:b/>
                                  <w:bCs/>
                                  <w:color w:val="000000" w:themeColor="text1"/>
                                  <w:kern w:val="24"/>
                                  <w:sz w:val="36"/>
                                  <w:szCs w:val="36"/>
                                </w:rPr>
                                <w:t>Rationalization</w:t>
                              </w:r>
                            </w:p>
                          </w:txbxContent>
                        </wps:txbx>
                        <wps:bodyPr rtlCol="0" anchor="ctr"/>
                      </wps:wsp>
                    </wpg:wg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88E6A9E" id="Group 9" o:spid="_x0000_s1203" style="position:absolute;left:0;text-align:left;margin-left:49.5pt;margin-top:213.4pt;width:358.6pt;height:173.3pt;z-index:251698688;mso-position-horizontal-relative:margin;mso-width-relative:margin;mso-height-relative:margin" coordorigin="317,2318" coordsize="45542,229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">
                <v:shapetype id="_x0000_t56" coordsize="21600,21600" o:spt="56" path="m10800,l,8259,4200,21600r13200,l21600,8259xe">
                  <v:stroke joinstyle="miter"/>
                  <v:path gradientshapeok="t" o:connecttype="custom" o:connectlocs="10800,0;0,8259;4200,21600;10800,21600;17400,21600;21600,8259" o:connectangles="270,180,90,90,90,0" textboxrect="4200,5077,17400,21600"/>
                </v:shapetype>
                <v:shape id="Pentagon 8" o:spid="_x0000_s1204" type="#_x0000_t56" style="position:absolute;left:13931;top:6286;width:19712;height:156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" filled="f" strokecolor="black [3213]" strokeweight="1pt"/>
                <v:rect id="Rectangle 24" o:spid="_x0000_s1205" style="position:absolute;left:18413;top:2318;width:11241;height:36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" filled="f" strokecolor="black [3213]" strokeweight="1pt">
                  <v:textbox>
                    <w:txbxContent>
                      <w:p w14:paraId="20710319" w14:textId="77777777" w:rsidR="00FE7438" w:rsidRDefault="00FE7438" w:rsidP="009B141E">
                        <w:pPr>
                          <w:jc w:val="center"/>
                          <w:rPr>
                            <w:sz w:val="24"/>
                            <w:szCs w:val="24"/>
                          </w:rPr>
                        </w:pPr>
                        <w:r>
                          <w:rPr>
                            <w:b/>
                            <w:bCs/>
                            <w:color w:val="000000" w:themeColor="text1"/>
                            <w:kern w:val="24"/>
                            <w:sz w:val="36"/>
                            <w:szCs w:val="36"/>
                          </w:rPr>
                          <w:t>Stimulus</w:t>
                        </w:r>
                      </w:p>
                    </w:txbxContent>
                  </v:textbox>
                </v:rect>
                <v:rect id="Rectangle 32" o:spid="_x0000_s1206" style="position:absolute;left:2095;top:10210;width:11201;height:40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" filled="f" strokecolor="black [3213]" strokeweight="1pt">
                  <v:textbox>
                    <w:txbxContent>
                      <w:p w14:paraId="2A90A55C" w14:textId="77777777" w:rsidR="00FE7438" w:rsidRDefault="00FE7438" w:rsidP="009B141E">
                        <w:pPr>
                          <w:jc w:val="center"/>
                          <w:rPr>
                            <w:sz w:val="24"/>
                            <w:szCs w:val="24"/>
                          </w:rPr>
                        </w:pPr>
                        <w:r>
                          <w:rPr>
                            <w:b/>
                            <w:bCs/>
                            <w:color w:val="000000" w:themeColor="text1"/>
                            <w:kern w:val="24"/>
                            <w:sz w:val="36"/>
                            <w:szCs w:val="36"/>
                          </w:rPr>
                          <w:t>Capacity</w:t>
                        </w:r>
                      </w:p>
                    </w:txbxContent>
                  </v:textbox>
                </v:rect>
                <v:rect id="Rectangle 36" o:spid="_x0000_s1207" style="position:absolute;left:34850;top:10409;width:8903;height:36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" filled="f" strokecolor="black [3213]" strokeweight="1pt">
                  <v:textbox>
                    <w:txbxContent>
                      <w:p w14:paraId="339B9697" w14:textId="77777777" w:rsidR="00FE7438" w:rsidRDefault="00FE7438" w:rsidP="009B141E">
                        <w:pPr>
                          <w:jc w:val="center"/>
                          <w:rPr>
                            <w:sz w:val="24"/>
                            <w:szCs w:val="24"/>
                          </w:rPr>
                        </w:pPr>
                        <w:r>
                          <w:rPr>
                            <w:b/>
                            <w:bCs/>
                            <w:color w:val="000000" w:themeColor="text1"/>
                            <w:kern w:val="24"/>
                            <w:sz w:val="36"/>
                            <w:szCs w:val="36"/>
                          </w:rPr>
                          <w:t>Ego</w:t>
                        </w:r>
                      </w:p>
                    </w:txbxContent>
                  </v:textbox>
                </v:rect>
                <v:rect id="Rectangle 43" o:spid="_x0000_s1208" style="position:absolute;left:30543;top:21244;width:15316;height:40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" filled="f" strokecolor="black [3213]" strokeweight="1pt">
                  <v:textbox>
                    <w:txbxContent>
                      <w:p w14:paraId="04254358" w14:textId="77777777" w:rsidR="00FE7438" w:rsidRDefault="00FE7438" w:rsidP="009B141E">
                        <w:pPr>
                          <w:jc w:val="center"/>
                          <w:rPr>
                            <w:sz w:val="24"/>
                            <w:szCs w:val="24"/>
                          </w:rPr>
                        </w:pPr>
                        <w:r>
                          <w:rPr>
                            <w:b/>
                            <w:bCs/>
                            <w:color w:val="000000" w:themeColor="text1"/>
                            <w:kern w:val="24"/>
                            <w:sz w:val="36"/>
                            <w:szCs w:val="36"/>
                          </w:rPr>
                          <w:t>Opportunity</w:t>
                        </w:r>
                      </w:p>
                    </w:txbxContent>
                  </v:textbox>
                </v:rect>
                <v:rect id="Rectangle 44" o:spid="_x0000_s1209" style="position:absolute;left:317;top:20666;width:16316;height:38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" filled="f" strokecolor="black [3213]" strokeweight="1pt">
                  <v:textbox>
                    <w:txbxContent>
                      <w:p w14:paraId="0E17E042" w14:textId="77777777" w:rsidR="00FE7438" w:rsidRDefault="00FE7438" w:rsidP="009B141E">
                        <w:pPr>
                          <w:jc w:val="center"/>
                          <w:rPr>
                            <w:sz w:val="24"/>
                            <w:szCs w:val="24"/>
                          </w:rPr>
                        </w:pPr>
                        <w:r>
                          <w:rPr>
                            <w:b/>
                            <w:bCs/>
                            <w:color w:val="000000" w:themeColor="text1"/>
                            <w:kern w:val="24"/>
                            <w:sz w:val="36"/>
                            <w:szCs w:val="36"/>
                          </w:rPr>
                          <w:t>Rationalization</w:t>
                        </w:r>
                      </w:p>
                    </w:txbxContent>
                  </v:textbox>
                </v:rect>
                <w10:wrap anchorx="margin"/>
              </v:group>
            </w:pict>
          </mc:Fallback>
        </mc:AlternateContent>
      </w:r>
      <w:r w:rsidR="009429B3" w:rsidRPr="008B1465">
        <w:rPr>
          <w:rFonts w:ascii="Times New Roman" w:hAnsi="Times New Roman"/>
          <w:sz w:val="24"/>
          <w:szCs w:val="24"/>
        </w:rPr>
        <w:t>T</w:t>
      </w:r>
      <w:r w:rsidR="00DC2851" w:rsidRPr="008B1465">
        <w:rPr>
          <w:rFonts w:ascii="Times New Roman" w:hAnsi="Times New Roman"/>
          <w:sz w:val="24"/>
          <w:szCs w:val="24"/>
        </w:rPr>
        <w:t>he most prominent scam in history, Bernie Madoff's $65 billion Ponzi scheme (the greatest financial fraud in United States history), was likewise fueled by ego. "I could not accept the idea that I had failed for the first time in my life," he stated. However, while he notably apologized to his victims, the majority of the statement was about Madoff and how he felt as he prepared to spend the rest of his life in prison. His almost 600-word speech had over 40 instances of "I" or "me". From the preceding, it is evident that the Ego is a crucial factor in deciding why people are motivated to commit fraud, and is therefore a fundamental component of the S.C.O.R.E. model. Even while fraud may begin from one of the five aspects of the model, such as the inflated ego of the CEO or an urgent financial need, etc., all five characteristics must be present in order for fraud to be committed (Figure 2.4).</w:t>
      </w:r>
    </w:p>
    <w:p w14:paraId="33A267AB" w14:textId="223CF522" w:rsidR="00DC2851" w:rsidRPr="008B1465" w:rsidRDefault="00DC2851" w:rsidP="00DC2851">
      <w:pPr>
        <w:spacing w:after="0" w:line="360" w:lineRule="auto"/>
        <w:rPr>
          <w:rFonts w:ascii="Times New Roman" w:hAnsi="Times New Roman"/>
          <w:sz w:val="24"/>
          <w:szCs w:val="24"/>
        </w:rPr>
      </w:pP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p>
    <w:p w14:paraId="786FEBDA" w14:textId="77777777" w:rsidR="00DC2851" w:rsidRPr="008B1465" w:rsidRDefault="00DC2851" w:rsidP="00DC2851">
      <w:pPr>
        <w:spacing w:after="0" w:line="360" w:lineRule="auto"/>
        <w:rPr>
          <w:rFonts w:ascii="Times New Roman" w:hAnsi="Times New Roman"/>
          <w:sz w:val="24"/>
          <w:szCs w:val="24"/>
        </w:rPr>
      </w:pPr>
    </w:p>
    <w:p w14:paraId="78B7F723" w14:textId="0187ADC2" w:rsidR="00DC2851" w:rsidRPr="008B1465" w:rsidRDefault="00DC2851" w:rsidP="00DC2851">
      <w:pPr>
        <w:spacing w:after="0" w:line="360" w:lineRule="auto"/>
        <w:rPr>
          <w:rFonts w:ascii="Times New Roman" w:hAnsi="Times New Roman"/>
          <w:sz w:val="24"/>
          <w:szCs w:val="24"/>
        </w:rPr>
      </w:pPr>
    </w:p>
    <w:p w14:paraId="4490FE1D" w14:textId="307785D2" w:rsidR="00DC2851" w:rsidRPr="008B1465" w:rsidRDefault="009B141E" w:rsidP="00DC2851">
      <w:pPr>
        <w:spacing w:after="0" w:line="360" w:lineRule="auto"/>
        <w:rPr>
          <w:rFonts w:ascii="Times New Roman" w:hAnsi="Times New Roman"/>
          <w:sz w:val="24"/>
          <w:szCs w:val="24"/>
        </w:rPr>
      </w:pPr>
      <w:r w:rsidRPr="008B1465">
        <w:rPr>
          <w:noProof/>
        </w:rPr>
        <mc:AlternateContent>
          <mc:Choice Requires="wps">
            <w:drawing>
              <wp:anchor distT="0" distB="0" distL="114300" distR="114300" simplePos="0" relativeHeight="251684352" behindDoc="0" locked="0" layoutInCell="1" allowOverlap="1" wp14:anchorId="2024DB6D" wp14:editId="07570352">
                <wp:simplePos x="0" y="0"/>
                <wp:positionH relativeFrom="margin">
                  <wp:posOffset>734008</wp:posOffset>
                </wp:positionH>
                <wp:positionV relativeFrom="paragraph">
                  <wp:posOffset>191161</wp:posOffset>
                </wp:positionV>
                <wp:extent cx="5310505" cy="223935"/>
                <wp:effectExtent l="0" t="0" r="4445" b="5080"/>
                <wp:wrapNone/>
                <wp:docPr id="27" name="Text Box 27"/>
                <wp:cNvGraphicFramePr/>
                <a:graphic xmlns:a="http://schemas.openxmlformats.org/drawingml/2006/main">
                  <a:graphicData uri="http://schemas.microsoft.com/office/word/2010/wordprocessingShape">
                    <wps:wsp>
                      <wps:cNvSpPr txBox="1"/>
                      <wps:spPr>
                        <a:xfrm>
                          <a:off x="0" y="0"/>
                          <a:ext cx="5310505" cy="223935"/>
                        </a:xfrm>
                        <a:prstGeom prst="rect">
                          <a:avLst/>
                        </a:prstGeom>
                        <a:solidFill>
                          <a:prstClr val="white"/>
                        </a:solidFill>
                        <a:ln>
                          <a:noFill/>
                        </a:ln>
                      </wps:spPr>
                      <wps:txbx>
                        <w:txbxContent>
                          <w:p w14:paraId="6BF432CD" w14:textId="622BFBD2" w:rsidR="00FE7438" w:rsidRPr="00DD5864" w:rsidRDefault="00FE7438" w:rsidP="00430B02">
                            <w:pPr>
                              <w:pStyle w:val="Caption"/>
                              <w:rPr>
                                <w:rFonts w:ascii="Times New Roman" w:hAnsi="Times New Roman"/>
                                <w:i w:val="0"/>
                                <w:iCs w:val="0"/>
                                <w:noProof/>
                                <w:color w:val="auto"/>
                                <w:sz w:val="24"/>
                                <w:szCs w:val="24"/>
                              </w:rPr>
                            </w:pPr>
                            <w:r>
                              <w:rPr>
                                <w:rFonts w:ascii="Times New Roman" w:hAnsi="Times New Roman"/>
                                <w:i w:val="0"/>
                                <w:iCs w:val="0"/>
                                <w:color w:val="auto"/>
                                <w:sz w:val="24"/>
                                <w:szCs w:val="24"/>
                              </w:rPr>
                              <w:t xml:space="preserve">                                    </w:t>
                            </w:r>
                            <w:bookmarkStart w:id="65" w:name="_Toc145953088"/>
                            <w:r w:rsidRPr="00DD5864">
                              <w:rPr>
                                <w:rFonts w:ascii="Times New Roman" w:hAnsi="Times New Roman"/>
                                <w:i w:val="0"/>
                                <w:iCs w:val="0"/>
                                <w:color w:val="auto"/>
                                <w:sz w:val="24"/>
                                <w:szCs w:val="24"/>
                              </w:rPr>
                              <w:t xml:space="preserve">Figure </w:t>
                            </w:r>
                            <w:r>
                              <w:rPr>
                                <w:rFonts w:ascii="Times New Roman" w:hAnsi="Times New Roman"/>
                                <w:i w:val="0"/>
                                <w:iCs w:val="0"/>
                                <w:color w:val="auto"/>
                                <w:sz w:val="24"/>
                                <w:szCs w:val="24"/>
                              </w:rPr>
                              <w:fldChar w:fldCharType="begin"/>
                            </w:r>
                            <w:r>
                              <w:rPr>
                                <w:rFonts w:ascii="Times New Roman" w:hAnsi="Times New Roman"/>
                                <w:i w:val="0"/>
                                <w:iCs w:val="0"/>
                                <w:color w:val="auto"/>
                                <w:sz w:val="24"/>
                                <w:szCs w:val="24"/>
                              </w:rPr>
                              <w:instrText xml:space="preserve"> STYLEREF 1 \s </w:instrText>
                            </w:r>
                            <w:r>
                              <w:rPr>
                                <w:rFonts w:ascii="Times New Roman" w:hAnsi="Times New Roman"/>
                                <w:i w:val="0"/>
                                <w:iCs w:val="0"/>
                                <w:color w:val="auto"/>
                                <w:sz w:val="24"/>
                                <w:szCs w:val="24"/>
                              </w:rPr>
                              <w:fldChar w:fldCharType="separate"/>
                            </w:r>
                            <w:r>
                              <w:rPr>
                                <w:rFonts w:ascii="Times New Roman" w:hAnsi="Times New Roman"/>
                                <w:i w:val="0"/>
                                <w:iCs w:val="0"/>
                                <w:noProof/>
                                <w:color w:val="auto"/>
                                <w:sz w:val="24"/>
                                <w:szCs w:val="24"/>
                              </w:rPr>
                              <w:t>2</w:t>
                            </w:r>
                            <w:r>
                              <w:rPr>
                                <w:rFonts w:ascii="Times New Roman" w:hAnsi="Times New Roman"/>
                                <w:i w:val="0"/>
                                <w:iCs w:val="0"/>
                                <w:color w:val="auto"/>
                                <w:sz w:val="24"/>
                                <w:szCs w:val="24"/>
                              </w:rPr>
                              <w:fldChar w:fldCharType="end"/>
                            </w:r>
                            <w:r>
                              <w:rPr>
                                <w:rFonts w:ascii="Times New Roman" w:hAnsi="Times New Roman"/>
                                <w:i w:val="0"/>
                                <w:iCs w:val="0"/>
                                <w:color w:val="auto"/>
                                <w:sz w:val="24"/>
                                <w:szCs w:val="24"/>
                              </w:rPr>
                              <w:t>.</w:t>
                            </w:r>
                            <w:r>
                              <w:rPr>
                                <w:rFonts w:ascii="Times New Roman" w:hAnsi="Times New Roman"/>
                                <w:i w:val="0"/>
                                <w:iCs w:val="0"/>
                                <w:color w:val="auto"/>
                                <w:sz w:val="24"/>
                                <w:szCs w:val="24"/>
                              </w:rPr>
                              <w:fldChar w:fldCharType="begin"/>
                            </w:r>
                            <w:r>
                              <w:rPr>
                                <w:rFonts w:ascii="Times New Roman" w:hAnsi="Times New Roman"/>
                                <w:i w:val="0"/>
                                <w:iCs w:val="0"/>
                                <w:color w:val="auto"/>
                                <w:sz w:val="24"/>
                                <w:szCs w:val="24"/>
                              </w:rPr>
                              <w:instrText xml:space="preserve"> SEQ Figure \* ARABIC \s 1 </w:instrText>
                            </w:r>
                            <w:r>
                              <w:rPr>
                                <w:rFonts w:ascii="Times New Roman" w:hAnsi="Times New Roman"/>
                                <w:i w:val="0"/>
                                <w:iCs w:val="0"/>
                                <w:color w:val="auto"/>
                                <w:sz w:val="24"/>
                                <w:szCs w:val="24"/>
                              </w:rPr>
                              <w:fldChar w:fldCharType="separate"/>
                            </w:r>
                            <w:r>
                              <w:rPr>
                                <w:rFonts w:ascii="Times New Roman" w:hAnsi="Times New Roman"/>
                                <w:i w:val="0"/>
                                <w:iCs w:val="0"/>
                                <w:noProof/>
                                <w:color w:val="auto"/>
                                <w:sz w:val="24"/>
                                <w:szCs w:val="24"/>
                              </w:rPr>
                              <w:t>4</w:t>
                            </w:r>
                            <w:r>
                              <w:rPr>
                                <w:rFonts w:ascii="Times New Roman" w:hAnsi="Times New Roman"/>
                                <w:i w:val="0"/>
                                <w:iCs w:val="0"/>
                                <w:color w:val="auto"/>
                                <w:sz w:val="24"/>
                                <w:szCs w:val="24"/>
                              </w:rPr>
                              <w:fldChar w:fldCharType="end"/>
                            </w:r>
                            <w:r w:rsidRPr="00DD5864">
                              <w:rPr>
                                <w:rFonts w:ascii="Times New Roman" w:hAnsi="Times New Roman"/>
                                <w:i w:val="0"/>
                                <w:iCs w:val="0"/>
                                <w:color w:val="auto"/>
                                <w:sz w:val="24"/>
                                <w:szCs w:val="24"/>
                              </w:rPr>
                              <w:t>: The Fraud Pentagon</w:t>
                            </w:r>
                            <w:bookmarkEnd w:id="6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024DB6D" id="Text Box 27" o:spid="_x0000_s1210" type="#_x0000_t202" style="position:absolute;margin-left:57.8pt;margin-top:15.05pt;width:418.15pt;height:17.65pt;z-index:25168435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" stroked="f">
                <v:textbox inset="0,0,0,0">
                  <w:txbxContent>
                    <w:p w14:paraId="6BF432CD" w14:textId="622BFBD2" w:rsidR="00FE7438" w:rsidRPr="00DD5864" w:rsidRDefault="00FE7438" w:rsidP="00430B02">
                      <w:pPr>
                        <w:pStyle w:val="Caption"/>
                        <w:rPr>
                          <w:rFonts w:ascii="Times New Roman" w:hAnsi="Times New Roman"/>
                          <w:i w:val="0"/>
                          <w:iCs w:val="0"/>
                          <w:noProof/>
                          <w:color w:val="auto"/>
                          <w:sz w:val="24"/>
                          <w:szCs w:val="24"/>
                        </w:rPr>
                      </w:pPr>
                      <w:r>
                        <w:rPr>
                          <w:rFonts w:ascii="Times New Roman" w:hAnsi="Times New Roman"/>
                          <w:i w:val="0"/>
                          <w:iCs w:val="0"/>
                          <w:color w:val="auto"/>
                          <w:sz w:val="24"/>
                          <w:szCs w:val="24"/>
                        </w:rPr>
                        <w:t xml:space="preserve">                                    </w:t>
                      </w:r>
                      <w:bookmarkStart w:id="67" w:name="_Toc145953088"/>
                      <w:r w:rsidRPr="00DD5864">
                        <w:rPr>
                          <w:rFonts w:ascii="Times New Roman" w:hAnsi="Times New Roman"/>
                          <w:i w:val="0"/>
                          <w:iCs w:val="0"/>
                          <w:color w:val="auto"/>
                          <w:sz w:val="24"/>
                          <w:szCs w:val="24"/>
                        </w:rPr>
                        <w:t xml:space="preserve">Figure </w:t>
                      </w:r>
                      <w:r>
                        <w:rPr>
                          <w:rFonts w:ascii="Times New Roman" w:hAnsi="Times New Roman"/>
                          <w:i w:val="0"/>
                          <w:iCs w:val="0"/>
                          <w:color w:val="auto"/>
                          <w:sz w:val="24"/>
                          <w:szCs w:val="24"/>
                        </w:rPr>
                        <w:fldChar w:fldCharType="begin"/>
                      </w:r>
                      <w:r>
                        <w:rPr>
                          <w:rFonts w:ascii="Times New Roman" w:hAnsi="Times New Roman"/>
                          <w:i w:val="0"/>
                          <w:iCs w:val="0"/>
                          <w:color w:val="auto"/>
                          <w:sz w:val="24"/>
                          <w:szCs w:val="24"/>
                        </w:rPr>
                        <w:instrText xml:space="preserve"> STYLEREF 1 \s </w:instrText>
                      </w:r>
                      <w:r>
                        <w:rPr>
                          <w:rFonts w:ascii="Times New Roman" w:hAnsi="Times New Roman"/>
                          <w:i w:val="0"/>
                          <w:iCs w:val="0"/>
                          <w:color w:val="auto"/>
                          <w:sz w:val="24"/>
                          <w:szCs w:val="24"/>
                        </w:rPr>
                        <w:fldChar w:fldCharType="separate"/>
                      </w:r>
                      <w:r>
                        <w:rPr>
                          <w:rFonts w:ascii="Times New Roman" w:hAnsi="Times New Roman"/>
                          <w:i w:val="0"/>
                          <w:iCs w:val="0"/>
                          <w:noProof/>
                          <w:color w:val="auto"/>
                          <w:sz w:val="24"/>
                          <w:szCs w:val="24"/>
                        </w:rPr>
                        <w:t>2</w:t>
                      </w:r>
                      <w:r>
                        <w:rPr>
                          <w:rFonts w:ascii="Times New Roman" w:hAnsi="Times New Roman"/>
                          <w:i w:val="0"/>
                          <w:iCs w:val="0"/>
                          <w:color w:val="auto"/>
                          <w:sz w:val="24"/>
                          <w:szCs w:val="24"/>
                        </w:rPr>
                        <w:fldChar w:fldCharType="end"/>
                      </w:r>
                      <w:r>
                        <w:rPr>
                          <w:rFonts w:ascii="Times New Roman" w:hAnsi="Times New Roman"/>
                          <w:i w:val="0"/>
                          <w:iCs w:val="0"/>
                          <w:color w:val="auto"/>
                          <w:sz w:val="24"/>
                          <w:szCs w:val="24"/>
                        </w:rPr>
                        <w:t>.</w:t>
                      </w:r>
                      <w:r>
                        <w:rPr>
                          <w:rFonts w:ascii="Times New Roman" w:hAnsi="Times New Roman"/>
                          <w:i w:val="0"/>
                          <w:iCs w:val="0"/>
                          <w:color w:val="auto"/>
                          <w:sz w:val="24"/>
                          <w:szCs w:val="24"/>
                        </w:rPr>
                        <w:fldChar w:fldCharType="begin"/>
                      </w:r>
                      <w:r>
                        <w:rPr>
                          <w:rFonts w:ascii="Times New Roman" w:hAnsi="Times New Roman"/>
                          <w:i w:val="0"/>
                          <w:iCs w:val="0"/>
                          <w:color w:val="auto"/>
                          <w:sz w:val="24"/>
                          <w:szCs w:val="24"/>
                        </w:rPr>
                        <w:instrText xml:space="preserve"> SEQ Figure \* ARABIC \s 1 </w:instrText>
                      </w:r>
                      <w:r>
                        <w:rPr>
                          <w:rFonts w:ascii="Times New Roman" w:hAnsi="Times New Roman"/>
                          <w:i w:val="0"/>
                          <w:iCs w:val="0"/>
                          <w:color w:val="auto"/>
                          <w:sz w:val="24"/>
                          <w:szCs w:val="24"/>
                        </w:rPr>
                        <w:fldChar w:fldCharType="separate"/>
                      </w:r>
                      <w:r>
                        <w:rPr>
                          <w:rFonts w:ascii="Times New Roman" w:hAnsi="Times New Roman"/>
                          <w:i w:val="0"/>
                          <w:iCs w:val="0"/>
                          <w:noProof/>
                          <w:color w:val="auto"/>
                          <w:sz w:val="24"/>
                          <w:szCs w:val="24"/>
                        </w:rPr>
                        <w:t>4</w:t>
                      </w:r>
                      <w:r>
                        <w:rPr>
                          <w:rFonts w:ascii="Times New Roman" w:hAnsi="Times New Roman"/>
                          <w:i w:val="0"/>
                          <w:iCs w:val="0"/>
                          <w:color w:val="auto"/>
                          <w:sz w:val="24"/>
                          <w:szCs w:val="24"/>
                        </w:rPr>
                        <w:fldChar w:fldCharType="end"/>
                      </w:r>
                      <w:r w:rsidRPr="00DD5864">
                        <w:rPr>
                          <w:rFonts w:ascii="Times New Roman" w:hAnsi="Times New Roman"/>
                          <w:i w:val="0"/>
                          <w:iCs w:val="0"/>
                          <w:color w:val="auto"/>
                          <w:sz w:val="24"/>
                          <w:szCs w:val="24"/>
                        </w:rPr>
                        <w:t>: The Fraud Pentagon</w:t>
                      </w:r>
                      <w:bookmarkEnd w:id="67"/>
                    </w:p>
                  </w:txbxContent>
                </v:textbox>
                <w10:wrap anchorx="margin"/>
              </v:shape>
            </w:pict>
          </mc:Fallback>
        </mc:AlternateContent>
      </w:r>
    </w:p>
    <w:p w14:paraId="34D561B2" w14:textId="496A915F" w:rsidR="00DC2851" w:rsidRPr="008B1465" w:rsidRDefault="00430B02" w:rsidP="00430B02">
      <w:pPr>
        <w:pStyle w:val="NoSpacing"/>
        <w:spacing w:line="360" w:lineRule="auto"/>
        <w:jc w:val="center"/>
        <w:rPr>
          <w:rFonts w:ascii="Times New Roman" w:hAnsi="Times New Roman"/>
          <w:b/>
          <w:bCs/>
          <w:sz w:val="24"/>
          <w:szCs w:val="24"/>
        </w:rPr>
      </w:pPr>
      <w:r>
        <w:rPr>
          <w:rFonts w:ascii="Times New Roman" w:hAnsi="Times New Roman"/>
          <w:b/>
          <w:bCs/>
          <w:sz w:val="24"/>
          <w:szCs w:val="24"/>
        </w:rPr>
        <w:t xml:space="preserve">         </w:t>
      </w:r>
      <w:r w:rsidR="00DC2851" w:rsidRPr="008B1465">
        <w:rPr>
          <w:rFonts w:ascii="Times New Roman" w:hAnsi="Times New Roman"/>
          <w:b/>
          <w:bCs/>
          <w:sz w:val="24"/>
          <w:szCs w:val="24"/>
        </w:rPr>
        <w:t>Source: Georgios L. Vousinas (2019)</w:t>
      </w:r>
    </w:p>
    <w:p w14:paraId="7911ABBF" w14:textId="1857BD75" w:rsidR="00DC2851" w:rsidRPr="008B1465" w:rsidRDefault="00DC2851" w:rsidP="00DC2851">
      <w:pPr>
        <w:spacing w:after="0" w:line="360" w:lineRule="auto"/>
        <w:rPr>
          <w:rFonts w:ascii="Times New Roman" w:hAnsi="Times New Roman"/>
          <w:b/>
          <w:bCs/>
          <w:sz w:val="24"/>
          <w:szCs w:val="24"/>
        </w:rPr>
      </w:pPr>
      <w:r w:rsidRPr="008B1465">
        <w:rPr>
          <w:rFonts w:ascii="Times New Roman" w:hAnsi="Times New Roman"/>
          <w:sz w:val="24"/>
          <w:szCs w:val="24"/>
        </w:rPr>
        <w:br w:type="page"/>
      </w:r>
    </w:p>
    <w:p w14:paraId="35F6C688" w14:textId="50F9994A" w:rsidR="00DC2851" w:rsidRPr="008B1465" w:rsidRDefault="00DC2851" w:rsidP="00DC2851">
      <w:pPr>
        <w:spacing w:after="0" w:line="360" w:lineRule="auto"/>
        <w:jc w:val="both"/>
        <w:rPr>
          <w:rFonts w:ascii="Times New Roman" w:hAnsi="Times New Roman"/>
          <w:sz w:val="24"/>
          <w:szCs w:val="24"/>
        </w:rPr>
      </w:pPr>
      <w:r w:rsidRPr="008B1465">
        <w:rPr>
          <w:rFonts w:ascii="Times New Roman" w:hAnsi="Times New Roman"/>
          <w:sz w:val="24"/>
          <w:szCs w:val="24"/>
        </w:rPr>
        <w:t xml:space="preserve">The fraud triangle is built mostly on an individual operating alone (Dorminey </w:t>
      </w:r>
      <w:r w:rsidR="00576E27" w:rsidRPr="008B1465">
        <w:rPr>
          <w:rFonts w:ascii="Times New Roman" w:hAnsi="Times New Roman"/>
          <w:i/>
          <w:iCs/>
          <w:sz w:val="24"/>
          <w:szCs w:val="24"/>
        </w:rPr>
        <w:t>et al</w:t>
      </w:r>
      <w:r w:rsidRPr="008B1465">
        <w:rPr>
          <w:rFonts w:ascii="Times New Roman" w:hAnsi="Times New Roman"/>
          <w:sz w:val="24"/>
          <w:szCs w:val="24"/>
        </w:rPr>
        <w:t xml:space="preserve">., 2010). However, the largest scams of the last few decades, such as Enron, WorldCom, and Parmalat, demonstrate that collaboration is a key ingredient in numerous complicated and costly financial (white-collar) crimes and frauds. Indeed, it is difficult to identify a recent big organization-wide fraud that did not involve numerous organization members. The phrase collusion refers to a fraudulent agreement or pact between two or more parties, in which one party brings an action against the other for some nefarious reason, in order to deprive a third party of his rights. </w:t>
      </w:r>
    </w:p>
    <w:p w14:paraId="572B2AE5" w14:textId="296E9E7C" w:rsidR="00DC2851" w:rsidRPr="008B1465" w:rsidRDefault="00DC2851" w:rsidP="00DC2851">
      <w:pPr>
        <w:spacing w:after="0" w:line="360" w:lineRule="auto"/>
        <w:jc w:val="both"/>
        <w:rPr>
          <w:rFonts w:ascii="Times New Roman" w:hAnsi="Times New Roman"/>
          <w:sz w:val="24"/>
          <w:szCs w:val="24"/>
        </w:rPr>
      </w:pPr>
      <w:r w:rsidRPr="008B1465">
        <w:rPr>
          <w:rFonts w:ascii="Times New Roman" w:hAnsi="Times New Roman"/>
          <w:sz w:val="24"/>
          <w:szCs w:val="24"/>
        </w:rPr>
        <w:t xml:space="preserve">Collusion may involve employees within a company, a group of persons spanning different organizations and jurisdictions, or members of a criminal organization or collective (Venter, 2007). Fraud is far more difficult to stop when there is collusion between employees or between employees and an external party, and this is an increasing concern, especially lately. In addition to corrupting current personnel, criminal organizations are now actively seeking to position their individual in a company as a temporary employee or contractor. Once fraud begins, honest employees may be dragged in as a dishonest culture emerges and a fraudulent atmosphere becomes well entrenched. It is also common for the </w:t>
      </w:r>
      <w:r w:rsidR="001543DF" w:rsidRPr="008B1465">
        <w:rPr>
          <w:rFonts w:ascii="Times New Roman" w:hAnsi="Times New Roman"/>
          <w:sz w:val="24"/>
          <w:szCs w:val="24"/>
        </w:rPr>
        <w:t>perpetrators</w:t>
      </w:r>
      <w:r w:rsidRPr="008B1465">
        <w:rPr>
          <w:rFonts w:ascii="Times New Roman" w:hAnsi="Times New Roman"/>
          <w:sz w:val="24"/>
          <w:szCs w:val="24"/>
        </w:rPr>
        <w:t xml:space="preserve"> to coerce others into committing or concealing the fraud. A person with a strong personality may be able to persuade others to accept fraud or simply look the other way. Allan (2003),</w:t>
      </w:r>
      <w:r w:rsidR="009429B3" w:rsidRPr="008B1465">
        <w:rPr>
          <w:rFonts w:ascii="Times New Roman" w:hAnsi="Times New Roman"/>
          <w:sz w:val="24"/>
          <w:szCs w:val="24"/>
        </w:rPr>
        <w:t xml:space="preserve"> concluded that</w:t>
      </w:r>
      <w:r w:rsidRPr="008B1465">
        <w:rPr>
          <w:rFonts w:ascii="Times New Roman" w:hAnsi="Times New Roman"/>
          <w:sz w:val="24"/>
          <w:szCs w:val="24"/>
        </w:rPr>
        <w:t xml:space="preserve"> a common personality type among fraudsters is the "bully," who makes unusual and significant demands of those who work for him or her, and cultivates fear rather than respect. Therefore, avoids being subject to the same regulations and procedures as others.</w:t>
      </w:r>
    </w:p>
    <w:p w14:paraId="2E1964B7" w14:textId="77777777" w:rsidR="00DC2851" w:rsidRPr="008B1465" w:rsidRDefault="00DC2851" w:rsidP="00DC2851">
      <w:pPr>
        <w:spacing w:after="0" w:line="360" w:lineRule="auto"/>
        <w:jc w:val="both"/>
        <w:rPr>
          <w:rFonts w:ascii="Times New Roman" w:hAnsi="Times New Roman"/>
          <w:sz w:val="24"/>
          <w:szCs w:val="24"/>
        </w:rPr>
      </w:pPr>
      <w:r w:rsidRPr="008B1465">
        <w:rPr>
          <w:rFonts w:ascii="Times New Roman" w:hAnsi="Times New Roman"/>
          <w:sz w:val="24"/>
          <w:szCs w:val="24"/>
        </w:rPr>
        <w:t>Many instances of financial reporting fraud are perpetrated by subordinates in response to a directive from their superiors to "make your numbers at all costs, or else." As fraud spreads within an organization and fraudsters use their abilities to take advantage of the positions of others and exploit unsuspecting individuals, collusion can also be involuntary. The recent ACFE's Report to the Nations on Occupational Fraud and Abuse in 2016 demonstrates that nearly half of the examined cases involved multiple perpetrators conspiring to commit fraud, and that the greater the number of fraudsters involved, the greater the losses. One possible explanation for the rise in losses associated with multiple perpetrators is that many anti-fraud controls rely on separation of duties and independent checks. When several fraudsters collaborate, they may be able to undermine the process of independently verifying transactions or other mechanisms designed to detect fraud. As a result, the S.C.O.R.E. model is transformed into the S.C.C.O.R.E. model with the addition of the sixth element of collusion, resulting in the Fraud Hexagon (Figure 2.5).</w:t>
      </w:r>
    </w:p>
    <w:p w14:paraId="1F398BF0" w14:textId="77777777" w:rsidR="00DC2851" w:rsidRPr="008B1465" w:rsidRDefault="00DC2851" w:rsidP="00DC2851">
      <w:pPr>
        <w:spacing w:after="0" w:line="360" w:lineRule="auto"/>
        <w:jc w:val="both"/>
        <w:rPr>
          <w:rFonts w:ascii="Times New Roman" w:hAnsi="Times New Roman"/>
          <w:sz w:val="24"/>
          <w:szCs w:val="24"/>
        </w:rPr>
      </w:pPr>
      <w:r w:rsidRPr="008B1465">
        <w:rPr>
          <w:rFonts w:ascii="Times New Roman" w:hAnsi="Times New Roman"/>
          <w:sz w:val="24"/>
          <w:szCs w:val="24"/>
        </w:rPr>
        <w:t>It should be emphasized that the S.C.C.O.R.E. model should be used as an extension to the S.C.O.R.E. model to better apply in white-collar crimes, where collusion plays an important role in determining the factors that lead to the commission of financial fraud.</w:t>
      </w:r>
    </w:p>
    <w:p w14:paraId="03372859" w14:textId="1C7B0400" w:rsidR="00DC2851" w:rsidRPr="008B1465" w:rsidRDefault="00DC2851" w:rsidP="00E8110B">
      <w:pPr>
        <w:pStyle w:val="NoSpacing"/>
        <w:spacing w:line="360" w:lineRule="auto"/>
        <w:rPr>
          <w:rFonts w:ascii="Times New Roman" w:hAnsi="Times New Roman"/>
          <w:sz w:val="24"/>
          <w:szCs w:val="24"/>
        </w:rPr>
      </w:pPr>
      <w:r w:rsidRPr="008B1465">
        <w:rPr>
          <w:rFonts w:ascii="Times New Roman" w:hAnsi="Times New Roman"/>
          <w:sz w:val="24"/>
          <w:szCs w:val="24"/>
        </w:rPr>
        <w:t xml:space="preserve">      </w:t>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t xml:space="preserve"> </w:t>
      </w:r>
      <w:r w:rsidR="009105F0" w:rsidRPr="008B1465">
        <w:rPr>
          <w:rFonts w:ascii="Times New Roman" w:hAnsi="Times New Roman"/>
          <w:sz w:val="24"/>
          <w:szCs w:val="24"/>
        </w:rPr>
        <w:t xml:space="preserve">              </w:t>
      </w:r>
      <w:r w:rsidRPr="008B1465">
        <w:rPr>
          <w:rFonts w:ascii="Times New Roman" w:hAnsi="Times New Roman"/>
          <w:sz w:val="24"/>
          <w:szCs w:val="24"/>
        </w:rPr>
        <w:tab/>
      </w:r>
    </w:p>
    <w:p w14:paraId="7613A2AA" w14:textId="577C26A4" w:rsidR="00DC2851" w:rsidRPr="008B1465" w:rsidRDefault="00DC2851" w:rsidP="00DC2851">
      <w:pPr>
        <w:pStyle w:val="NoSpacing"/>
        <w:spacing w:line="360" w:lineRule="auto"/>
        <w:rPr>
          <w:rFonts w:ascii="Times New Roman" w:hAnsi="Times New Roman"/>
          <w:sz w:val="24"/>
          <w:szCs w:val="24"/>
        </w:rPr>
      </w:pPr>
    </w:p>
    <w:p w14:paraId="6A5446C6" w14:textId="2B233979" w:rsidR="00DC2851" w:rsidRPr="008B1465" w:rsidRDefault="00F603BB" w:rsidP="00DC2851">
      <w:pPr>
        <w:pStyle w:val="NoSpacing"/>
        <w:spacing w:line="360" w:lineRule="auto"/>
        <w:rPr>
          <w:rFonts w:ascii="Times New Roman" w:hAnsi="Times New Roman"/>
          <w:sz w:val="24"/>
          <w:szCs w:val="24"/>
        </w:rPr>
      </w:pPr>
      <w:r w:rsidRPr="008B1465">
        <w:rPr>
          <w:rFonts w:ascii="Times New Roman" w:hAnsi="Times New Roman"/>
          <w:sz w:val="24"/>
          <w:szCs w:val="24"/>
        </w:rPr>
        <w:t xml:space="preserve">               </w:t>
      </w:r>
      <w:r w:rsidR="00C84776" w:rsidRPr="008B1465">
        <w:rPr>
          <w:rFonts w:ascii="Times New Roman" w:hAnsi="Times New Roman"/>
          <w:sz w:val="24"/>
          <w:szCs w:val="24"/>
        </w:rPr>
        <w:t xml:space="preserve"> </w:t>
      </w:r>
      <w:r w:rsidRPr="008B1465">
        <w:rPr>
          <w:rFonts w:ascii="Times New Roman" w:hAnsi="Times New Roman"/>
          <w:sz w:val="24"/>
          <w:szCs w:val="24"/>
        </w:rPr>
        <w:t xml:space="preserve">Stimulus </w:t>
      </w:r>
      <w:r w:rsidR="00C84776" w:rsidRPr="008B1465">
        <w:rPr>
          <w:rFonts w:ascii="Times New Roman" w:hAnsi="Times New Roman"/>
          <w:sz w:val="24"/>
          <w:szCs w:val="24"/>
        </w:rPr>
        <w:t xml:space="preserve">                                                                     Ego</w:t>
      </w:r>
      <w:r w:rsidR="00C84776" w:rsidRPr="008B1465">
        <w:rPr>
          <w:rFonts w:ascii="Times New Roman" w:hAnsi="Times New Roman"/>
          <w:sz w:val="24"/>
          <w:szCs w:val="24"/>
        </w:rPr>
        <w:tab/>
      </w:r>
      <w:r w:rsidRPr="008B1465">
        <w:rPr>
          <w:rFonts w:ascii="Times New Roman" w:hAnsi="Times New Roman"/>
          <w:noProof/>
          <w:sz w:val="24"/>
          <w:szCs w:val="24"/>
        </w:rPr>
        <mc:AlternateContent>
          <mc:Choice Requires="wps">
            <w:drawing>
              <wp:anchor distT="0" distB="0" distL="114300" distR="114300" simplePos="0" relativeHeight="251678208" behindDoc="0" locked="0" layoutInCell="1" allowOverlap="1" wp14:anchorId="3429D78E" wp14:editId="09EC4989">
                <wp:simplePos x="0" y="0"/>
                <wp:positionH relativeFrom="column">
                  <wp:posOffset>820420</wp:posOffset>
                </wp:positionH>
                <wp:positionV relativeFrom="paragraph">
                  <wp:posOffset>106680</wp:posOffset>
                </wp:positionV>
                <wp:extent cx="3487420" cy="2300605"/>
                <wp:effectExtent l="38100" t="19050" r="36830" b="23495"/>
                <wp:wrapNone/>
                <wp:docPr id="246" name="Hexagon 246"/>
                <wp:cNvGraphicFramePr/>
                <a:graphic xmlns:a="http://schemas.openxmlformats.org/drawingml/2006/main">
                  <a:graphicData uri="http://schemas.microsoft.com/office/word/2010/wordprocessingShape">
                    <wps:wsp>
                      <wps:cNvSpPr/>
                      <wps:spPr>
                        <a:xfrm>
                          <a:off x="0" y="0"/>
                          <a:ext cx="3487420" cy="2300605"/>
                        </a:xfrm>
                        <a:prstGeom prst="hexagon">
                          <a:avLst/>
                        </a:prstGeom>
                        <a:noFill/>
                        <a:ln w="28575">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CBE4C6F"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Hexagon 246" o:spid="_x0000_s1026" type="#_x0000_t9" style="position:absolute;margin-left:64.6pt;margin-top:8.4pt;width:274.6pt;height:181.1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" adj="3562" filled="f" strokecolor="black [3213]" strokeweight="2.25pt"/>
            </w:pict>
          </mc:Fallback>
        </mc:AlternateContent>
      </w:r>
    </w:p>
    <w:p w14:paraId="3E2C03CE" w14:textId="77777777" w:rsidR="00DC2851" w:rsidRPr="008B1465" w:rsidRDefault="00DC2851" w:rsidP="00DC2851">
      <w:pPr>
        <w:spacing w:after="0" w:line="360" w:lineRule="auto"/>
        <w:rPr>
          <w:rFonts w:ascii="Times New Roman" w:hAnsi="Times New Roman"/>
          <w:sz w:val="24"/>
          <w:szCs w:val="24"/>
        </w:rPr>
      </w:pPr>
    </w:p>
    <w:p w14:paraId="399AC290" w14:textId="77777777" w:rsidR="00DC2851" w:rsidRPr="008B1465" w:rsidRDefault="00DC2851" w:rsidP="00DC2851">
      <w:pPr>
        <w:spacing w:after="0" w:line="360" w:lineRule="auto"/>
        <w:rPr>
          <w:rFonts w:ascii="Times New Roman" w:hAnsi="Times New Roman"/>
          <w:sz w:val="24"/>
          <w:szCs w:val="24"/>
        </w:rPr>
      </w:pPr>
    </w:p>
    <w:p w14:paraId="0126E828" w14:textId="77777777" w:rsidR="00DC2851" w:rsidRPr="008B1465" w:rsidRDefault="00DC2851" w:rsidP="00DC2851">
      <w:pPr>
        <w:pStyle w:val="NoSpacing"/>
        <w:spacing w:line="360" w:lineRule="auto"/>
        <w:rPr>
          <w:rFonts w:ascii="Times New Roman" w:hAnsi="Times New Roman"/>
          <w:sz w:val="24"/>
          <w:szCs w:val="24"/>
        </w:rPr>
      </w:pPr>
      <w:r w:rsidRPr="008B1465">
        <w:rPr>
          <w:rFonts w:ascii="Times New Roman" w:hAnsi="Times New Roman"/>
          <w:sz w:val="24"/>
          <w:szCs w:val="24"/>
        </w:rPr>
        <w:t xml:space="preserve">  Capability </w:t>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t xml:space="preserve">       Rationalization </w:t>
      </w:r>
    </w:p>
    <w:p w14:paraId="4CA4F1D7" w14:textId="77777777" w:rsidR="00DC2851" w:rsidRPr="008B1465" w:rsidRDefault="00DC2851" w:rsidP="00DC2851">
      <w:pPr>
        <w:pStyle w:val="NoSpacing"/>
        <w:spacing w:line="360" w:lineRule="auto"/>
        <w:rPr>
          <w:rFonts w:ascii="Times New Roman" w:hAnsi="Times New Roman"/>
          <w:sz w:val="24"/>
          <w:szCs w:val="24"/>
        </w:rPr>
      </w:pPr>
    </w:p>
    <w:p w14:paraId="6EDE9E7E" w14:textId="77777777" w:rsidR="00DC2851" w:rsidRPr="008B1465" w:rsidRDefault="00DC2851" w:rsidP="00DC2851">
      <w:pPr>
        <w:pStyle w:val="NoSpacing"/>
        <w:spacing w:line="360" w:lineRule="auto"/>
        <w:rPr>
          <w:rFonts w:ascii="Times New Roman" w:hAnsi="Times New Roman"/>
          <w:sz w:val="24"/>
          <w:szCs w:val="24"/>
        </w:rPr>
      </w:pPr>
    </w:p>
    <w:p w14:paraId="6D7347D3" w14:textId="77777777" w:rsidR="00DC2851" w:rsidRPr="008B1465" w:rsidRDefault="00DC2851" w:rsidP="00DC2851">
      <w:pPr>
        <w:pStyle w:val="NoSpacing"/>
        <w:spacing w:line="360" w:lineRule="auto"/>
        <w:rPr>
          <w:rFonts w:ascii="Times New Roman" w:hAnsi="Times New Roman"/>
          <w:sz w:val="24"/>
          <w:szCs w:val="24"/>
        </w:rPr>
      </w:pPr>
    </w:p>
    <w:p w14:paraId="7A9753D3" w14:textId="77777777" w:rsidR="00DC2851" w:rsidRPr="008B1465" w:rsidRDefault="00DC2851" w:rsidP="00DC2851">
      <w:pPr>
        <w:pStyle w:val="NoSpacing"/>
        <w:spacing w:line="360" w:lineRule="auto"/>
        <w:rPr>
          <w:rFonts w:ascii="Times New Roman" w:hAnsi="Times New Roman"/>
          <w:sz w:val="24"/>
          <w:szCs w:val="24"/>
        </w:rPr>
      </w:pPr>
    </w:p>
    <w:p w14:paraId="1A77AE54" w14:textId="76322557" w:rsidR="00DC2851" w:rsidRPr="008B1465" w:rsidRDefault="00DC2851" w:rsidP="00DC2851">
      <w:pPr>
        <w:pStyle w:val="NoSpacing"/>
        <w:spacing w:line="360" w:lineRule="auto"/>
        <w:ind w:left="720" w:firstLine="720"/>
        <w:rPr>
          <w:rFonts w:ascii="Times New Roman" w:hAnsi="Times New Roman"/>
          <w:sz w:val="24"/>
          <w:szCs w:val="24"/>
        </w:rPr>
      </w:pPr>
      <w:r w:rsidRPr="008B1465">
        <w:rPr>
          <w:rFonts w:ascii="Times New Roman" w:hAnsi="Times New Roman"/>
          <w:sz w:val="24"/>
          <w:szCs w:val="24"/>
        </w:rPr>
        <w:t xml:space="preserve">Collusion </w:t>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r>
      <w:r w:rsidRPr="008B1465">
        <w:rPr>
          <w:rFonts w:ascii="Times New Roman" w:hAnsi="Times New Roman"/>
          <w:sz w:val="24"/>
          <w:szCs w:val="24"/>
        </w:rPr>
        <w:tab/>
        <w:t xml:space="preserve">Opportunity </w:t>
      </w:r>
    </w:p>
    <w:p w14:paraId="7C679CE9" w14:textId="332BA877" w:rsidR="00DC2851" w:rsidRPr="008B1465" w:rsidRDefault="0081720D" w:rsidP="00DC2851">
      <w:pPr>
        <w:pStyle w:val="NoSpacing"/>
        <w:spacing w:line="360" w:lineRule="auto"/>
        <w:rPr>
          <w:rFonts w:ascii="Times New Roman" w:hAnsi="Times New Roman"/>
          <w:sz w:val="24"/>
          <w:szCs w:val="24"/>
        </w:rPr>
      </w:pPr>
      <w:r w:rsidRPr="008B1465">
        <w:rPr>
          <w:noProof/>
        </w:rPr>
        <mc:AlternateContent>
          <mc:Choice Requires="wps">
            <w:drawing>
              <wp:anchor distT="0" distB="0" distL="114300" distR="114300" simplePos="0" relativeHeight="251688448" behindDoc="0" locked="0" layoutInCell="1" allowOverlap="1" wp14:anchorId="45A20E44" wp14:editId="4E81BBD8">
                <wp:simplePos x="0" y="0"/>
                <wp:positionH relativeFrom="column">
                  <wp:posOffset>1064464</wp:posOffset>
                </wp:positionH>
                <wp:positionV relativeFrom="paragraph">
                  <wp:posOffset>8255</wp:posOffset>
                </wp:positionV>
                <wp:extent cx="3569970" cy="216385"/>
                <wp:effectExtent l="0" t="0" r="0" b="0"/>
                <wp:wrapNone/>
                <wp:docPr id="28" name="Text Box 28"/>
                <wp:cNvGraphicFramePr/>
                <a:graphic xmlns:a="http://schemas.openxmlformats.org/drawingml/2006/main">
                  <a:graphicData uri="http://schemas.microsoft.com/office/word/2010/wordprocessingShape">
                    <wps:wsp>
                      <wps:cNvSpPr txBox="1"/>
                      <wps:spPr>
                        <a:xfrm>
                          <a:off x="0" y="0"/>
                          <a:ext cx="3569970" cy="216385"/>
                        </a:xfrm>
                        <a:prstGeom prst="rect">
                          <a:avLst/>
                        </a:prstGeom>
                        <a:solidFill>
                          <a:prstClr val="white"/>
                        </a:solidFill>
                        <a:ln>
                          <a:noFill/>
                        </a:ln>
                      </wps:spPr>
                      <wps:txbx>
                        <w:txbxContent>
                          <w:p w14:paraId="02D264C7" w14:textId="030F70E2" w:rsidR="00FE7438" w:rsidRPr="00F42531" w:rsidRDefault="00FE7438" w:rsidP="00FB475F">
                            <w:pPr>
                              <w:pStyle w:val="Caption"/>
                              <w:ind w:firstLine="720"/>
                              <w:rPr>
                                <w:rFonts w:ascii="Times New Roman" w:hAnsi="Times New Roman"/>
                                <w:i w:val="0"/>
                                <w:iCs w:val="0"/>
                                <w:noProof/>
                                <w:color w:val="auto"/>
                                <w:sz w:val="24"/>
                                <w:szCs w:val="24"/>
                              </w:rPr>
                            </w:pPr>
                            <w:r>
                              <w:rPr>
                                <w:rFonts w:ascii="Times New Roman" w:hAnsi="Times New Roman"/>
                                <w:i w:val="0"/>
                                <w:iCs w:val="0"/>
                                <w:color w:val="auto"/>
                                <w:sz w:val="24"/>
                                <w:szCs w:val="24"/>
                              </w:rPr>
                              <w:t xml:space="preserve">   </w:t>
                            </w:r>
                            <w:bookmarkStart w:id="66" w:name="_Toc145953089"/>
                            <w:r w:rsidRPr="00F42531">
                              <w:rPr>
                                <w:rFonts w:ascii="Times New Roman" w:hAnsi="Times New Roman"/>
                                <w:i w:val="0"/>
                                <w:iCs w:val="0"/>
                                <w:color w:val="auto"/>
                                <w:sz w:val="24"/>
                                <w:szCs w:val="24"/>
                              </w:rPr>
                              <w:t xml:space="preserve">Figure </w:t>
                            </w:r>
                            <w:r w:rsidRPr="00F42531">
                              <w:rPr>
                                <w:rFonts w:ascii="Times New Roman" w:hAnsi="Times New Roman"/>
                                <w:i w:val="0"/>
                                <w:iCs w:val="0"/>
                                <w:color w:val="auto"/>
                                <w:sz w:val="24"/>
                                <w:szCs w:val="24"/>
                              </w:rPr>
                              <w:fldChar w:fldCharType="begin"/>
                            </w:r>
                            <w:r w:rsidRPr="00F42531">
                              <w:rPr>
                                <w:rFonts w:ascii="Times New Roman" w:hAnsi="Times New Roman"/>
                                <w:i w:val="0"/>
                                <w:iCs w:val="0"/>
                                <w:color w:val="auto"/>
                                <w:sz w:val="24"/>
                                <w:szCs w:val="24"/>
                              </w:rPr>
                              <w:instrText xml:space="preserve"> STYLEREF 1 \s </w:instrText>
                            </w:r>
                            <w:r w:rsidRPr="00F42531">
                              <w:rPr>
                                <w:rFonts w:ascii="Times New Roman" w:hAnsi="Times New Roman"/>
                                <w:i w:val="0"/>
                                <w:iCs w:val="0"/>
                                <w:color w:val="auto"/>
                                <w:sz w:val="24"/>
                                <w:szCs w:val="24"/>
                              </w:rPr>
                              <w:fldChar w:fldCharType="separate"/>
                            </w:r>
                            <w:r>
                              <w:rPr>
                                <w:rFonts w:ascii="Times New Roman" w:hAnsi="Times New Roman"/>
                                <w:i w:val="0"/>
                                <w:iCs w:val="0"/>
                                <w:noProof/>
                                <w:color w:val="auto"/>
                                <w:sz w:val="24"/>
                                <w:szCs w:val="24"/>
                              </w:rPr>
                              <w:t>2</w:t>
                            </w:r>
                            <w:r w:rsidRPr="00F42531">
                              <w:rPr>
                                <w:rFonts w:ascii="Times New Roman" w:hAnsi="Times New Roman"/>
                                <w:i w:val="0"/>
                                <w:iCs w:val="0"/>
                                <w:color w:val="auto"/>
                                <w:sz w:val="24"/>
                                <w:szCs w:val="24"/>
                              </w:rPr>
                              <w:fldChar w:fldCharType="end"/>
                            </w:r>
                            <w:r w:rsidRPr="00F42531">
                              <w:rPr>
                                <w:rFonts w:ascii="Times New Roman" w:hAnsi="Times New Roman"/>
                                <w:i w:val="0"/>
                                <w:iCs w:val="0"/>
                                <w:color w:val="auto"/>
                                <w:sz w:val="24"/>
                                <w:szCs w:val="24"/>
                              </w:rPr>
                              <w:t>.</w:t>
                            </w:r>
                            <w:r w:rsidRPr="00F42531">
                              <w:rPr>
                                <w:rFonts w:ascii="Times New Roman" w:hAnsi="Times New Roman"/>
                                <w:i w:val="0"/>
                                <w:iCs w:val="0"/>
                                <w:color w:val="auto"/>
                                <w:sz w:val="24"/>
                                <w:szCs w:val="24"/>
                              </w:rPr>
                              <w:fldChar w:fldCharType="begin"/>
                            </w:r>
                            <w:r w:rsidRPr="00F42531">
                              <w:rPr>
                                <w:rFonts w:ascii="Times New Roman" w:hAnsi="Times New Roman"/>
                                <w:i w:val="0"/>
                                <w:iCs w:val="0"/>
                                <w:color w:val="auto"/>
                                <w:sz w:val="24"/>
                                <w:szCs w:val="24"/>
                              </w:rPr>
                              <w:instrText xml:space="preserve"> SEQ Figure \* ARABIC \s 1 </w:instrText>
                            </w:r>
                            <w:r w:rsidRPr="00F42531">
                              <w:rPr>
                                <w:rFonts w:ascii="Times New Roman" w:hAnsi="Times New Roman"/>
                                <w:i w:val="0"/>
                                <w:iCs w:val="0"/>
                                <w:color w:val="auto"/>
                                <w:sz w:val="24"/>
                                <w:szCs w:val="24"/>
                              </w:rPr>
                              <w:fldChar w:fldCharType="separate"/>
                            </w:r>
                            <w:r>
                              <w:rPr>
                                <w:rFonts w:ascii="Times New Roman" w:hAnsi="Times New Roman"/>
                                <w:i w:val="0"/>
                                <w:iCs w:val="0"/>
                                <w:noProof/>
                                <w:color w:val="auto"/>
                                <w:sz w:val="24"/>
                                <w:szCs w:val="24"/>
                              </w:rPr>
                              <w:t>5</w:t>
                            </w:r>
                            <w:r w:rsidRPr="00F42531">
                              <w:rPr>
                                <w:rFonts w:ascii="Times New Roman" w:hAnsi="Times New Roman"/>
                                <w:i w:val="0"/>
                                <w:iCs w:val="0"/>
                                <w:color w:val="auto"/>
                                <w:sz w:val="24"/>
                                <w:szCs w:val="24"/>
                              </w:rPr>
                              <w:fldChar w:fldCharType="end"/>
                            </w:r>
                            <w:r w:rsidRPr="00F42531">
                              <w:rPr>
                                <w:rFonts w:ascii="Times New Roman" w:hAnsi="Times New Roman"/>
                                <w:i w:val="0"/>
                                <w:iCs w:val="0"/>
                                <w:color w:val="auto"/>
                                <w:sz w:val="24"/>
                                <w:szCs w:val="24"/>
                              </w:rPr>
                              <w:t>: The Fraud Hexagon</w:t>
                            </w:r>
                            <w:bookmarkEnd w:id="6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5A20E44" id="Text Box 28" o:spid="_x0000_s1211" type="#_x0000_t202" style="position:absolute;margin-left:83.8pt;margin-top:.65pt;width:281.1pt;height:17.05pt;z-index:2516884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" stroked="f">
                <v:textbox inset="0,0,0,0">
                  <w:txbxContent>
                    <w:p w14:paraId="02D264C7" w14:textId="030F70E2" w:rsidR="00FE7438" w:rsidRPr="00F42531" w:rsidRDefault="00FE7438" w:rsidP="00FB475F">
                      <w:pPr>
                        <w:pStyle w:val="Caption"/>
                        <w:ind w:firstLine="720"/>
                        <w:rPr>
                          <w:rFonts w:ascii="Times New Roman" w:hAnsi="Times New Roman"/>
                          <w:i w:val="0"/>
                          <w:iCs w:val="0"/>
                          <w:noProof/>
                          <w:color w:val="auto"/>
                          <w:sz w:val="24"/>
                          <w:szCs w:val="24"/>
                        </w:rPr>
                      </w:pPr>
                      <w:r>
                        <w:rPr>
                          <w:rFonts w:ascii="Times New Roman" w:hAnsi="Times New Roman"/>
                          <w:i w:val="0"/>
                          <w:iCs w:val="0"/>
                          <w:color w:val="auto"/>
                          <w:sz w:val="24"/>
                          <w:szCs w:val="24"/>
                        </w:rPr>
                        <w:t xml:space="preserve">   </w:t>
                      </w:r>
                      <w:bookmarkStart w:id="69" w:name="_Toc145953089"/>
                      <w:r w:rsidRPr="00F42531">
                        <w:rPr>
                          <w:rFonts w:ascii="Times New Roman" w:hAnsi="Times New Roman"/>
                          <w:i w:val="0"/>
                          <w:iCs w:val="0"/>
                          <w:color w:val="auto"/>
                          <w:sz w:val="24"/>
                          <w:szCs w:val="24"/>
                        </w:rPr>
                        <w:t xml:space="preserve">Figure </w:t>
                      </w:r>
                      <w:r w:rsidRPr="00F42531">
                        <w:rPr>
                          <w:rFonts w:ascii="Times New Roman" w:hAnsi="Times New Roman"/>
                          <w:i w:val="0"/>
                          <w:iCs w:val="0"/>
                          <w:color w:val="auto"/>
                          <w:sz w:val="24"/>
                          <w:szCs w:val="24"/>
                        </w:rPr>
                        <w:fldChar w:fldCharType="begin"/>
                      </w:r>
                      <w:r w:rsidRPr="00F42531">
                        <w:rPr>
                          <w:rFonts w:ascii="Times New Roman" w:hAnsi="Times New Roman"/>
                          <w:i w:val="0"/>
                          <w:iCs w:val="0"/>
                          <w:color w:val="auto"/>
                          <w:sz w:val="24"/>
                          <w:szCs w:val="24"/>
                        </w:rPr>
                        <w:instrText xml:space="preserve"> STYLEREF 1 \s </w:instrText>
                      </w:r>
                      <w:r w:rsidRPr="00F42531">
                        <w:rPr>
                          <w:rFonts w:ascii="Times New Roman" w:hAnsi="Times New Roman"/>
                          <w:i w:val="0"/>
                          <w:iCs w:val="0"/>
                          <w:color w:val="auto"/>
                          <w:sz w:val="24"/>
                          <w:szCs w:val="24"/>
                        </w:rPr>
                        <w:fldChar w:fldCharType="separate"/>
                      </w:r>
                      <w:r>
                        <w:rPr>
                          <w:rFonts w:ascii="Times New Roman" w:hAnsi="Times New Roman"/>
                          <w:i w:val="0"/>
                          <w:iCs w:val="0"/>
                          <w:noProof/>
                          <w:color w:val="auto"/>
                          <w:sz w:val="24"/>
                          <w:szCs w:val="24"/>
                        </w:rPr>
                        <w:t>2</w:t>
                      </w:r>
                      <w:r w:rsidRPr="00F42531">
                        <w:rPr>
                          <w:rFonts w:ascii="Times New Roman" w:hAnsi="Times New Roman"/>
                          <w:i w:val="0"/>
                          <w:iCs w:val="0"/>
                          <w:color w:val="auto"/>
                          <w:sz w:val="24"/>
                          <w:szCs w:val="24"/>
                        </w:rPr>
                        <w:fldChar w:fldCharType="end"/>
                      </w:r>
                      <w:r w:rsidRPr="00F42531">
                        <w:rPr>
                          <w:rFonts w:ascii="Times New Roman" w:hAnsi="Times New Roman"/>
                          <w:i w:val="0"/>
                          <w:iCs w:val="0"/>
                          <w:color w:val="auto"/>
                          <w:sz w:val="24"/>
                          <w:szCs w:val="24"/>
                        </w:rPr>
                        <w:t>.</w:t>
                      </w:r>
                      <w:r w:rsidRPr="00F42531">
                        <w:rPr>
                          <w:rFonts w:ascii="Times New Roman" w:hAnsi="Times New Roman"/>
                          <w:i w:val="0"/>
                          <w:iCs w:val="0"/>
                          <w:color w:val="auto"/>
                          <w:sz w:val="24"/>
                          <w:szCs w:val="24"/>
                        </w:rPr>
                        <w:fldChar w:fldCharType="begin"/>
                      </w:r>
                      <w:r w:rsidRPr="00F42531">
                        <w:rPr>
                          <w:rFonts w:ascii="Times New Roman" w:hAnsi="Times New Roman"/>
                          <w:i w:val="0"/>
                          <w:iCs w:val="0"/>
                          <w:color w:val="auto"/>
                          <w:sz w:val="24"/>
                          <w:szCs w:val="24"/>
                        </w:rPr>
                        <w:instrText xml:space="preserve"> SEQ Figure \* ARABIC \s 1 </w:instrText>
                      </w:r>
                      <w:r w:rsidRPr="00F42531">
                        <w:rPr>
                          <w:rFonts w:ascii="Times New Roman" w:hAnsi="Times New Roman"/>
                          <w:i w:val="0"/>
                          <w:iCs w:val="0"/>
                          <w:color w:val="auto"/>
                          <w:sz w:val="24"/>
                          <w:szCs w:val="24"/>
                        </w:rPr>
                        <w:fldChar w:fldCharType="separate"/>
                      </w:r>
                      <w:r>
                        <w:rPr>
                          <w:rFonts w:ascii="Times New Roman" w:hAnsi="Times New Roman"/>
                          <w:i w:val="0"/>
                          <w:iCs w:val="0"/>
                          <w:noProof/>
                          <w:color w:val="auto"/>
                          <w:sz w:val="24"/>
                          <w:szCs w:val="24"/>
                        </w:rPr>
                        <w:t>5</w:t>
                      </w:r>
                      <w:r w:rsidRPr="00F42531">
                        <w:rPr>
                          <w:rFonts w:ascii="Times New Roman" w:hAnsi="Times New Roman"/>
                          <w:i w:val="0"/>
                          <w:iCs w:val="0"/>
                          <w:color w:val="auto"/>
                          <w:sz w:val="24"/>
                          <w:szCs w:val="24"/>
                        </w:rPr>
                        <w:fldChar w:fldCharType="end"/>
                      </w:r>
                      <w:r w:rsidRPr="00F42531">
                        <w:rPr>
                          <w:rFonts w:ascii="Times New Roman" w:hAnsi="Times New Roman"/>
                          <w:i w:val="0"/>
                          <w:iCs w:val="0"/>
                          <w:color w:val="auto"/>
                          <w:sz w:val="24"/>
                          <w:szCs w:val="24"/>
                        </w:rPr>
                        <w:t>: The Fraud Hexagon</w:t>
                      </w:r>
                      <w:bookmarkEnd w:id="69"/>
                    </w:p>
                  </w:txbxContent>
                </v:textbox>
              </v:shape>
            </w:pict>
          </mc:Fallback>
        </mc:AlternateContent>
      </w:r>
    </w:p>
    <w:p w14:paraId="27443B1A" w14:textId="44BB4FB0" w:rsidR="00DC2851" w:rsidRPr="008B1465" w:rsidRDefault="00FB475F" w:rsidP="00FB475F">
      <w:pPr>
        <w:pStyle w:val="NoSpacing"/>
        <w:spacing w:line="360" w:lineRule="auto"/>
        <w:ind w:left="1440" w:firstLine="720"/>
        <w:rPr>
          <w:rFonts w:ascii="Times New Roman" w:hAnsi="Times New Roman"/>
          <w:b/>
          <w:bCs/>
          <w:sz w:val="24"/>
          <w:szCs w:val="24"/>
        </w:rPr>
      </w:pPr>
      <w:r>
        <w:rPr>
          <w:rFonts w:ascii="Times New Roman" w:hAnsi="Times New Roman"/>
          <w:b/>
          <w:bCs/>
          <w:sz w:val="24"/>
          <w:szCs w:val="24"/>
        </w:rPr>
        <w:t xml:space="preserve"> </w:t>
      </w:r>
      <w:r w:rsidR="00DC2851" w:rsidRPr="008B1465">
        <w:rPr>
          <w:rFonts w:ascii="Times New Roman" w:hAnsi="Times New Roman"/>
          <w:b/>
          <w:bCs/>
          <w:sz w:val="24"/>
          <w:szCs w:val="24"/>
        </w:rPr>
        <w:t>Source: Georgios L.</w:t>
      </w:r>
      <w:r w:rsidR="000541D7" w:rsidRPr="008B1465">
        <w:rPr>
          <w:rFonts w:ascii="Times New Roman" w:hAnsi="Times New Roman"/>
          <w:b/>
          <w:bCs/>
          <w:sz w:val="24"/>
          <w:szCs w:val="24"/>
        </w:rPr>
        <w:t xml:space="preserve"> </w:t>
      </w:r>
      <w:r w:rsidR="00DC2851" w:rsidRPr="008B1465">
        <w:rPr>
          <w:rFonts w:ascii="Times New Roman" w:hAnsi="Times New Roman"/>
          <w:b/>
          <w:bCs/>
          <w:sz w:val="24"/>
          <w:szCs w:val="24"/>
        </w:rPr>
        <w:t>Vousinas (2019)</w:t>
      </w:r>
    </w:p>
    <w:p w14:paraId="7F9C19D3" w14:textId="77777777" w:rsidR="00DC2851" w:rsidRPr="008B1465" w:rsidRDefault="00DC2851" w:rsidP="00DC2851">
      <w:pPr>
        <w:spacing w:after="0" w:line="360" w:lineRule="auto"/>
        <w:jc w:val="both"/>
        <w:rPr>
          <w:rFonts w:ascii="Times New Roman" w:hAnsi="Times New Roman"/>
          <w:sz w:val="24"/>
          <w:szCs w:val="24"/>
        </w:rPr>
      </w:pPr>
      <w:r w:rsidRPr="008B1465">
        <w:rPr>
          <w:rFonts w:ascii="Times New Roman" w:hAnsi="Times New Roman"/>
          <w:sz w:val="24"/>
          <w:szCs w:val="24"/>
        </w:rPr>
        <w:t>Companies today face a variety of risks, including financial risk, supply-chain risk, and regulatory issues, all of which affect them in different ways and to varying degrees. While fraud risk is only one of many risks, it is a growing issue affecting both public and private organizations in all countries and sectors of the economy, especially in light of the recent global financial crisis. Fraud is a complex, dynamic process that constantly adapts to its surroundings. This is why fraud is difficult to detect and even more difficult to prove in court. In addition, fraud has a very diverse nature, which is why not only are there numerous definitions, but also various fraud models have been developed to explain why fraud incidents occur. In addition, the overview of the theoretical background emphasizes that no one model fits every circumstance. The author of this paper argues that the existing models must be revised to accommodate the current developments in the field and the ever-increasing incidences of fraud. For this reason, the author builds on the theory to create a new model, the S.C.O.R.E. model (the acronym stands for Stimulus, Capability, Opportunity, Rationalization, and Ego), in order to enhance the understanding of the major factors that lead to the commission of fraud. This model is derived from the Fraud Diamond, an extension of the Fraud Triangle, and identifies the element of Ego, which has been shown to play a significant role in motivating people to commit fraud. The S.C.O.R.E. model is graphically depicted in the Fraud Pentagon and can be modified by adding the "collusion" factor to better apply to financial crimes. The overarching goal of this paper is to contribute to the advancement of fraud theory by shedding light on the key factors that influence whether fraud occurs and developing a model that will serve as a theoretical benchmark for all future reference. The author also hopes to spark a fruitful academic and professional dialogue on the subject and draw attention to this major issue, which not only remains a serious international issue, but fraud incidents are increasing exponentially, particularly during times of financial crisis and economic distress.</w:t>
      </w:r>
    </w:p>
    <w:p w14:paraId="2297BB80" w14:textId="77777777" w:rsidR="00DC2851" w:rsidRPr="008B1465" w:rsidRDefault="00DC2851" w:rsidP="00DC2851">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This study was anchored on two of the theories reviewed above which are Fraud diamond and Fraud star. The concept of Financial Misconduct; fund misappropriation, value for money,  creative accounting, and procurement practices, in federal universities southwest, Nigeria advocates that public hinds should be put to the best possible use and that bursary staff, internal audit unit and procurement unit, within the selected federal universities should be accountable and transparent in handling public resources entrusted to them. The financial misconduct in federal universities can be impaired by fraud and corruption.</w:t>
      </w:r>
    </w:p>
    <w:p w14:paraId="3200DD1E" w14:textId="77777777" w:rsidR="00DC2851" w:rsidRPr="008B1465" w:rsidRDefault="00DC2851" w:rsidP="00DC2851">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Fraud diamond and Fraud star are framework commonly used in auditing to explain the motivation behind an individual's decision to commit fraud and it outlines four components (opportunity, pressure, capacity and rationalization) that contribute to increasing the risk of fraud. In which a fraudster who understands and is capable of exploiting internal control weaknesses and using the position; function or authorized access to the greatest advantage.  Fraud star concept is an expansion of fraud diamond theory, in which an appropriate punishment is seen as a factor that can affect fraudster's decision of committing the crime or more especially in the federal universities, southwest, Nigeria.</w:t>
      </w:r>
    </w:p>
    <w:p w14:paraId="662F838A" w14:textId="2195733D" w:rsidR="00DC2851" w:rsidRPr="008B1465" w:rsidRDefault="00DC2851" w:rsidP="00616968">
      <w:pPr>
        <w:pStyle w:val="Heading4"/>
        <w:rPr>
          <w:bCs/>
        </w:rPr>
      </w:pPr>
      <w:r w:rsidRPr="008B1465">
        <w:t xml:space="preserve">Fraud </w:t>
      </w:r>
      <w:r w:rsidR="006F3145" w:rsidRPr="008B1465">
        <w:t>M</w:t>
      </w:r>
      <w:r w:rsidRPr="008B1465">
        <w:t>odels</w:t>
      </w:r>
      <w:r w:rsidRPr="008B1465">
        <w:rPr>
          <w:bCs/>
        </w:rPr>
        <w:t xml:space="preserve"> </w:t>
      </w:r>
    </w:p>
    <w:p w14:paraId="47D63573" w14:textId="77777777" w:rsidR="00DC2851" w:rsidRPr="008B1465" w:rsidRDefault="00DC2851" w:rsidP="00DC2851">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To understand how individuals, commit fraud and to prevent, detect and respond to fraud schemes, antifraud specialists and forensic accountants should at first get aware of the causes that may lead a person to commit or engage in fraudulent activity. “The fraud triangle” The first and so far, most useful fraud model is Donald Cressey’s (1953) “Fraud Triangle”. Interviewing inmates in the Illinois State Penitentiary at Joliet, Cressey concluded that convicts serving time in prison for embezzlement present common characteristics. Based on his observations he concluded that to commit a white-collar crime, three criteria should be present; a non-shareable need (perceived pressure), awareness of the working environment and the opportunities existing to violate a position of trust and access valuable information and assets (perceived opportunity) and the ability to justify that this violation of trust does not constitute a crime (rationalization). These three elements, perceived pressure, perceived opportunity and rationalization are the corners of “the Fraud Triangle”. </w:t>
      </w:r>
    </w:p>
    <w:p w14:paraId="7FCD6154" w14:textId="77777777" w:rsidR="00DC2851" w:rsidRPr="008B1465" w:rsidRDefault="00DC2851" w:rsidP="00DC2851">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Perceived pressure or incentive relates to the personal issues of an individual that drive him to commit or engage in fraudulent activities. These motives can be either financial or non-financial. Financial incentives may include personal financial losses, the need to meet stakeholders’ expectations, an inability to pay a personal debt, or even greed. Even though most of the pressures relate to financial needs, non-shareable financial problems may also lead an individual to fraud. For instance, a strong sense of ego, pride, drugs, or gambling addiction is among the most common non-financial factors that motivate fraud perpetration. </w:t>
      </w:r>
    </w:p>
    <w:p w14:paraId="16375B5F" w14:textId="03B061A1" w:rsidR="00DC2851" w:rsidRPr="008B1465" w:rsidRDefault="00DC2851" w:rsidP="00DC2851">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Also, factors such as job dissatisfaction, a sense of underpayment and low job recognition by supervisors and managers are work-related incentives that push some people to commit fraud in order to get fair treatment from the employees of the same or other firms. Other than perceived pressure, according to Cressey, to commit fraud, conceal it and not being detected, perceived opportunity should be also present. Opportunity lies to the perception that the likelihood of getting caught is remote and a control weakness exists. Lack of proper authorization procedure, inadequate segregation of duties, inexistent audit trail and lack of physical and logical controls over assets, records and databases are among the opportunities a possible fraudster could take advantage of, to commit fraud. Even though an adequate control framework is in place and works properly, opportunities might also exist. Controls may be bypassed by fraudsters if they are in a position of trust. Thus, a prerequisite to opportunity is that fraud perpetrators are in a trusted position, with perceived privileges and the ability to overcome the firm’s internal controls, having access to valuable information and assets. The third element of “The Fraud Triangle” is a rationalization; the justification of wrongdoing to eliminate the cognitive dissonance within the fraudster’s psychology (Ramamoorti, 2008; Dorminey </w:t>
      </w:r>
      <w:r w:rsidR="00576E27" w:rsidRPr="008B1465">
        <w:rPr>
          <w:rFonts w:ascii="Times New Roman" w:eastAsia="Calibri" w:hAnsi="Times New Roman"/>
          <w:bCs/>
          <w:i/>
          <w:iCs/>
          <w:sz w:val="24"/>
          <w:szCs w:val="24"/>
        </w:rPr>
        <w:t>et al</w:t>
      </w:r>
      <w:r w:rsidRPr="008B1465">
        <w:rPr>
          <w:rFonts w:ascii="Times New Roman" w:eastAsia="Calibri" w:hAnsi="Times New Roman"/>
          <w:bCs/>
          <w:sz w:val="24"/>
          <w:szCs w:val="24"/>
        </w:rPr>
        <w:t xml:space="preserve">., 2012). As most of the perpetrators are first-time offenders and have a personal code of ethics, they desire to remain within their moral comfort zone and not being perceived as criminals. Thus, the only way is to consider their act as a special and unique occasion; in turn, this situation allows them not to view themselves as criminals. In many cases, fraudsters convince themselves that they will pay back their employers, “I am just borrowing the money, I will return it soon”; in other instances, they argue that they deserve it as reasonable compensation for their job-done, and in some others they claim that they do it for survival purposes, e.g. to get their medicine or undergo a surgery. </w:t>
      </w:r>
    </w:p>
    <w:p w14:paraId="64B9098D" w14:textId="6C08F95F" w:rsidR="00DC2851" w:rsidRPr="008B1465" w:rsidRDefault="00DC2851" w:rsidP="00DC2851">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Although “The Fraud Triangle” provides an effective fraud related model that has broadly served as a useful and meaningful means to anti-fraud professionals and research in understanding and explaining the antecedents to fraud, the evolution of fraud schemes and their complexity has increased the need for more sophisticated models (Dorminey </w:t>
      </w:r>
      <w:r w:rsidR="00576E27" w:rsidRPr="008B1465">
        <w:rPr>
          <w:rFonts w:ascii="Times New Roman" w:eastAsia="Calibri" w:hAnsi="Times New Roman"/>
          <w:bCs/>
          <w:i/>
          <w:iCs/>
          <w:sz w:val="24"/>
          <w:szCs w:val="24"/>
        </w:rPr>
        <w:t>et al</w:t>
      </w:r>
      <w:r w:rsidRPr="008B1465">
        <w:rPr>
          <w:rFonts w:ascii="Times New Roman" w:eastAsia="Calibri" w:hAnsi="Times New Roman"/>
          <w:bCs/>
          <w:sz w:val="24"/>
          <w:szCs w:val="24"/>
        </w:rPr>
        <w:t xml:space="preserve">., 2012; Schuchter &amp; Levi, 2015). These additional models seek to integrate psychological and sociological factors, attempting to explain the intrinsic and extrinsic elements that drive a fraudster’s behaviour and actions. </w:t>
      </w:r>
    </w:p>
    <w:p w14:paraId="29B04F59" w14:textId="1D10D435" w:rsidR="00DC2851" w:rsidRPr="008B1465" w:rsidRDefault="00DC2851" w:rsidP="00616968">
      <w:pPr>
        <w:pStyle w:val="Heading4"/>
      </w:pPr>
      <w:r w:rsidRPr="008B1465">
        <w:t>The Fraud Scale</w:t>
      </w:r>
    </w:p>
    <w:p w14:paraId="6BE0DD19" w14:textId="38D2AB6F" w:rsidR="00DC2851" w:rsidRPr="008B1465" w:rsidRDefault="00DC2851" w:rsidP="00DC2851">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Through an analysis of 212 fraud cases, Albrecht </w:t>
      </w:r>
      <w:r w:rsidR="00576E27" w:rsidRPr="008B1465">
        <w:rPr>
          <w:rFonts w:ascii="Times New Roman" w:eastAsia="Calibri" w:hAnsi="Times New Roman"/>
          <w:bCs/>
          <w:i/>
          <w:iCs/>
          <w:sz w:val="24"/>
          <w:szCs w:val="24"/>
        </w:rPr>
        <w:t>et al</w:t>
      </w:r>
      <w:r w:rsidRPr="008B1465">
        <w:rPr>
          <w:rFonts w:ascii="Times New Roman" w:eastAsia="Calibri" w:hAnsi="Times New Roman"/>
          <w:bCs/>
          <w:sz w:val="24"/>
          <w:szCs w:val="24"/>
        </w:rPr>
        <w:t xml:space="preserve">. (1984) developed the “Fraud Scale”. This model relies on the Fraud Triangle, but instead of rationalization, personal integrity is the third element that combined with perceived pressure and perceived opportunity can reduce fraud risk (Figure 2.6). </w:t>
      </w:r>
    </w:p>
    <w:p w14:paraId="6ABF28CB" w14:textId="428CF094" w:rsidR="00073C2B" w:rsidRPr="008B1465" w:rsidRDefault="00073C2B" w:rsidP="00DC2851">
      <w:pPr>
        <w:spacing w:after="0" w:line="360" w:lineRule="auto"/>
        <w:jc w:val="both"/>
        <w:rPr>
          <w:rFonts w:ascii="Times New Roman" w:eastAsia="Calibri" w:hAnsi="Times New Roman"/>
          <w:bCs/>
          <w:sz w:val="24"/>
          <w:szCs w:val="24"/>
        </w:rPr>
      </w:pPr>
    </w:p>
    <w:p w14:paraId="33F628C5" w14:textId="77777777" w:rsidR="00073C2B" w:rsidRPr="008B1465" w:rsidRDefault="00073C2B" w:rsidP="00DC2851">
      <w:pPr>
        <w:spacing w:after="0" w:line="360" w:lineRule="auto"/>
        <w:jc w:val="both"/>
        <w:rPr>
          <w:rFonts w:ascii="Times New Roman" w:eastAsia="Calibri" w:hAnsi="Times New Roman"/>
          <w:bCs/>
          <w:sz w:val="24"/>
          <w:szCs w:val="24"/>
        </w:rPr>
      </w:pPr>
    </w:p>
    <w:p w14:paraId="2C8F0B22" w14:textId="77777777" w:rsidR="00DC2851" w:rsidRPr="008B1465" w:rsidRDefault="00DC2851" w:rsidP="00DC2851">
      <w:pPr>
        <w:spacing w:after="0" w:line="360" w:lineRule="auto"/>
        <w:jc w:val="both"/>
        <w:rPr>
          <w:rFonts w:ascii="Times New Roman" w:eastAsia="Calibri" w:hAnsi="Times New Roman"/>
          <w:bCs/>
          <w:sz w:val="24"/>
          <w:szCs w:val="24"/>
        </w:rPr>
      </w:pPr>
    </w:p>
    <w:p w14:paraId="06AAE55B" w14:textId="77777777" w:rsidR="00DC2851" w:rsidRPr="008B1465" w:rsidRDefault="00DC2851" w:rsidP="00DC2851">
      <w:pPr>
        <w:spacing w:after="0" w:line="360" w:lineRule="auto"/>
        <w:jc w:val="both"/>
        <w:rPr>
          <w:rFonts w:ascii="Times New Roman" w:eastAsia="Calibri" w:hAnsi="Times New Roman"/>
          <w:bCs/>
          <w:sz w:val="24"/>
          <w:szCs w:val="24"/>
        </w:rPr>
      </w:pPr>
    </w:p>
    <w:p w14:paraId="652D8AE7" w14:textId="388EDD19" w:rsidR="00DC2851" w:rsidRPr="008B1465" w:rsidRDefault="00DC2851" w:rsidP="00DC2851">
      <w:pPr>
        <w:spacing w:after="0" w:line="360" w:lineRule="auto"/>
        <w:jc w:val="both"/>
        <w:rPr>
          <w:rFonts w:ascii="Times New Roman" w:hAnsi="Times New Roman"/>
          <w:sz w:val="24"/>
          <w:szCs w:val="24"/>
        </w:rPr>
      </w:pPr>
      <w:r w:rsidRPr="008B1465">
        <w:rPr>
          <w:rFonts w:ascii="Times New Roman" w:hAnsi="Times New Roman"/>
          <w:b/>
          <w:bCs/>
          <w:noProof/>
          <w:sz w:val="24"/>
          <w:szCs w:val="24"/>
        </w:rPr>
        <mc:AlternateContent>
          <mc:Choice Requires="wpg">
            <w:drawing>
              <wp:anchor distT="0" distB="0" distL="114300" distR="114300" simplePos="0" relativeHeight="251652608" behindDoc="0" locked="0" layoutInCell="1" allowOverlap="1" wp14:anchorId="497C6D94" wp14:editId="14F6904D">
                <wp:simplePos x="0" y="0"/>
                <wp:positionH relativeFrom="margin">
                  <wp:posOffset>666115</wp:posOffset>
                </wp:positionH>
                <wp:positionV relativeFrom="paragraph">
                  <wp:posOffset>-54610</wp:posOffset>
                </wp:positionV>
                <wp:extent cx="5049520" cy="3165475"/>
                <wp:effectExtent l="0" t="0" r="17780" b="16510"/>
                <wp:wrapNone/>
                <wp:docPr id="235" name="Group 235"/>
                <wp:cNvGraphicFramePr/>
                <a:graphic xmlns:a="http://schemas.openxmlformats.org/drawingml/2006/main">
                  <a:graphicData uri="http://schemas.microsoft.com/office/word/2010/wordprocessingGroup">
                    <wpg:wgp>
                      <wpg:cNvGrpSpPr/>
                      <wpg:grpSpPr>
                        <a:xfrm>
                          <a:off x="0" y="0"/>
                          <a:ext cx="5049520" cy="3165475"/>
                          <a:chOff x="0" y="0"/>
                          <a:chExt cx="5049715" cy="3165230"/>
                        </a:xfrm>
                      </wpg:grpSpPr>
                      <wps:wsp>
                        <wps:cNvPr id="236" name="Text Box 236"/>
                        <wps:cNvSpPr txBox="1"/>
                        <wps:spPr>
                          <a:xfrm>
                            <a:off x="175846" y="288387"/>
                            <a:ext cx="4579816" cy="461010"/>
                          </a:xfrm>
                          <a:prstGeom prst="rect">
                            <a:avLst/>
                          </a:prstGeom>
                          <a:solidFill>
                            <a:schemeClr val="lt1"/>
                          </a:solidFill>
                          <a:ln w="6350">
                            <a:solidFill>
                              <a:prstClr val="black"/>
                            </a:solidFill>
                          </a:ln>
                        </wps:spPr>
                        <wps:txbx>
                          <w:txbxContent>
                            <w:p w14:paraId="56BEE1AB" w14:textId="77777777" w:rsidR="00FE7438" w:rsidRDefault="00FE7438" w:rsidP="00DC2851">
                              <w:pPr>
                                <w:pStyle w:val="NoSpacing"/>
                                <w:rPr>
                                  <w:rFonts w:ascii="Times New Roman" w:hAnsi="Times New Roman"/>
                                  <w:sz w:val="28"/>
                                  <w:szCs w:val="28"/>
                                </w:rPr>
                              </w:pPr>
                              <w:r>
                                <w:rPr>
                                  <w:rFonts w:ascii="Times New Roman" w:hAnsi="Times New Roman"/>
                                  <w:sz w:val="28"/>
                                  <w:szCs w:val="28"/>
                                </w:rPr>
                                <w:t xml:space="preserve">High Pressure                                                      Low Pressure </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7" name="Text Box 237"/>
                        <wps:cNvSpPr txBox="1"/>
                        <wps:spPr>
                          <a:xfrm>
                            <a:off x="182880" y="956603"/>
                            <a:ext cx="4572879" cy="500380"/>
                          </a:xfrm>
                          <a:prstGeom prst="rect">
                            <a:avLst/>
                          </a:prstGeom>
                          <a:solidFill>
                            <a:schemeClr val="lt1"/>
                          </a:solidFill>
                          <a:ln w="6350">
                            <a:solidFill>
                              <a:prstClr val="black"/>
                            </a:solidFill>
                          </a:ln>
                        </wps:spPr>
                        <wps:txbx>
                          <w:txbxContent>
                            <w:p w14:paraId="73E4414C" w14:textId="77777777" w:rsidR="00FE7438" w:rsidRDefault="00FE7438" w:rsidP="00DC2851">
                              <w:pPr>
                                <w:pStyle w:val="NoSpacing"/>
                                <w:rPr>
                                  <w:rFonts w:ascii="Times New Roman" w:hAnsi="Times New Roman"/>
                                  <w:sz w:val="28"/>
                                  <w:szCs w:val="28"/>
                                </w:rPr>
                              </w:pPr>
                              <w:r>
                                <w:rPr>
                                  <w:rFonts w:ascii="Times New Roman" w:hAnsi="Times New Roman"/>
                                  <w:sz w:val="28"/>
                                  <w:szCs w:val="28"/>
                                </w:rPr>
                                <w:t xml:space="preserve">Greater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Lesser </w:t>
                              </w:r>
                            </w:p>
                            <w:p w14:paraId="16A9FB32" w14:textId="77777777" w:rsidR="00FE7438" w:rsidRDefault="00FE7438" w:rsidP="00DC2851">
                              <w:pPr>
                                <w:pStyle w:val="NoSpacing"/>
                                <w:rPr>
                                  <w:rFonts w:ascii="Times New Roman" w:hAnsi="Times New Roman"/>
                                  <w:sz w:val="28"/>
                                  <w:szCs w:val="28"/>
                                </w:rPr>
                              </w:pPr>
                              <w:r>
                                <w:rPr>
                                  <w:rFonts w:ascii="Times New Roman" w:hAnsi="Times New Roman"/>
                                  <w:sz w:val="28"/>
                                  <w:szCs w:val="28"/>
                                </w:rPr>
                                <w:t xml:space="preserve">Opportunity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Opportunity</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8" name="Text Box 238"/>
                        <wps:cNvSpPr txBox="1"/>
                        <wps:spPr>
                          <a:xfrm>
                            <a:off x="196948" y="1645920"/>
                            <a:ext cx="4558909" cy="500380"/>
                          </a:xfrm>
                          <a:prstGeom prst="rect">
                            <a:avLst/>
                          </a:prstGeom>
                          <a:solidFill>
                            <a:schemeClr val="lt1"/>
                          </a:solidFill>
                          <a:ln w="6350">
                            <a:solidFill>
                              <a:prstClr val="black"/>
                            </a:solidFill>
                          </a:ln>
                        </wps:spPr>
                        <wps:txbx>
                          <w:txbxContent>
                            <w:p w14:paraId="121666F0" w14:textId="77777777" w:rsidR="00FE7438" w:rsidRDefault="00FE7438" w:rsidP="00DC2851">
                              <w:pPr>
                                <w:pStyle w:val="NoSpacing"/>
                                <w:rPr>
                                  <w:rFonts w:ascii="Times New Roman" w:hAnsi="Times New Roman"/>
                                  <w:sz w:val="28"/>
                                  <w:szCs w:val="28"/>
                                </w:rPr>
                              </w:pPr>
                              <w:r>
                                <w:rPr>
                                  <w:rFonts w:ascii="Times New Roman" w:hAnsi="Times New Roman"/>
                                  <w:sz w:val="28"/>
                                  <w:szCs w:val="28"/>
                                </w:rPr>
                                <w:t>Lower Personal</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Higher Personal  </w:t>
                              </w:r>
                            </w:p>
                            <w:p w14:paraId="0077BA64" w14:textId="77777777" w:rsidR="00FE7438" w:rsidRDefault="00FE7438" w:rsidP="00DC2851">
                              <w:pPr>
                                <w:pStyle w:val="NoSpacing"/>
                                <w:rPr>
                                  <w:rFonts w:ascii="Times New Roman" w:hAnsi="Times New Roman"/>
                                  <w:sz w:val="28"/>
                                  <w:szCs w:val="28"/>
                                </w:rPr>
                              </w:pPr>
                              <w:r>
                                <w:rPr>
                                  <w:rFonts w:ascii="Times New Roman" w:hAnsi="Times New Roman"/>
                                  <w:sz w:val="28"/>
                                  <w:szCs w:val="28"/>
                                </w:rPr>
                                <w:t xml:space="preserve">Integrity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Integrity </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Trapezoid 239"/>
                        <wps:cNvSpPr/>
                        <wps:spPr>
                          <a:xfrm>
                            <a:off x="1587598" y="0"/>
                            <a:ext cx="1884680" cy="2651760"/>
                          </a:xfrm>
                          <a:prstGeom prst="trapezoid">
                            <a:avLst/>
                          </a:prstGeom>
                          <a:solidFill>
                            <a:schemeClr val="bg1">
                              <a:lumMod val="95000"/>
                            </a:schemeClr>
                          </a:solidFill>
                          <a:ln w="1270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0" name="Oval 240"/>
                        <wps:cNvSpPr/>
                        <wps:spPr>
                          <a:xfrm>
                            <a:off x="1863969" y="710418"/>
                            <a:ext cx="1336040" cy="1258570"/>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1" name="Arrow: Up 241"/>
                        <wps:cNvSpPr/>
                        <wps:spPr>
                          <a:xfrm>
                            <a:off x="2445727" y="849044"/>
                            <a:ext cx="161290" cy="956310"/>
                          </a:xfrm>
                          <a:prstGeom prst="up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Text Box 242"/>
                        <wps:cNvSpPr txBox="1"/>
                        <wps:spPr>
                          <a:xfrm>
                            <a:off x="2074985" y="49237"/>
                            <a:ext cx="935355" cy="625475"/>
                          </a:xfrm>
                          <a:prstGeom prst="rect">
                            <a:avLst/>
                          </a:prstGeom>
                          <a:noFill/>
                          <a:ln w="6350">
                            <a:noFill/>
                          </a:ln>
                        </wps:spPr>
                        <wps:txbx>
                          <w:txbxContent>
                            <w:p w14:paraId="0C364075" w14:textId="77777777" w:rsidR="00FE7438" w:rsidRDefault="00FE7438" w:rsidP="00DC2851">
                              <w:pPr>
                                <w:pStyle w:val="NoSpacing"/>
                                <w:jc w:val="center"/>
                                <w:rPr>
                                  <w:rFonts w:ascii="Times New Roman" w:hAnsi="Times New Roman"/>
                                  <w:b/>
                                  <w:bCs/>
                                  <w:sz w:val="38"/>
                                  <w:szCs w:val="38"/>
                                </w:rPr>
                              </w:pPr>
                              <w:r>
                                <w:rPr>
                                  <w:rFonts w:ascii="Times New Roman" w:hAnsi="Times New Roman"/>
                                  <w:b/>
                                  <w:bCs/>
                                  <w:sz w:val="38"/>
                                  <w:szCs w:val="38"/>
                                </w:rPr>
                                <w:t>Fraud</w:t>
                              </w:r>
                            </w:p>
                            <w:p w14:paraId="18538FD7" w14:textId="77777777" w:rsidR="00FE7438" w:rsidRDefault="00FE7438" w:rsidP="00DC2851">
                              <w:pPr>
                                <w:pStyle w:val="NoSpacing"/>
                                <w:jc w:val="center"/>
                                <w:rPr>
                                  <w:rFonts w:ascii="Times New Roman" w:hAnsi="Times New Roman"/>
                                  <w:b/>
                                  <w:bCs/>
                                  <w:sz w:val="38"/>
                                  <w:szCs w:val="38"/>
                                </w:rPr>
                              </w:pPr>
                              <w:r>
                                <w:rPr>
                                  <w:rFonts w:ascii="Times New Roman" w:hAnsi="Times New Roman"/>
                                  <w:b/>
                                  <w:bCs/>
                                  <w:sz w:val="38"/>
                                  <w:szCs w:val="38"/>
                                </w:rPr>
                                <w:t>Scale</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43" name="Text Box 243"/>
                        <wps:cNvSpPr txBox="1"/>
                        <wps:spPr>
                          <a:xfrm>
                            <a:off x="0" y="2398541"/>
                            <a:ext cx="1581785" cy="766445"/>
                          </a:xfrm>
                          <a:prstGeom prst="rect">
                            <a:avLst/>
                          </a:prstGeom>
                          <a:solidFill>
                            <a:schemeClr val="lt1"/>
                          </a:solidFill>
                          <a:ln w="6350">
                            <a:solidFill>
                              <a:prstClr val="black"/>
                            </a:solidFill>
                          </a:ln>
                        </wps:spPr>
                        <wps:txbx>
                          <w:txbxContent>
                            <w:p w14:paraId="58C1E716" w14:textId="77777777" w:rsidR="00FE7438" w:rsidRDefault="00FE7438" w:rsidP="00DC2851">
                              <w:pPr>
                                <w:pStyle w:val="NoSpacing"/>
                                <w:rPr>
                                  <w:rFonts w:ascii="Times New Roman" w:hAnsi="Times New Roman"/>
                                  <w:sz w:val="28"/>
                                  <w:szCs w:val="28"/>
                                </w:rPr>
                              </w:pPr>
                              <w:r>
                                <w:rPr>
                                  <w:rFonts w:ascii="Times New Roman" w:hAnsi="Times New Roman"/>
                                  <w:sz w:val="28"/>
                                  <w:szCs w:val="28"/>
                                </w:rPr>
                                <w:t xml:space="preserve">Conditions </w:t>
                              </w:r>
                            </w:p>
                            <w:p w14:paraId="21CB0D20" w14:textId="77777777" w:rsidR="00FE7438" w:rsidRDefault="00FE7438" w:rsidP="00DC2851">
                              <w:pPr>
                                <w:pStyle w:val="NoSpacing"/>
                                <w:rPr>
                                  <w:rFonts w:ascii="Times New Roman" w:hAnsi="Times New Roman"/>
                                  <w:sz w:val="28"/>
                                  <w:szCs w:val="28"/>
                                </w:rPr>
                              </w:pPr>
                              <w:r>
                                <w:rPr>
                                  <w:rFonts w:ascii="Times New Roman" w:hAnsi="Times New Roman"/>
                                  <w:sz w:val="28"/>
                                  <w:szCs w:val="28"/>
                                </w:rPr>
                                <w:t xml:space="preserve">Suggesting Higher </w:t>
                              </w:r>
                            </w:p>
                            <w:p w14:paraId="05C3436B" w14:textId="77777777" w:rsidR="00FE7438" w:rsidRDefault="00FE7438" w:rsidP="00DC2851">
                              <w:pPr>
                                <w:pStyle w:val="NoSpacing"/>
                                <w:rPr>
                                  <w:rFonts w:ascii="Times New Roman" w:hAnsi="Times New Roman"/>
                                  <w:sz w:val="28"/>
                                  <w:szCs w:val="28"/>
                                </w:rPr>
                              </w:pPr>
                              <w:r>
                                <w:rPr>
                                  <w:rFonts w:ascii="Times New Roman" w:hAnsi="Times New Roman"/>
                                  <w:sz w:val="28"/>
                                  <w:szCs w:val="28"/>
                                </w:rPr>
                                <w:t>Fraud Risk</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44" name="Text Box 244"/>
                        <wps:cNvSpPr txBox="1"/>
                        <wps:spPr>
                          <a:xfrm>
                            <a:off x="3467686" y="2398541"/>
                            <a:ext cx="1582029" cy="766689"/>
                          </a:xfrm>
                          <a:prstGeom prst="rect">
                            <a:avLst/>
                          </a:prstGeom>
                          <a:solidFill>
                            <a:schemeClr val="lt1"/>
                          </a:solidFill>
                          <a:ln w="6350">
                            <a:solidFill>
                              <a:prstClr val="black"/>
                            </a:solidFill>
                          </a:ln>
                        </wps:spPr>
                        <wps:txbx>
                          <w:txbxContent>
                            <w:p w14:paraId="2EFE1B97" w14:textId="77777777" w:rsidR="00FE7438" w:rsidRDefault="00FE7438" w:rsidP="00DC2851">
                              <w:pPr>
                                <w:pStyle w:val="NoSpacing"/>
                                <w:jc w:val="right"/>
                                <w:rPr>
                                  <w:rFonts w:ascii="Times New Roman" w:hAnsi="Times New Roman"/>
                                  <w:sz w:val="28"/>
                                  <w:szCs w:val="28"/>
                                </w:rPr>
                              </w:pPr>
                              <w:r>
                                <w:rPr>
                                  <w:rFonts w:ascii="Times New Roman" w:hAnsi="Times New Roman"/>
                                  <w:sz w:val="28"/>
                                  <w:szCs w:val="28"/>
                                </w:rPr>
                                <w:t xml:space="preserve">Conditions </w:t>
                              </w:r>
                            </w:p>
                            <w:p w14:paraId="657540C7" w14:textId="77777777" w:rsidR="00FE7438" w:rsidRDefault="00FE7438" w:rsidP="00DC2851">
                              <w:pPr>
                                <w:pStyle w:val="NoSpacing"/>
                                <w:jc w:val="right"/>
                                <w:rPr>
                                  <w:rFonts w:ascii="Times New Roman" w:hAnsi="Times New Roman"/>
                                  <w:sz w:val="28"/>
                                  <w:szCs w:val="28"/>
                                </w:rPr>
                              </w:pPr>
                              <w:r>
                                <w:rPr>
                                  <w:rFonts w:ascii="Times New Roman" w:hAnsi="Times New Roman"/>
                                  <w:sz w:val="28"/>
                                  <w:szCs w:val="28"/>
                                </w:rPr>
                                <w:t xml:space="preserve">Suggesting Lower </w:t>
                              </w:r>
                            </w:p>
                            <w:p w14:paraId="5E42F2B9" w14:textId="77777777" w:rsidR="00FE7438" w:rsidRDefault="00FE7438" w:rsidP="00DC2851">
                              <w:pPr>
                                <w:pStyle w:val="NoSpacing"/>
                                <w:jc w:val="right"/>
                                <w:rPr>
                                  <w:rFonts w:ascii="Times New Roman" w:hAnsi="Times New Roman"/>
                                  <w:sz w:val="28"/>
                                  <w:szCs w:val="28"/>
                                </w:rPr>
                              </w:pPr>
                              <w:r>
                                <w:rPr>
                                  <w:rFonts w:ascii="Times New Roman" w:hAnsi="Times New Roman"/>
                                  <w:sz w:val="28"/>
                                  <w:szCs w:val="28"/>
                                </w:rPr>
                                <w:t>Fraud Risk</w:t>
                              </w: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97C6D94" id="Group 235" o:spid="_x0000_s1212" style="position:absolute;left:0;text-align:left;margin-left:52.45pt;margin-top:-4.3pt;width:397.6pt;height:249.25pt;z-index:251652608;mso-position-horizontal-relative:margin" coordsize="50497,316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">
                <v:shape id="Text Box 236" o:spid="_x0000_s1213" type="#_x0000_t202" style="position:absolute;left:1758;top:2883;width:45798;height:4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" fillcolor="white [3201]" strokeweight=".5pt">
                  <v:textbox>
                    <w:txbxContent>
                      <w:p w14:paraId="56BEE1AB" w14:textId="77777777" w:rsidR="00FE7438" w:rsidRDefault="00FE7438" w:rsidP="00DC2851">
                        <w:pPr>
                          <w:pStyle w:val="NoSpacing"/>
                          <w:rPr>
                            <w:rFonts w:ascii="Times New Roman" w:hAnsi="Times New Roman"/>
                            <w:sz w:val="28"/>
                            <w:szCs w:val="28"/>
                          </w:rPr>
                        </w:pPr>
                        <w:r>
                          <w:rPr>
                            <w:rFonts w:ascii="Times New Roman" w:hAnsi="Times New Roman"/>
                            <w:sz w:val="28"/>
                            <w:szCs w:val="28"/>
                          </w:rPr>
                          <w:t xml:space="preserve">High Pressure                                                      Low Pressure </w:t>
                        </w:r>
                      </w:p>
                    </w:txbxContent>
                  </v:textbox>
                </v:shape>
                <v:shape id="Text Box 237" o:spid="_x0000_s1214" type="#_x0000_t202" style="position:absolute;left:1828;top:9566;width:45729;height:50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" fillcolor="white [3201]" strokeweight=".5pt">
                  <v:textbox>
                    <w:txbxContent>
                      <w:p w14:paraId="73E4414C" w14:textId="77777777" w:rsidR="00FE7438" w:rsidRDefault="00FE7438" w:rsidP="00DC2851">
                        <w:pPr>
                          <w:pStyle w:val="NoSpacing"/>
                          <w:rPr>
                            <w:rFonts w:ascii="Times New Roman" w:hAnsi="Times New Roman"/>
                            <w:sz w:val="28"/>
                            <w:szCs w:val="28"/>
                          </w:rPr>
                        </w:pPr>
                        <w:r>
                          <w:rPr>
                            <w:rFonts w:ascii="Times New Roman" w:hAnsi="Times New Roman"/>
                            <w:sz w:val="28"/>
                            <w:szCs w:val="28"/>
                          </w:rPr>
                          <w:t xml:space="preserve">Greater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Lesser </w:t>
                        </w:r>
                      </w:p>
                      <w:p w14:paraId="16A9FB32" w14:textId="77777777" w:rsidR="00FE7438" w:rsidRDefault="00FE7438" w:rsidP="00DC2851">
                        <w:pPr>
                          <w:pStyle w:val="NoSpacing"/>
                          <w:rPr>
                            <w:rFonts w:ascii="Times New Roman" w:hAnsi="Times New Roman"/>
                            <w:sz w:val="28"/>
                            <w:szCs w:val="28"/>
                          </w:rPr>
                        </w:pPr>
                        <w:r>
                          <w:rPr>
                            <w:rFonts w:ascii="Times New Roman" w:hAnsi="Times New Roman"/>
                            <w:sz w:val="28"/>
                            <w:szCs w:val="28"/>
                          </w:rPr>
                          <w:t xml:space="preserve">Opportunity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Opportunity</w:t>
                        </w:r>
                      </w:p>
                    </w:txbxContent>
                  </v:textbox>
                </v:shape>
                <v:shape id="Text Box 238" o:spid="_x0000_s1215" type="#_x0000_t202" style="position:absolute;left:1969;top:16459;width:45589;height:5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" fillcolor="white [3201]" strokeweight=".5pt">
                  <v:textbox>
                    <w:txbxContent>
                      <w:p w14:paraId="121666F0" w14:textId="77777777" w:rsidR="00FE7438" w:rsidRDefault="00FE7438" w:rsidP="00DC2851">
                        <w:pPr>
                          <w:pStyle w:val="NoSpacing"/>
                          <w:rPr>
                            <w:rFonts w:ascii="Times New Roman" w:hAnsi="Times New Roman"/>
                            <w:sz w:val="28"/>
                            <w:szCs w:val="28"/>
                          </w:rPr>
                        </w:pPr>
                        <w:r>
                          <w:rPr>
                            <w:rFonts w:ascii="Times New Roman" w:hAnsi="Times New Roman"/>
                            <w:sz w:val="28"/>
                            <w:szCs w:val="28"/>
                          </w:rPr>
                          <w:t>Lower Personal</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Higher Personal  </w:t>
                        </w:r>
                      </w:p>
                      <w:p w14:paraId="0077BA64" w14:textId="77777777" w:rsidR="00FE7438" w:rsidRDefault="00FE7438" w:rsidP="00DC2851">
                        <w:pPr>
                          <w:pStyle w:val="NoSpacing"/>
                          <w:rPr>
                            <w:rFonts w:ascii="Times New Roman" w:hAnsi="Times New Roman"/>
                            <w:sz w:val="28"/>
                            <w:szCs w:val="28"/>
                          </w:rPr>
                        </w:pPr>
                        <w:r>
                          <w:rPr>
                            <w:rFonts w:ascii="Times New Roman" w:hAnsi="Times New Roman"/>
                            <w:sz w:val="28"/>
                            <w:szCs w:val="28"/>
                          </w:rPr>
                          <w:t xml:space="preserve">Integrity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Integrity </w:t>
                        </w:r>
                      </w:p>
                    </w:txbxContent>
                  </v:textbox>
                </v:shape>
                <v:shape id="Trapezoid 239" o:spid="_x0000_s1216" style="position:absolute;left:15875;width:18847;height:26517;visibility:visible;mso-wrap-style:square;v-text-anchor:middle" coordsize="1884680,2651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" path="m,2651760l471170,r942340,l1884680,2651760,,2651760xe" fillcolor="#f2f2f2 [3052]" strokecolor="black [3213]" strokeweight="1pt">
                  <v:stroke joinstyle="miter"/>
                  <v:path arrowok="t" o:connecttype="custom" o:connectlocs="0,2651760;471170,0;1413510,0;1884680,2651760;0,2651760" o:connectangles="0,0,0,0,0"/>
                </v:shape>
                <v:oval id="Oval 240" o:spid="_x0000_s1217" style="position:absolute;left:18639;top:7104;width:13361;height:125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" fillcolor="white [3201]" strokecolor="black [3213]" strokeweight="1pt">
                  <v:stroke joinstyle="miter"/>
                </v:oval>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rrow: Up 241" o:spid="_x0000_s1218" type="#_x0000_t68" style="position:absolute;left:24457;top:8490;width:1613;height:95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" adj="1822" fillcolor="white [3201]" strokecolor="black [3213]" strokeweight="1pt"/>
                <v:shape id="Text Box 242" o:spid="_x0000_s1219" type="#_x0000_t202" style="position:absolute;left:20749;top:492;width:9354;height:6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" filled="f" stroked="f" strokeweight=".5pt">
                  <v:textbox>
                    <w:txbxContent>
                      <w:p w14:paraId="0C364075" w14:textId="77777777" w:rsidR="00FE7438" w:rsidRDefault="00FE7438" w:rsidP="00DC2851">
                        <w:pPr>
                          <w:pStyle w:val="NoSpacing"/>
                          <w:jc w:val="center"/>
                          <w:rPr>
                            <w:rFonts w:ascii="Times New Roman" w:hAnsi="Times New Roman"/>
                            <w:b/>
                            <w:bCs/>
                            <w:sz w:val="38"/>
                            <w:szCs w:val="38"/>
                          </w:rPr>
                        </w:pPr>
                        <w:r>
                          <w:rPr>
                            <w:rFonts w:ascii="Times New Roman" w:hAnsi="Times New Roman"/>
                            <w:b/>
                            <w:bCs/>
                            <w:sz w:val="38"/>
                            <w:szCs w:val="38"/>
                          </w:rPr>
                          <w:t>Fraud</w:t>
                        </w:r>
                      </w:p>
                      <w:p w14:paraId="18538FD7" w14:textId="77777777" w:rsidR="00FE7438" w:rsidRDefault="00FE7438" w:rsidP="00DC2851">
                        <w:pPr>
                          <w:pStyle w:val="NoSpacing"/>
                          <w:jc w:val="center"/>
                          <w:rPr>
                            <w:rFonts w:ascii="Times New Roman" w:hAnsi="Times New Roman"/>
                            <w:b/>
                            <w:bCs/>
                            <w:sz w:val="38"/>
                            <w:szCs w:val="38"/>
                          </w:rPr>
                        </w:pPr>
                        <w:r>
                          <w:rPr>
                            <w:rFonts w:ascii="Times New Roman" w:hAnsi="Times New Roman"/>
                            <w:b/>
                            <w:bCs/>
                            <w:sz w:val="38"/>
                            <w:szCs w:val="38"/>
                          </w:rPr>
                          <w:t>Scale</w:t>
                        </w:r>
                      </w:p>
                    </w:txbxContent>
                  </v:textbox>
                </v:shape>
                <v:shape id="Text Box 243" o:spid="_x0000_s1220" type="#_x0000_t202" style="position:absolute;top:23985;width:15817;height:76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" fillcolor="white [3201]" strokeweight=".5pt">
                  <v:textbox>
                    <w:txbxContent>
                      <w:p w14:paraId="58C1E716" w14:textId="77777777" w:rsidR="00FE7438" w:rsidRDefault="00FE7438" w:rsidP="00DC2851">
                        <w:pPr>
                          <w:pStyle w:val="NoSpacing"/>
                          <w:rPr>
                            <w:rFonts w:ascii="Times New Roman" w:hAnsi="Times New Roman"/>
                            <w:sz w:val="28"/>
                            <w:szCs w:val="28"/>
                          </w:rPr>
                        </w:pPr>
                        <w:r>
                          <w:rPr>
                            <w:rFonts w:ascii="Times New Roman" w:hAnsi="Times New Roman"/>
                            <w:sz w:val="28"/>
                            <w:szCs w:val="28"/>
                          </w:rPr>
                          <w:t xml:space="preserve">Conditions </w:t>
                        </w:r>
                      </w:p>
                      <w:p w14:paraId="21CB0D20" w14:textId="77777777" w:rsidR="00FE7438" w:rsidRDefault="00FE7438" w:rsidP="00DC2851">
                        <w:pPr>
                          <w:pStyle w:val="NoSpacing"/>
                          <w:rPr>
                            <w:rFonts w:ascii="Times New Roman" w:hAnsi="Times New Roman"/>
                            <w:sz w:val="28"/>
                            <w:szCs w:val="28"/>
                          </w:rPr>
                        </w:pPr>
                        <w:r>
                          <w:rPr>
                            <w:rFonts w:ascii="Times New Roman" w:hAnsi="Times New Roman"/>
                            <w:sz w:val="28"/>
                            <w:szCs w:val="28"/>
                          </w:rPr>
                          <w:t xml:space="preserve">Suggesting Higher </w:t>
                        </w:r>
                      </w:p>
                      <w:p w14:paraId="05C3436B" w14:textId="77777777" w:rsidR="00FE7438" w:rsidRDefault="00FE7438" w:rsidP="00DC2851">
                        <w:pPr>
                          <w:pStyle w:val="NoSpacing"/>
                          <w:rPr>
                            <w:rFonts w:ascii="Times New Roman" w:hAnsi="Times New Roman"/>
                            <w:sz w:val="28"/>
                            <w:szCs w:val="28"/>
                          </w:rPr>
                        </w:pPr>
                        <w:r>
                          <w:rPr>
                            <w:rFonts w:ascii="Times New Roman" w:hAnsi="Times New Roman"/>
                            <w:sz w:val="28"/>
                            <w:szCs w:val="28"/>
                          </w:rPr>
                          <w:t>Fraud Risk</w:t>
                        </w:r>
                      </w:p>
                    </w:txbxContent>
                  </v:textbox>
                </v:shape>
                <v:shape id="Text Box 244" o:spid="_x0000_s1221" type="#_x0000_t202" style="position:absolute;left:34676;top:23985;width:15821;height:7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" fillcolor="white [3201]" strokeweight=".5pt">
                  <v:textbox>
                    <w:txbxContent>
                      <w:p w14:paraId="2EFE1B97" w14:textId="77777777" w:rsidR="00FE7438" w:rsidRDefault="00FE7438" w:rsidP="00DC2851">
                        <w:pPr>
                          <w:pStyle w:val="NoSpacing"/>
                          <w:jc w:val="right"/>
                          <w:rPr>
                            <w:rFonts w:ascii="Times New Roman" w:hAnsi="Times New Roman"/>
                            <w:sz w:val="28"/>
                            <w:szCs w:val="28"/>
                          </w:rPr>
                        </w:pPr>
                        <w:r>
                          <w:rPr>
                            <w:rFonts w:ascii="Times New Roman" w:hAnsi="Times New Roman"/>
                            <w:sz w:val="28"/>
                            <w:szCs w:val="28"/>
                          </w:rPr>
                          <w:t xml:space="preserve">Conditions </w:t>
                        </w:r>
                      </w:p>
                      <w:p w14:paraId="657540C7" w14:textId="77777777" w:rsidR="00FE7438" w:rsidRDefault="00FE7438" w:rsidP="00DC2851">
                        <w:pPr>
                          <w:pStyle w:val="NoSpacing"/>
                          <w:jc w:val="right"/>
                          <w:rPr>
                            <w:rFonts w:ascii="Times New Roman" w:hAnsi="Times New Roman"/>
                            <w:sz w:val="28"/>
                            <w:szCs w:val="28"/>
                          </w:rPr>
                        </w:pPr>
                        <w:r>
                          <w:rPr>
                            <w:rFonts w:ascii="Times New Roman" w:hAnsi="Times New Roman"/>
                            <w:sz w:val="28"/>
                            <w:szCs w:val="28"/>
                          </w:rPr>
                          <w:t xml:space="preserve">Suggesting Lower </w:t>
                        </w:r>
                      </w:p>
                      <w:p w14:paraId="5E42F2B9" w14:textId="77777777" w:rsidR="00FE7438" w:rsidRDefault="00FE7438" w:rsidP="00DC2851">
                        <w:pPr>
                          <w:pStyle w:val="NoSpacing"/>
                          <w:jc w:val="right"/>
                          <w:rPr>
                            <w:rFonts w:ascii="Times New Roman" w:hAnsi="Times New Roman"/>
                            <w:sz w:val="28"/>
                            <w:szCs w:val="28"/>
                          </w:rPr>
                        </w:pPr>
                        <w:r>
                          <w:rPr>
                            <w:rFonts w:ascii="Times New Roman" w:hAnsi="Times New Roman"/>
                            <w:sz w:val="28"/>
                            <w:szCs w:val="28"/>
                          </w:rPr>
                          <w:t>Fraud Risk</w:t>
                        </w:r>
                      </w:p>
                    </w:txbxContent>
                  </v:textbox>
                </v:shape>
                <w10:wrap anchorx="margin"/>
              </v:group>
            </w:pict>
          </mc:Fallback>
        </mc:AlternateContent>
      </w:r>
    </w:p>
    <w:p w14:paraId="1F36BEA0" w14:textId="77777777" w:rsidR="00DC2851" w:rsidRPr="008B1465" w:rsidRDefault="00DC2851" w:rsidP="00DC2851">
      <w:pPr>
        <w:spacing w:after="0" w:line="360" w:lineRule="auto"/>
        <w:jc w:val="both"/>
        <w:rPr>
          <w:rFonts w:ascii="Times New Roman" w:hAnsi="Times New Roman"/>
          <w:sz w:val="24"/>
          <w:szCs w:val="24"/>
        </w:rPr>
      </w:pPr>
    </w:p>
    <w:p w14:paraId="123BB986" w14:textId="77777777" w:rsidR="00DC2851" w:rsidRPr="008B1465" w:rsidRDefault="00DC2851" w:rsidP="00DC2851">
      <w:pPr>
        <w:spacing w:after="0" w:line="360" w:lineRule="auto"/>
        <w:jc w:val="both"/>
        <w:rPr>
          <w:rFonts w:ascii="Times New Roman" w:hAnsi="Times New Roman"/>
          <w:sz w:val="24"/>
          <w:szCs w:val="24"/>
        </w:rPr>
      </w:pPr>
    </w:p>
    <w:p w14:paraId="18490267" w14:textId="77777777" w:rsidR="00DC2851" w:rsidRPr="008B1465" w:rsidRDefault="00DC2851" w:rsidP="00DC2851">
      <w:pPr>
        <w:spacing w:after="0" w:line="360" w:lineRule="auto"/>
        <w:jc w:val="both"/>
        <w:rPr>
          <w:rFonts w:ascii="Times New Roman" w:hAnsi="Times New Roman"/>
          <w:sz w:val="24"/>
          <w:szCs w:val="24"/>
        </w:rPr>
      </w:pPr>
    </w:p>
    <w:p w14:paraId="43EDF026" w14:textId="77777777" w:rsidR="00DC2851" w:rsidRPr="008B1465" w:rsidRDefault="00DC2851" w:rsidP="00DC2851">
      <w:pPr>
        <w:spacing w:after="0" w:line="360" w:lineRule="auto"/>
        <w:jc w:val="both"/>
        <w:rPr>
          <w:rFonts w:ascii="Times New Roman" w:hAnsi="Times New Roman"/>
          <w:sz w:val="24"/>
          <w:szCs w:val="24"/>
        </w:rPr>
      </w:pPr>
    </w:p>
    <w:p w14:paraId="1A22CDA1" w14:textId="77777777" w:rsidR="00DC2851" w:rsidRPr="008B1465" w:rsidRDefault="00DC2851" w:rsidP="00DC2851">
      <w:pPr>
        <w:spacing w:after="0" w:line="360" w:lineRule="auto"/>
        <w:jc w:val="both"/>
        <w:rPr>
          <w:rFonts w:ascii="Times New Roman" w:hAnsi="Times New Roman"/>
          <w:sz w:val="24"/>
          <w:szCs w:val="24"/>
        </w:rPr>
      </w:pPr>
    </w:p>
    <w:p w14:paraId="44375B93" w14:textId="77777777" w:rsidR="00DC2851" w:rsidRPr="008B1465" w:rsidRDefault="00DC2851" w:rsidP="00DC2851">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 </w:t>
      </w:r>
    </w:p>
    <w:p w14:paraId="6548E126" w14:textId="77777777" w:rsidR="004353F0" w:rsidRPr="008B1465" w:rsidRDefault="004353F0" w:rsidP="004353F0">
      <w:pPr>
        <w:spacing w:after="0" w:line="360" w:lineRule="auto"/>
        <w:jc w:val="both"/>
        <w:rPr>
          <w:rFonts w:ascii="Times New Roman" w:eastAsia="Calibri" w:hAnsi="Times New Roman"/>
          <w:bCs/>
          <w:sz w:val="24"/>
          <w:szCs w:val="24"/>
        </w:rPr>
      </w:pPr>
      <w:r w:rsidRPr="008B1465">
        <w:rPr>
          <w:noProof/>
        </w:rPr>
        <mc:AlternateContent>
          <mc:Choice Requires="wps">
            <w:drawing>
              <wp:anchor distT="0" distB="0" distL="114300" distR="114300" simplePos="0" relativeHeight="251692544" behindDoc="0" locked="0" layoutInCell="1" allowOverlap="1" wp14:anchorId="4FB3BD6C" wp14:editId="27C0DAAC">
                <wp:simplePos x="0" y="0"/>
                <wp:positionH relativeFrom="column">
                  <wp:posOffset>681742</wp:posOffset>
                </wp:positionH>
                <wp:positionV relativeFrom="paragraph">
                  <wp:posOffset>361002</wp:posOffset>
                </wp:positionV>
                <wp:extent cx="5049520" cy="226909"/>
                <wp:effectExtent l="0" t="0" r="0" b="1905"/>
                <wp:wrapNone/>
                <wp:docPr id="29" name="Text Box 29"/>
                <wp:cNvGraphicFramePr/>
                <a:graphic xmlns:a="http://schemas.openxmlformats.org/drawingml/2006/main">
                  <a:graphicData uri="http://schemas.microsoft.com/office/word/2010/wordprocessingShape">
                    <wps:wsp>
                      <wps:cNvSpPr txBox="1"/>
                      <wps:spPr>
                        <a:xfrm>
                          <a:off x="0" y="0"/>
                          <a:ext cx="5049520" cy="226909"/>
                        </a:xfrm>
                        <a:prstGeom prst="rect">
                          <a:avLst/>
                        </a:prstGeom>
                        <a:solidFill>
                          <a:prstClr val="white"/>
                        </a:solidFill>
                        <a:ln>
                          <a:noFill/>
                        </a:ln>
                      </wps:spPr>
                      <wps:txbx>
                        <w:txbxContent>
                          <w:p w14:paraId="06C79B61" w14:textId="7E443FF6" w:rsidR="00FE7438" w:rsidRPr="00F454E4" w:rsidRDefault="00FE7438" w:rsidP="00172684">
                            <w:pPr>
                              <w:pStyle w:val="Caption"/>
                              <w:jc w:val="center"/>
                              <w:rPr>
                                <w:rFonts w:ascii="Times New Roman" w:hAnsi="Times New Roman"/>
                                <w:i w:val="0"/>
                                <w:iCs w:val="0"/>
                                <w:noProof/>
                                <w:color w:val="auto"/>
                                <w:sz w:val="24"/>
                                <w:szCs w:val="24"/>
                              </w:rPr>
                            </w:pPr>
                            <w:bookmarkStart w:id="67" w:name="_Toc145953090"/>
                            <w:r w:rsidRPr="00F454E4">
                              <w:rPr>
                                <w:rFonts w:ascii="Times New Roman" w:hAnsi="Times New Roman"/>
                                <w:i w:val="0"/>
                                <w:iCs w:val="0"/>
                                <w:color w:val="auto"/>
                                <w:sz w:val="24"/>
                                <w:szCs w:val="24"/>
                              </w:rPr>
                              <w:t xml:space="preserve">Figure </w:t>
                            </w:r>
                            <w:r>
                              <w:rPr>
                                <w:rFonts w:ascii="Times New Roman" w:hAnsi="Times New Roman"/>
                                <w:i w:val="0"/>
                                <w:iCs w:val="0"/>
                                <w:color w:val="auto"/>
                                <w:sz w:val="24"/>
                                <w:szCs w:val="24"/>
                              </w:rPr>
                              <w:fldChar w:fldCharType="begin"/>
                            </w:r>
                            <w:r>
                              <w:rPr>
                                <w:rFonts w:ascii="Times New Roman" w:hAnsi="Times New Roman"/>
                                <w:i w:val="0"/>
                                <w:iCs w:val="0"/>
                                <w:color w:val="auto"/>
                                <w:sz w:val="24"/>
                                <w:szCs w:val="24"/>
                              </w:rPr>
                              <w:instrText xml:space="preserve"> STYLEREF 1 \s </w:instrText>
                            </w:r>
                            <w:r>
                              <w:rPr>
                                <w:rFonts w:ascii="Times New Roman" w:hAnsi="Times New Roman"/>
                                <w:i w:val="0"/>
                                <w:iCs w:val="0"/>
                                <w:color w:val="auto"/>
                                <w:sz w:val="24"/>
                                <w:szCs w:val="24"/>
                              </w:rPr>
                              <w:fldChar w:fldCharType="separate"/>
                            </w:r>
                            <w:r>
                              <w:rPr>
                                <w:rFonts w:ascii="Times New Roman" w:hAnsi="Times New Roman"/>
                                <w:i w:val="0"/>
                                <w:iCs w:val="0"/>
                                <w:noProof/>
                                <w:color w:val="auto"/>
                                <w:sz w:val="24"/>
                                <w:szCs w:val="24"/>
                              </w:rPr>
                              <w:t>2</w:t>
                            </w:r>
                            <w:r>
                              <w:rPr>
                                <w:rFonts w:ascii="Times New Roman" w:hAnsi="Times New Roman"/>
                                <w:i w:val="0"/>
                                <w:iCs w:val="0"/>
                                <w:color w:val="auto"/>
                                <w:sz w:val="24"/>
                                <w:szCs w:val="24"/>
                              </w:rPr>
                              <w:fldChar w:fldCharType="end"/>
                            </w:r>
                            <w:r>
                              <w:rPr>
                                <w:rFonts w:ascii="Times New Roman" w:hAnsi="Times New Roman"/>
                                <w:i w:val="0"/>
                                <w:iCs w:val="0"/>
                                <w:color w:val="auto"/>
                                <w:sz w:val="24"/>
                                <w:szCs w:val="24"/>
                              </w:rPr>
                              <w:t>.</w:t>
                            </w:r>
                            <w:r>
                              <w:rPr>
                                <w:rFonts w:ascii="Times New Roman" w:hAnsi="Times New Roman"/>
                                <w:i w:val="0"/>
                                <w:iCs w:val="0"/>
                                <w:color w:val="auto"/>
                                <w:sz w:val="24"/>
                                <w:szCs w:val="24"/>
                              </w:rPr>
                              <w:fldChar w:fldCharType="begin"/>
                            </w:r>
                            <w:r>
                              <w:rPr>
                                <w:rFonts w:ascii="Times New Roman" w:hAnsi="Times New Roman"/>
                                <w:i w:val="0"/>
                                <w:iCs w:val="0"/>
                                <w:color w:val="auto"/>
                                <w:sz w:val="24"/>
                                <w:szCs w:val="24"/>
                              </w:rPr>
                              <w:instrText xml:space="preserve"> SEQ Figure \* ARABIC \s 1 </w:instrText>
                            </w:r>
                            <w:r>
                              <w:rPr>
                                <w:rFonts w:ascii="Times New Roman" w:hAnsi="Times New Roman"/>
                                <w:i w:val="0"/>
                                <w:iCs w:val="0"/>
                                <w:color w:val="auto"/>
                                <w:sz w:val="24"/>
                                <w:szCs w:val="24"/>
                              </w:rPr>
                              <w:fldChar w:fldCharType="separate"/>
                            </w:r>
                            <w:r>
                              <w:rPr>
                                <w:rFonts w:ascii="Times New Roman" w:hAnsi="Times New Roman"/>
                                <w:i w:val="0"/>
                                <w:iCs w:val="0"/>
                                <w:noProof/>
                                <w:color w:val="auto"/>
                                <w:sz w:val="24"/>
                                <w:szCs w:val="24"/>
                              </w:rPr>
                              <w:t>6</w:t>
                            </w:r>
                            <w:r>
                              <w:rPr>
                                <w:rFonts w:ascii="Times New Roman" w:hAnsi="Times New Roman"/>
                                <w:i w:val="0"/>
                                <w:iCs w:val="0"/>
                                <w:color w:val="auto"/>
                                <w:sz w:val="24"/>
                                <w:szCs w:val="24"/>
                              </w:rPr>
                              <w:fldChar w:fldCharType="end"/>
                            </w:r>
                            <w:r w:rsidRPr="00F454E4">
                              <w:rPr>
                                <w:rFonts w:ascii="Times New Roman" w:hAnsi="Times New Roman"/>
                                <w:i w:val="0"/>
                                <w:iCs w:val="0"/>
                                <w:color w:val="auto"/>
                                <w:sz w:val="24"/>
                                <w:szCs w:val="24"/>
                              </w:rPr>
                              <w:t xml:space="preserve">: </w:t>
                            </w:r>
                            <w:r w:rsidRPr="00F454E4">
                              <w:rPr>
                                <w:rFonts w:ascii="Times New Roman" w:eastAsia="Calibri" w:hAnsi="Times New Roman"/>
                                <w:i w:val="0"/>
                                <w:iCs w:val="0"/>
                                <w:color w:val="auto"/>
                                <w:sz w:val="24"/>
                                <w:szCs w:val="24"/>
                              </w:rPr>
                              <w:t>The Fraud Scale</w:t>
                            </w:r>
                            <w:bookmarkEnd w:id="6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FB3BD6C" id="Text Box 29" o:spid="_x0000_s1222" type="#_x0000_t202" style="position:absolute;left:0;text-align:left;margin-left:53.7pt;margin-top:28.45pt;width:397.6pt;height:17.85pt;z-index:2516925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" stroked="f">
                <v:textbox inset="0,0,0,0">
                  <w:txbxContent>
                    <w:p w14:paraId="06C79B61" w14:textId="7E443FF6" w:rsidR="00FE7438" w:rsidRPr="00F454E4" w:rsidRDefault="00FE7438" w:rsidP="00172684">
                      <w:pPr>
                        <w:pStyle w:val="Caption"/>
                        <w:jc w:val="center"/>
                        <w:rPr>
                          <w:rFonts w:ascii="Times New Roman" w:hAnsi="Times New Roman"/>
                          <w:i w:val="0"/>
                          <w:iCs w:val="0"/>
                          <w:noProof/>
                          <w:color w:val="auto"/>
                          <w:sz w:val="24"/>
                          <w:szCs w:val="24"/>
                        </w:rPr>
                      </w:pPr>
                      <w:bookmarkStart w:id="71" w:name="_Toc145953090"/>
                      <w:r w:rsidRPr="00F454E4">
                        <w:rPr>
                          <w:rFonts w:ascii="Times New Roman" w:hAnsi="Times New Roman"/>
                          <w:i w:val="0"/>
                          <w:iCs w:val="0"/>
                          <w:color w:val="auto"/>
                          <w:sz w:val="24"/>
                          <w:szCs w:val="24"/>
                        </w:rPr>
                        <w:t xml:space="preserve">Figure </w:t>
                      </w:r>
                      <w:r>
                        <w:rPr>
                          <w:rFonts w:ascii="Times New Roman" w:hAnsi="Times New Roman"/>
                          <w:i w:val="0"/>
                          <w:iCs w:val="0"/>
                          <w:color w:val="auto"/>
                          <w:sz w:val="24"/>
                          <w:szCs w:val="24"/>
                        </w:rPr>
                        <w:fldChar w:fldCharType="begin"/>
                      </w:r>
                      <w:r>
                        <w:rPr>
                          <w:rFonts w:ascii="Times New Roman" w:hAnsi="Times New Roman"/>
                          <w:i w:val="0"/>
                          <w:iCs w:val="0"/>
                          <w:color w:val="auto"/>
                          <w:sz w:val="24"/>
                          <w:szCs w:val="24"/>
                        </w:rPr>
                        <w:instrText xml:space="preserve"> STYLEREF 1 \s </w:instrText>
                      </w:r>
                      <w:r>
                        <w:rPr>
                          <w:rFonts w:ascii="Times New Roman" w:hAnsi="Times New Roman"/>
                          <w:i w:val="0"/>
                          <w:iCs w:val="0"/>
                          <w:color w:val="auto"/>
                          <w:sz w:val="24"/>
                          <w:szCs w:val="24"/>
                        </w:rPr>
                        <w:fldChar w:fldCharType="separate"/>
                      </w:r>
                      <w:r>
                        <w:rPr>
                          <w:rFonts w:ascii="Times New Roman" w:hAnsi="Times New Roman"/>
                          <w:i w:val="0"/>
                          <w:iCs w:val="0"/>
                          <w:noProof/>
                          <w:color w:val="auto"/>
                          <w:sz w:val="24"/>
                          <w:szCs w:val="24"/>
                        </w:rPr>
                        <w:t>2</w:t>
                      </w:r>
                      <w:r>
                        <w:rPr>
                          <w:rFonts w:ascii="Times New Roman" w:hAnsi="Times New Roman"/>
                          <w:i w:val="0"/>
                          <w:iCs w:val="0"/>
                          <w:color w:val="auto"/>
                          <w:sz w:val="24"/>
                          <w:szCs w:val="24"/>
                        </w:rPr>
                        <w:fldChar w:fldCharType="end"/>
                      </w:r>
                      <w:r>
                        <w:rPr>
                          <w:rFonts w:ascii="Times New Roman" w:hAnsi="Times New Roman"/>
                          <w:i w:val="0"/>
                          <w:iCs w:val="0"/>
                          <w:color w:val="auto"/>
                          <w:sz w:val="24"/>
                          <w:szCs w:val="24"/>
                        </w:rPr>
                        <w:t>.</w:t>
                      </w:r>
                      <w:r>
                        <w:rPr>
                          <w:rFonts w:ascii="Times New Roman" w:hAnsi="Times New Roman"/>
                          <w:i w:val="0"/>
                          <w:iCs w:val="0"/>
                          <w:color w:val="auto"/>
                          <w:sz w:val="24"/>
                          <w:szCs w:val="24"/>
                        </w:rPr>
                        <w:fldChar w:fldCharType="begin"/>
                      </w:r>
                      <w:r>
                        <w:rPr>
                          <w:rFonts w:ascii="Times New Roman" w:hAnsi="Times New Roman"/>
                          <w:i w:val="0"/>
                          <w:iCs w:val="0"/>
                          <w:color w:val="auto"/>
                          <w:sz w:val="24"/>
                          <w:szCs w:val="24"/>
                        </w:rPr>
                        <w:instrText xml:space="preserve"> SEQ Figure \* ARABIC \s 1 </w:instrText>
                      </w:r>
                      <w:r>
                        <w:rPr>
                          <w:rFonts w:ascii="Times New Roman" w:hAnsi="Times New Roman"/>
                          <w:i w:val="0"/>
                          <w:iCs w:val="0"/>
                          <w:color w:val="auto"/>
                          <w:sz w:val="24"/>
                          <w:szCs w:val="24"/>
                        </w:rPr>
                        <w:fldChar w:fldCharType="separate"/>
                      </w:r>
                      <w:r>
                        <w:rPr>
                          <w:rFonts w:ascii="Times New Roman" w:hAnsi="Times New Roman"/>
                          <w:i w:val="0"/>
                          <w:iCs w:val="0"/>
                          <w:noProof/>
                          <w:color w:val="auto"/>
                          <w:sz w:val="24"/>
                          <w:szCs w:val="24"/>
                        </w:rPr>
                        <w:t>6</w:t>
                      </w:r>
                      <w:r>
                        <w:rPr>
                          <w:rFonts w:ascii="Times New Roman" w:hAnsi="Times New Roman"/>
                          <w:i w:val="0"/>
                          <w:iCs w:val="0"/>
                          <w:color w:val="auto"/>
                          <w:sz w:val="24"/>
                          <w:szCs w:val="24"/>
                        </w:rPr>
                        <w:fldChar w:fldCharType="end"/>
                      </w:r>
                      <w:r w:rsidRPr="00F454E4">
                        <w:rPr>
                          <w:rFonts w:ascii="Times New Roman" w:hAnsi="Times New Roman"/>
                          <w:i w:val="0"/>
                          <w:iCs w:val="0"/>
                          <w:color w:val="auto"/>
                          <w:sz w:val="24"/>
                          <w:szCs w:val="24"/>
                        </w:rPr>
                        <w:t xml:space="preserve">: </w:t>
                      </w:r>
                      <w:r w:rsidRPr="00F454E4">
                        <w:rPr>
                          <w:rFonts w:ascii="Times New Roman" w:eastAsia="Calibri" w:hAnsi="Times New Roman"/>
                          <w:i w:val="0"/>
                          <w:iCs w:val="0"/>
                          <w:color w:val="auto"/>
                          <w:sz w:val="24"/>
                          <w:szCs w:val="24"/>
                        </w:rPr>
                        <w:t>The Fraud Scale</w:t>
                      </w:r>
                      <w:bookmarkEnd w:id="71"/>
                    </w:p>
                  </w:txbxContent>
                </v:textbox>
              </v:shape>
            </w:pict>
          </mc:Fallback>
        </mc:AlternateContent>
      </w:r>
    </w:p>
    <w:p w14:paraId="60559261" w14:textId="7B104197" w:rsidR="00DC2851" w:rsidRPr="008B1465" w:rsidRDefault="00994D99" w:rsidP="00994D99">
      <w:pPr>
        <w:spacing w:after="0" w:line="360" w:lineRule="auto"/>
        <w:jc w:val="center"/>
        <w:rPr>
          <w:rFonts w:ascii="Times New Roman" w:eastAsia="Calibri" w:hAnsi="Times New Roman"/>
          <w:b/>
          <w:sz w:val="24"/>
          <w:szCs w:val="24"/>
        </w:rPr>
      </w:pPr>
      <w:r>
        <w:rPr>
          <w:rFonts w:ascii="Times New Roman" w:eastAsia="Calibri" w:hAnsi="Times New Roman"/>
          <w:b/>
          <w:sz w:val="24"/>
          <w:szCs w:val="24"/>
        </w:rPr>
        <w:t xml:space="preserve">         </w:t>
      </w:r>
      <w:r w:rsidR="00DC2851" w:rsidRPr="008B1465">
        <w:rPr>
          <w:rFonts w:ascii="Times New Roman" w:eastAsia="Calibri" w:hAnsi="Times New Roman"/>
          <w:b/>
          <w:sz w:val="24"/>
          <w:szCs w:val="24"/>
        </w:rPr>
        <w:t xml:space="preserve">Source: Albrecht </w:t>
      </w:r>
      <w:r w:rsidR="00576E27" w:rsidRPr="008B1465">
        <w:rPr>
          <w:rFonts w:ascii="Times New Roman" w:eastAsia="Calibri" w:hAnsi="Times New Roman"/>
          <w:b/>
          <w:i/>
          <w:iCs/>
          <w:sz w:val="24"/>
          <w:szCs w:val="24"/>
        </w:rPr>
        <w:t>et al</w:t>
      </w:r>
      <w:r w:rsidR="00DC2851" w:rsidRPr="008B1465">
        <w:rPr>
          <w:rFonts w:ascii="Times New Roman" w:eastAsia="Calibri" w:hAnsi="Times New Roman"/>
          <w:b/>
          <w:sz w:val="24"/>
          <w:szCs w:val="24"/>
        </w:rPr>
        <w:t>., (2016)</w:t>
      </w:r>
    </w:p>
    <w:p w14:paraId="3C0BF7FA" w14:textId="77777777" w:rsidR="004353F0" w:rsidRPr="008B1465" w:rsidRDefault="004353F0" w:rsidP="004353F0">
      <w:pPr>
        <w:spacing w:after="0" w:line="360" w:lineRule="auto"/>
        <w:jc w:val="center"/>
        <w:rPr>
          <w:rFonts w:ascii="Times New Roman" w:eastAsia="Calibri" w:hAnsi="Times New Roman"/>
          <w:bCs/>
          <w:sz w:val="24"/>
          <w:szCs w:val="24"/>
        </w:rPr>
      </w:pPr>
    </w:p>
    <w:p w14:paraId="4DDD704C" w14:textId="77777777" w:rsidR="00DC2851" w:rsidRPr="008B1465" w:rsidRDefault="00DC2851" w:rsidP="00DC2851">
      <w:pPr>
        <w:spacing w:before="0" w:beforeAutospacing="0" w:after="0" w:line="360" w:lineRule="auto"/>
        <w:jc w:val="both"/>
        <w:rPr>
          <w:rFonts w:ascii="Times New Roman" w:eastAsia="Calibri" w:hAnsi="Times New Roman"/>
          <w:b/>
          <w:sz w:val="24"/>
          <w:szCs w:val="24"/>
        </w:rPr>
      </w:pPr>
      <w:r w:rsidRPr="008B1465">
        <w:rPr>
          <w:rFonts w:ascii="Times New Roman" w:eastAsia="Calibri" w:hAnsi="Times New Roman"/>
          <w:bCs/>
          <w:sz w:val="24"/>
          <w:szCs w:val="24"/>
        </w:rPr>
        <w:t xml:space="preserve">How does this scale work? If everything is neutral, the scale is balance and so is the fraud risk. But, in case of high pressure and perceived opportunity, an individual’s personal integrity can be reduced, resulting in great fraud risk. The opposite result is achieved when perceived incentive and opportunities are low. The benefit of this model is that an individual’s integrity may be affected by his own experiences. </w:t>
      </w:r>
    </w:p>
    <w:p w14:paraId="432A0460" w14:textId="77777777" w:rsidR="00DC2851" w:rsidRPr="008B1465" w:rsidRDefault="00DC2851" w:rsidP="00DC2851">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Thus, past events, decisions made under different situations and their respective consequences may influence one’s attitude. Also, the working environment and the (un)ethical culture of a company does influence one’s personality and the way he rationalizes or takes responsibility for his fraudulent acts. </w:t>
      </w:r>
    </w:p>
    <w:p w14:paraId="3DF6BEE0" w14:textId="6DCBF351" w:rsidR="00DC2851" w:rsidRPr="008B1465" w:rsidRDefault="00DC2851" w:rsidP="00616968">
      <w:pPr>
        <w:pStyle w:val="Heading4"/>
      </w:pPr>
      <w:r w:rsidRPr="008B1465">
        <w:t>Money, Ideology, Coercion, and Ego (M.I.C.E)</w:t>
      </w:r>
    </w:p>
    <w:p w14:paraId="3E0575B6" w14:textId="2A974B41" w:rsidR="00DC2851" w:rsidRPr="008B1465" w:rsidRDefault="00DC2851" w:rsidP="00DC2851">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Although the “Fraud Scale” modified the rationalization element of the “Fraud Triangle” by integrity, it still does not explain the reasons that wealthy and prominent members of society would commit fraud. Ramamoorti </w:t>
      </w:r>
      <w:r w:rsidR="00576E27" w:rsidRPr="008B1465">
        <w:rPr>
          <w:rFonts w:ascii="Times New Roman" w:eastAsia="Calibri" w:hAnsi="Times New Roman"/>
          <w:bCs/>
          <w:i/>
          <w:iCs/>
          <w:sz w:val="24"/>
          <w:szCs w:val="24"/>
        </w:rPr>
        <w:t>et al</w:t>
      </w:r>
      <w:r w:rsidRPr="008B1465">
        <w:rPr>
          <w:rFonts w:ascii="Times New Roman" w:eastAsia="Calibri" w:hAnsi="Times New Roman"/>
          <w:bCs/>
          <w:sz w:val="24"/>
          <w:szCs w:val="24"/>
        </w:rPr>
        <w:t>. (2009) conclude that the need to preserve and improve social status may be a motivating factor for many perpetrators; thus, the perceived pressure may derive also from one’s financial needs. In turn, the M.I.C.E. model, developed by (</w:t>
      </w:r>
      <w:r w:rsidRPr="008B1465">
        <w:rPr>
          <w:rFonts w:ascii="Times New Roman" w:hAnsi="Times New Roman"/>
          <w:sz w:val="24"/>
          <w:szCs w:val="24"/>
        </w:rPr>
        <w:t>Zimbelman &amp; Albrecht, 2012)</w:t>
      </w:r>
      <w:r w:rsidRPr="008B1465">
        <w:rPr>
          <w:rFonts w:ascii="Times New Roman" w:hAnsi="Times New Roman"/>
          <w:sz w:val="24"/>
          <w:szCs w:val="24"/>
          <w:shd w:val="clear" w:color="auto" w:fill="FFFFFF"/>
        </w:rPr>
        <w:t xml:space="preserve"> </w:t>
      </w:r>
      <w:r w:rsidRPr="008B1465">
        <w:rPr>
          <w:rFonts w:ascii="Times New Roman" w:eastAsia="Calibri" w:hAnsi="Times New Roman"/>
          <w:bCs/>
          <w:sz w:val="24"/>
          <w:szCs w:val="24"/>
        </w:rPr>
        <w:t>expands the pressure side of the “Fraud Triangle”. Other than non-shareable needs, perceived incentives include Money, Ideology, Coercion, and Ego. The first and the last element of this acronym are among the most common motivations that appeared in well-known fraud cases, e.g. Enron, WorldCom, and Madoff. Ideology is probably the less frequent incentive; an individual justifies his fraudulent acts by his belief that in this way he achieves a perceived greater good. In other words, ideological motivators justify the means applied by a fraud perpetrator to achieve some perceived greater good that is consistent with his personal beliefs.</w:t>
      </w:r>
    </w:p>
    <w:p w14:paraId="728194E4" w14:textId="77777777" w:rsidR="00DC2851" w:rsidRPr="008B1465" w:rsidRDefault="00DC2851" w:rsidP="00DC2851">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On the other hand, coercion occurs when an individual is engaged in a fraudulent act unwillingly. An example of this type of fraud is supposed to have occurred in the WorldCom case; Betty Vinson, a mid-level accountant, argued that she was forced to manipulate accounting entries (Pulliam, 2003). Although the M.I.C.E. model does not include all possible fraud motivators, it modifies the “Fraud Triangle’s” non-shareable financial pressures and provides fraud specialists and forensic accountants a broader framework within which to consider the fraud roots. </w:t>
      </w:r>
    </w:p>
    <w:p w14:paraId="7039DD7F" w14:textId="65CE75EC" w:rsidR="00DC2851" w:rsidRPr="008B1465" w:rsidRDefault="001159A0" w:rsidP="00616968">
      <w:pPr>
        <w:pStyle w:val="Heading4"/>
      </w:pPr>
      <w:r w:rsidRPr="008B1465">
        <w:t>3M</w:t>
      </w:r>
      <w:r w:rsidR="00DC2851" w:rsidRPr="008B1465">
        <w:t xml:space="preserve"> Theory in the Financial Frauds </w:t>
      </w:r>
    </w:p>
    <w:p w14:paraId="76F335EA" w14:textId="77777777" w:rsidR="00DC2851" w:rsidRPr="008B1465" w:rsidRDefault="00DC2851" w:rsidP="00DC2851">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Existence of specific techniques is required for the commission of financial fraud. These techniques are referred to as Manipulation, Misrepresentation, and Misapplication, or 3M (Tarhan Mengi, 2013). The profession of forensic accounting, which can use the computer experience actively and successfully, has developed as a result of the fact that today's firms carry out their numerous transactions online using computer software. Investigative accounting, being another name for this idea, combines legal support and accounting for investigations. However, the issues that result in economic damages are given priority by the legal defense (Kasum, 2009). To provide an active combination of combining accounting knowledge and research abilities in legal support and investigative accounting, according to the definition given by ACFE, is what forensic accounting is (www.acfe.com: 2014).</w:t>
      </w:r>
    </w:p>
    <w:p w14:paraId="6B6837AF" w14:textId="77777777" w:rsidR="00DC2851" w:rsidRPr="008B1465" w:rsidRDefault="00DC2851" w:rsidP="00DC2851">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A change in the structure of conventional accounting applications has been brought about by the forensic accounting profession, which has inevitably arisen throughout the world. The background of the statistics in financial analysis records were also attempted to be taken into consideration in addition to their outward appearance (Dayi, 2019). This application has become necessary due to the incomprehensible economic system of today (Bozkurt, 2000). Legal Support, Expert Testimony, and Investigation of Fraud, Abuse, and Corruption are three distinct sectors of activity that forensic accountants can safely be categorized as in the fight against this chaos (Okoye &amp; Akamobi, 2009; Elitaş, 2012). Investigating frauds committed in response to requests from firm management or owners, or potential accounting manipulation, are all parts of the investigation of fraud, abuse, and corruption. The goal of this area of work is to expose, look into, and stop fraud and corruption that has been and will be committed (Akyel, 2012). It is referred to as fraud examination or investigative accounting in the literature.</w:t>
      </w:r>
    </w:p>
    <w:p w14:paraId="182D2126" w14:textId="55F7CE28" w:rsidR="00DC2851" w:rsidRPr="008B1465" w:rsidRDefault="00DC2851" w:rsidP="00DC2851">
      <w:pPr>
        <w:pStyle w:val="Heading2"/>
        <w:spacing w:line="360" w:lineRule="auto"/>
        <w:rPr>
          <w:rFonts w:cs="Times New Roman"/>
          <w:sz w:val="24"/>
          <w:szCs w:val="24"/>
        </w:rPr>
      </w:pPr>
      <w:bookmarkStart w:id="68" w:name="_Toc145951100"/>
      <w:r w:rsidRPr="008B1465">
        <w:rPr>
          <w:rFonts w:cs="Times New Roman"/>
          <w:sz w:val="24"/>
          <w:szCs w:val="24"/>
        </w:rPr>
        <w:t>Empirical Review</w:t>
      </w:r>
      <w:bookmarkEnd w:id="68"/>
    </w:p>
    <w:p w14:paraId="165D69ED" w14:textId="32D4FE26" w:rsidR="00DC2851" w:rsidRPr="008B1465" w:rsidRDefault="00DC2851" w:rsidP="00DC2851">
      <w:pPr>
        <w:pStyle w:val="Heading3"/>
        <w:spacing w:before="100" w:line="360" w:lineRule="auto"/>
        <w:rPr>
          <w:rFonts w:cs="Times New Roman"/>
        </w:rPr>
      </w:pPr>
      <w:bookmarkStart w:id="69" w:name="_Toc145951101"/>
      <w:r w:rsidRPr="008B1465">
        <w:rPr>
          <w:rFonts w:cs="Times New Roman"/>
        </w:rPr>
        <w:t>Forensic Accounting Techniques and Fund Misappropriation</w:t>
      </w:r>
      <w:bookmarkEnd w:id="69"/>
    </w:p>
    <w:p w14:paraId="18B568A4" w14:textId="77777777" w:rsidR="00DC2851" w:rsidRPr="008B1465" w:rsidRDefault="00DC2851" w:rsidP="00DC2851">
      <w:pPr>
        <w:pStyle w:val="NoSpacing"/>
        <w:spacing w:line="360" w:lineRule="auto"/>
        <w:jc w:val="both"/>
        <w:rPr>
          <w:rFonts w:ascii="Times New Roman" w:eastAsia="Calibri" w:hAnsi="Times New Roman"/>
          <w:sz w:val="24"/>
          <w:szCs w:val="24"/>
        </w:rPr>
      </w:pPr>
      <w:r w:rsidRPr="008B1465">
        <w:rPr>
          <w:rFonts w:ascii="Times New Roman" w:eastAsia="Calibri" w:hAnsi="Times New Roman"/>
          <w:sz w:val="24"/>
          <w:szCs w:val="24"/>
        </w:rPr>
        <w:t>Okoye and Ndah (2019) investigated forensic accounting and fraud prevention in Nigerian industrial organizations were conducted. The study covered ten years and used fifty manufacturing companies as its sample size. The study used multiple regression analyses using the Ordinary Least Square approach. The study's findings showed a favorable and statistically significant correlation between fraud litigation strategies and fraud investigation in reducing fraud among Nigerian manufacturing organizations. It was recommended that manufacturing companies hire qualified forensic accountants who are aware of how to utilize the appropriate ways of fraud deterrence in order to prevent fraud from occurring before it happens.</w:t>
      </w:r>
    </w:p>
    <w:p w14:paraId="027C1042" w14:textId="77777777" w:rsidR="00DC2851" w:rsidRPr="008B1465" w:rsidRDefault="00DC2851" w:rsidP="00DC2851">
      <w:pPr>
        <w:pStyle w:val="NoSpacing"/>
        <w:spacing w:line="360" w:lineRule="auto"/>
        <w:jc w:val="both"/>
        <w:rPr>
          <w:rFonts w:ascii="Times New Roman" w:eastAsia="Calibri" w:hAnsi="Times New Roman"/>
          <w:sz w:val="24"/>
          <w:szCs w:val="24"/>
        </w:rPr>
      </w:pPr>
    </w:p>
    <w:p w14:paraId="6C885BB0" w14:textId="13C2BD36" w:rsidR="00DC2851" w:rsidRPr="008B1465" w:rsidRDefault="00DC2851" w:rsidP="00DC2851">
      <w:pPr>
        <w:pStyle w:val="NoSpacing"/>
        <w:spacing w:line="360" w:lineRule="auto"/>
        <w:jc w:val="both"/>
        <w:rPr>
          <w:rFonts w:ascii="Times New Roman" w:eastAsia="Calibri" w:hAnsi="Times New Roman"/>
          <w:sz w:val="24"/>
          <w:szCs w:val="24"/>
        </w:rPr>
      </w:pPr>
      <w:r w:rsidRPr="008B1465">
        <w:rPr>
          <w:rFonts w:ascii="Times New Roman" w:eastAsia="Calibri" w:hAnsi="Times New Roman"/>
          <w:sz w:val="24"/>
          <w:szCs w:val="24"/>
        </w:rPr>
        <w:t>Erasmus (2021) examined the applicability of forensic accounting and fraud detection in tackling fraud using integrated approach. In the study, the author used forensic accounting methods to evaluate investigative accounting and litigation support services, while fraud detection was considered for asset misappropriation and payroll fraud. According to the study, asset theft detection of federal government parastatals in Nigeria and litigation support services have a very positive link. The findings indicated that forensic accounting is a strategic and dynamic method for spotting fraud in Nigerian federal government parastatals. The expansion of forensic accounting methodology efforts in Nigeria results in a significant rise in fraud detection in parastatals of the federal government. In order for internal audit experts working for federal government parastatals to perform their duties successfully and effectively, the researcher advises that they be given forensic accounting training.</w:t>
      </w:r>
    </w:p>
    <w:p w14:paraId="4632531E" w14:textId="77777777" w:rsidR="00DC2851" w:rsidRPr="008B1465" w:rsidRDefault="00DC2851" w:rsidP="00DC2851">
      <w:pPr>
        <w:pStyle w:val="NoSpacing"/>
        <w:spacing w:line="360" w:lineRule="auto"/>
        <w:jc w:val="both"/>
        <w:rPr>
          <w:rFonts w:ascii="Times New Roman" w:eastAsia="Calibri" w:hAnsi="Times New Roman"/>
          <w:sz w:val="24"/>
          <w:szCs w:val="24"/>
        </w:rPr>
      </w:pPr>
    </w:p>
    <w:p w14:paraId="13AB9120" w14:textId="77777777" w:rsidR="00DC2851" w:rsidRPr="008B1465" w:rsidRDefault="00DC2851" w:rsidP="00DC2851">
      <w:pPr>
        <w:pStyle w:val="NoSpacing"/>
        <w:spacing w:line="360" w:lineRule="auto"/>
        <w:jc w:val="both"/>
        <w:rPr>
          <w:rFonts w:ascii="Times New Roman" w:eastAsia="Calibri" w:hAnsi="Times New Roman"/>
          <w:sz w:val="24"/>
          <w:szCs w:val="24"/>
        </w:rPr>
      </w:pPr>
      <w:r w:rsidRPr="008B1465">
        <w:rPr>
          <w:rFonts w:ascii="Times New Roman" w:eastAsia="Calibri" w:hAnsi="Times New Roman"/>
          <w:sz w:val="24"/>
          <w:szCs w:val="24"/>
        </w:rPr>
        <w:t>Akinadewo and Akinkoye (2020) examined how much forensic accounting and domestic debt management (DDM) affected Nigerian government revenue (GR). The study employed primary data from chartered accountants who had understanding of public finance and forensic accounting techniques and who answered a self-administered structural questionnaire. Using the Krejeie and Morgan (1970) approach, a sample size of 306 was determined. The logit regression method was used to evaluate the data. The results of the empirical research using multiple regression show that, at a 5% level of significance, t-calculated is larger than t-tabulated, which is 6.472. This suggested a considerable relationship between forensic accounting and domestic debt management and government revenue. It was revealed that when forensic accounting and domestic debt management were connected, as forensic accounting advances, so do the government's revenue mishandling and inefficiencies. To properly implement monetary and fiscal policies, the report concluded that forensic accountants should be hired and that Nigeria should put in place an effective domestic control measure for the generation and distribution of government revenue.</w:t>
      </w:r>
    </w:p>
    <w:p w14:paraId="37EB2954" w14:textId="48DB488C" w:rsidR="00DC2851" w:rsidRPr="008B1465" w:rsidRDefault="00DC2851" w:rsidP="00DC2851">
      <w:pPr>
        <w:pStyle w:val="NormalWeb"/>
        <w:spacing w:line="360" w:lineRule="auto"/>
        <w:jc w:val="both"/>
      </w:pPr>
      <w:r w:rsidRPr="008B1465">
        <w:rPr>
          <w:rFonts w:eastAsia="Calibri"/>
        </w:rPr>
        <w:t xml:space="preserve">Kasum, (2009) </w:t>
      </w:r>
      <w:r w:rsidR="00262011" w:rsidRPr="008B1465">
        <w:rPr>
          <w:rFonts w:eastAsia="Calibri"/>
        </w:rPr>
        <w:t xml:space="preserve">assessed </w:t>
      </w:r>
      <w:r w:rsidRPr="008B1465">
        <w:rPr>
          <w:rFonts w:eastAsia="Calibri"/>
        </w:rPr>
        <w:t>the use of forensic accounting techniques to tackle financial crimes in the private and public sectors of third-world economies.</w:t>
      </w:r>
      <w:r w:rsidRPr="008B1465">
        <w:t xml:space="preserve"> Data were gathered using secondary sources and subjected to regression analysis. To identify which sector most urgently needs forensic accounting, the work assesses the scope of financial crimes in emerging nations and contrasts the private and governmental sectors.</w:t>
      </w:r>
      <w:r w:rsidRPr="008B1465">
        <w:rPr>
          <w:rFonts w:eastAsia="Calibri"/>
        </w:rPr>
        <w:t xml:space="preserve"> According to the study's findings, forensic accounting institutions should be strengthened, and the use of their services should be promoted in the public sector. Forensic accounting has a role to play generally, but especially so in the public sector.</w:t>
      </w:r>
    </w:p>
    <w:p w14:paraId="539D57E7" w14:textId="77777777" w:rsidR="00DC2851" w:rsidRPr="008B1465" w:rsidRDefault="00DC2851" w:rsidP="00DC2851">
      <w:pPr>
        <w:pStyle w:val="NoSpacing"/>
        <w:spacing w:line="360" w:lineRule="auto"/>
        <w:jc w:val="both"/>
        <w:rPr>
          <w:rFonts w:ascii="Times New Roman" w:eastAsia="Calibri" w:hAnsi="Times New Roman"/>
          <w:sz w:val="24"/>
          <w:szCs w:val="24"/>
        </w:rPr>
      </w:pPr>
      <w:r w:rsidRPr="008B1465">
        <w:rPr>
          <w:rFonts w:ascii="Times New Roman" w:eastAsia="Calibri" w:hAnsi="Times New Roman"/>
          <w:sz w:val="24"/>
          <w:szCs w:val="24"/>
        </w:rPr>
        <w:t>Dada, Owolabi, and Okwu (2013) investigated whether forensic accounting could be the answer to fraud in Nigeria. They collected data using questionnaires and oral interviews, then used multiple regression techniques to assess their hypothesis. They came to the conclusion that one of the problems with corruption in both the public and private sectors is the non-involvement of forensic experts as expert witnesses in fraudulent court cases. As a result, they recommended the establishment of a forensic accounting unit to ensure proper and efficient investigation of those who are allegedly engaged in fraudulent practices.</w:t>
      </w:r>
    </w:p>
    <w:p w14:paraId="56421155" w14:textId="77777777" w:rsidR="00DC2851" w:rsidRPr="008B1465" w:rsidRDefault="00DC2851" w:rsidP="00DC2851">
      <w:pPr>
        <w:pStyle w:val="NoSpacing"/>
        <w:spacing w:line="360" w:lineRule="auto"/>
        <w:jc w:val="both"/>
        <w:rPr>
          <w:rFonts w:ascii="Times New Roman" w:eastAsia="Calibri" w:hAnsi="Times New Roman"/>
          <w:sz w:val="24"/>
          <w:szCs w:val="24"/>
        </w:rPr>
      </w:pPr>
    </w:p>
    <w:p w14:paraId="3F9FD09B" w14:textId="77777777" w:rsidR="00DC2851" w:rsidRPr="008B1465" w:rsidRDefault="00DC2851" w:rsidP="00DC2851">
      <w:pPr>
        <w:pStyle w:val="NoSpacing"/>
        <w:spacing w:line="360" w:lineRule="auto"/>
        <w:jc w:val="both"/>
        <w:rPr>
          <w:rFonts w:ascii="Times New Roman" w:eastAsia="Calibri" w:hAnsi="Times New Roman"/>
          <w:sz w:val="24"/>
          <w:szCs w:val="24"/>
        </w:rPr>
      </w:pPr>
      <w:r w:rsidRPr="008B1465">
        <w:rPr>
          <w:rFonts w:ascii="Times New Roman" w:eastAsia="Calibri" w:hAnsi="Times New Roman"/>
          <w:sz w:val="24"/>
          <w:szCs w:val="24"/>
        </w:rPr>
        <w:t>Poon (1995) investigated the effectiveness of value for money audit in relation to the audit department, the public account committee, and the process of value for money audit. Finding out how much the public accounts committee has utilized value for money reports to examine public policy—as well as determining if doing value for money audits is a useful tool for program evaluation—was the main goal of the study. The research tested the hypothesis and came to the conclusion that value for money practices are an effective instrument for evaluating government programs within the scope of the audited cases.</w:t>
      </w:r>
    </w:p>
    <w:p w14:paraId="7112A545" w14:textId="77777777" w:rsidR="00DC2851" w:rsidRPr="008B1465" w:rsidRDefault="00DC2851" w:rsidP="00DC2851">
      <w:pPr>
        <w:pStyle w:val="NoSpacing"/>
        <w:spacing w:line="360" w:lineRule="auto"/>
        <w:jc w:val="both"/>
        <w:rPr>
          <w:rFonts w:ascii="Times New Roman" w:eastAsia="Calibri" w:hAnsi="Times New Roman"/>
          <w:sz w:val="24"/>
          <w:szCs w:val="24"/>
        </w:rPr>
      </w:pPr>
    </w:p>
    <w:p w14:paraId="735B3589" w14:textId="21210743" w:rsidR="00DC2851" w:rsidRPr="008B1465" w:rsidRDefault="00DC2851" w:rsidP="00DC2851">
      <w:pPr>
        <w:pStyle w:val="NoSpacing"/>
        <w:spacing w:line="360" w:lineRule="auto"/>
        <w:jc w:val="both"/>
        <w:rPr>
          <w:rFonts w:ascii="Times New Roman" w:eastAsia="Calibri" w:hAnsi="Times New Roman"/>
          <w:sz w:val="24"/>
          <w:szCs w:val="24"/>
        </w:rPr>
      </w:pPr>
      <w:r w:rsidRPr="008B1465">
        <w:rPr>
          <w:rFonts w:ascii="Times New Roman" w:eastAsia="Calibri" w:hAnsi="Times New Roman"/>
          <w:sz w:val="24"/>
          <w:szCs w:val="24"/>
        </w:rPr>
        <w:t>Oseni</w:t>
      </w:r>
      <w:r w:rsidR="00262011" w:rsidRPr="008B1465">
        <w:rPr>
          <w:rFonts w:ascii="Times New Roman" w:eastAsia="Calibri" w:hAnsi="Times New Roman"/>
          <w:sz w:val="24"/>
          <w:szCs w:val="24"/>
        </w:rPr>
        <w:t xml:space="preserve"> </w:t>
      </w:r>
      <w:r w:rsidRPr="008B1465">
        <w:rPr>
          <w:rFonts w:ascii="Times New Roman" w:eastAsia="Calibri" w:hAnsi="Times New Roman"/>
          <w:sz w:val="24"/>
          <w:szCs w:val="24"/>
        </w:rPr>
        <w:t xml:space="preserve">(2017) examined how forensic accounting services affected the detection and avoidance of fraud and financial crime in Nigeria. The study, which had a 160-person sample size, involved Auchi Polytechnic, the Edo State Ministry of Finance, audit firms, and the Federal Inland Revenue Services. Three degrees of freedom and a 5% significance level were used for the tests. The study's findings indicated that financial crimes and fraud had a major detrimental influence on the development of human capital and infrastructure in developing countries, notably in Nigeria. To identify and stop fraud and financial crimes, businesses might use forensic accounting services. The report suggested that professional accounting bodies regularly train accountants in forensic accounting and that Nigerians adopt honesty, objectivity, fairness, responsibility, and transparency in their daily lives. </w:t>
      </w:r>
    </w:p>
    <w:p w14:paraId="0D21B126" w14:textId="77777777" w:rsidR="00DC2851" w:rsidRPr="008B1465" w:rsidRDefault="00DC2851" w:rsidP="00DC2851">
      <w:pPr>
        <w:pStyle w:val="NoSpacing"/>
        <w:spacing w:line="360" w:lineRule="auto"/>
        <w:jc w:val="both"/>
        <w:rPr>
          <w:rFonts w:ascii="Times New Roman" w:eastAsia="Calibri" w:hAnsi="Times New Roman"/>
          <w:sz w:val="24"/>
          <w:szCs w:val="24"/>
        </w:rPr>
      </w:pPr>
    </w:p>
    <w:p w14:paraId="238E79E0" w14:textId="0B204D17" w:rsidR="00DC2851" w:rsidRPr="008B1465" w:rsidRDefault="00DC2851" w:rsidP="002D79BB">
      <w:pPr>
        <w:pStyle w:val="NoSpacing"/>
        <w:spacing w:before="100" w:beforeAutospacing="1" w:after="100" w:afterAutospacing="1" w:line="360" w:lineRule="auto"/>
        <w:jc w:val="both"/>
        <w:rPr>
          <w:rFonts w:ascii="Times New Roman" w:eastAsia="Calibri" w:hAnsi="Times New Roman"/>
          <w:sz w:val="24"/>
          <w:szCs w:val="24"/>
        </w:rPr>
      </w:pPr>
      <w:r w:rsidRPr="008B1465">
        <w:rPr>
          <w:rFonts w:ascii="Times New Roman" w:eastAsia="Calibri" w:hAnsi="Times New Roman"/>
          <w:sz w:val="24"/>
          <w:szCs w:val="24"/>
        </w:rPr>
        <w:t>Modugu and Anyaduba (2013) examined forensic accounting and financial fraud in Nigeria. The study's goal was to evaluate financial fraud and forensic accounting in Nigeria. It specifically looked at whether there was widespread agreement among interested parties regarding the efficiency of forensic accounting in detecting fraud, financial reporting, and internal control standards; 143 respondents, including managers, professional auditors, stockholders, and accountants, received questionnaires. According to their conclusions, there is wide consensus among interested parties regarding the value of forensic accounting in internal control effectiveness, financial reporting, and fraud prevention. Investigations into alleged corruption instances were also advised</w:t>
      </w:r>
      <w:r w:rsidR="002D79BB" w:rsidRPr="008B1465">
        <w:rPr>
          <w:rFonts w:ascii="Times New Roman" w:eastAsia="Calibri" w:hAnsi="Times New Roman"/>
          <w:sz w:val="24"/>
          <w:szCs w:val="24"/>
        </w:rPr>
        <w:t xml:space="preserve">. </w:t>
      </w:r>
      <w:r w:rsidRPr="008B1465">
        <w:rPr>
          <w:rFonts w:ascii="Times New Roman" w:eastAsia="Calibri" w:hAnsi="Times New Roman"/>
          <w:sz w:val="24"/>
          <w:szCs w:val="24"/>
        </w:rPr>
        <w:t>Eze (2005) carried out a study on value for money audit's relevance in assessing accountability in the public sector. The study also analyzed the value for money auditing methods and issues. The researcher reviewed the existing body of knowledge's content, and desktop method analysis was used to triangulate that body of information, demonstrating how the absence of value for money audit procedures has an impact on the promotion of accountability in the Nigerian public sector. The study also suggests that the Nigerian public sector implement a suitable value for money audit process. In order for this recommendation to be widely adopted, it is necessary to reward people who uphold ethical standards and punish those who undermine the auditing procedure.</w:t>
      </w:r>
    </w:p>
    <w:p w14:paraId="6DA22518" w14:textId="7C640D54" w:rsidR="001616E5" w:rsidRPr="008B1465" w:rsidRDefault="003F05E3" w:rsidP="007541CB">
      <w:pPr>
        <w:pStyle w:val="Heading3"/>
        <w:spacing w:before="100" w:line="360" w:lineRule="auto"/>
        <w:rPr>
          <w:rFonts w:cs="Times New Roman"/>
        </w:rPr>
      </w:pPr>
      <w:bookmarkStart w:id="70" w:name="_Toc145951102"/>
      <w:r w:rsidRPr="008B1465">
        <w:rPr>
          <w:rFonts w:cs="Times New Roman"/>
        </w:rPr>
        <w:t>Forensic Accounting Technique and Value for Money Practices</w:t>
      </w:r>
      <w:bookmarkEnd w:id="70"/>
    </w:p>
    <w:p w14:paraId="3EB825F1" w14:textId="77777777" w:rsidR="00364E30" w:rsidRPr="008B1465" w:rsidRDefault="003F05E3" w:rsidP="007541CB">
      <w:pPr>
        <w:pStyle w:val="NoSpacing"/>
        <w:spacing w:line="360" w:lineRule="auto"/>
        <w:jc w:val="both"/>
        <w:rPr>
          <w:rFonts w:ascii="Times New Roman" w:eastAsia="Calibri" w:hAnsi="Times New Roman"/>
          <w:sz w:val="24"/>
          <w:szCs w:val="24"/>
        </w:rPr>
      </w:pPr>
      <w:r w:rsidRPr="008B1465">
        <w:rPr>
          <w:rFonts w:ascii="Times New Roman" w:eastAsia="Calibri" w:hAnsi="Times New Roman"/>
          <w:sz w:val="24"/>
          <w:szCs w:val="24"/>
        </w:rPr>
        <w:t>Azih and Okoli (2015) examined forensic accounting methods as a real instrument for managing state-owned public sectors effectively. In order to collect the data for the study, questionnaires were distributed. Their analysis underlined the need of forensic accounting in detecting fraud across all organizations. In order to ensure that funds are appropriately allocated and wisely appropriated to improve Nigerian citizens' quality of life and, more importantly, to ensure adequate accountability of finances provided for the development of this country, the study's authors concluded that it is essential for every public sector to have a forensic accounting unit. They also recommended that forensic accounting be strictly followed in all organizations in Nigeria, both in the private and public sectors.</w:t>
      </w:r>
      <w:r w:rsidR="00364E30" w:rsidRPr="008B1465">
        <w:rPr>
          <w:rFonts w:ascii="Times New Roman" w:eastAsia="Calibri" w:hAnsi="Times New Roman"/>
          <w:sz w:val="24"/>
          <w:szCs w:val="24"/>
        </w:rPr>
        <w:t xml:space="preserve"> </w:t>
      </w:r>
    </w:p>
    <w:p w14:paraId="0ACC54A7" w14:textId="77777777" w:rsidR="00364E30" w:rsidRPr="008B1465" w:rsidRDefault="00364E30" w:rsidP="007541CB">
      <w:pPr>
        <w:pStyle w:val="NoSpacing"/>
        <w:spacing w:line="360" w:lineRule="auto"/>
        <w:jc w:val="both"/>
        <w:rPr>
          <w:rFonts w:ascii="Times New Roman" w:eastAsia="Calibri" w:hAnsi="Times New Roman"/>
          <w:sz w:val="24"/>
          <w:szCs w:val="24"/>
        </w:rPr>
      </w:pPr>
    </w:p>
    <w:p w14:paraId="0FCDE049" w14:textId="399456A2" w:rsidR="001616E5" w:rsidRPr="008B1465" w:rsidRDefault="006F38D4" w:rsidP="007541CB">
      <w:pPr>
        <w:pStyle w:val="NoSpacing"/>
        <w:spacing w:line="360" w:lineRule="auto"/>
        <w:jc w:val="both"/>
        <w:rPr>
          <w:rFonts w:ascii="Times New Roman" w:eastAsia="Calibri" w:hAnsi="Times New Roman"/>
          <w:sz w:val="24"/>
          <w:szCs w:val="24"/>
        </w:rPr>
      </w:pPr>
      <w:r w:rsidRPr="008B1465">
        <w:rPr>
          <w:rFonts w:ascii="Times New Roman" w:eastAsia="Calibri" w:hAnsi="Times New Roman"/>
          <w:sz w:val="24"/>
          <w:szCs w:val="24"/>
        </w:rPr>
        <w:t>Adegbie and Fakile (2012) observed that economic and financial crimes, including corruption, are the bane of Nigeria's development efforts in their essay titled "Economic and financial crimes in Nigeria utilizing forensic accounting as an antidote." Chi-square and the Statistical Package for Social Science (SPSS) were employed to test the hypotheses.</w:t>
      </w:r>
      <w:r w:rsidR="003F05E3" w:rsidRPr="008B1465">
        <w:rPr>
          <w:rFonts w:ascii="Times New Roman" w:eastAsia="Calibri" w:hAnsi="Times New Roman"/>
          <w:sz w:val="24"/>
          <w:szCs w:val="24"/>
        </w:rPr>
        <w:t xml:space="preserve"> The study assesses forensic accounting as a remedy to economic and financial crime in Nigeria. The study identified the lack of appropriate litigation support services in the court resulting in incorrect judgments, poor corporate governance, a weakness in traditional auditing, and the damaged reputation of Nigeria in the international community as the main issues. They also suggested that the Nigerian government pass an act that will make forensic accounting a common practice there, making economic and financial crimes a thing of the past. </w:t>
      </w:r>
    </w:p>
    <w:p w14:paraId="68221AFF" w14:textId="77777777" w:rsidR="004956FD" w:rsidRPr="008B1465" w:rsidRDefault="004956FD" w:rsidP="007541CB">
      <w:pPr>
        <w:pStyle w:val="NoSpacing"/>
        <w:spacing w:line="360" w:lineRule="auto"/>
        <w:jc w:val="both"/>
        <w:rPr>
          <w:rFonts w:ascii="Times New Roman" w:eastAsia="Calibri" w:hAnsi="Times New Roman"/>
          <w:sz w:val="24"/>
          <w:szCs w:val="24"/>
        </w:rPr>
      </w:pPr>
    </w:p>
    <w:p w14:paraId="6A2EEF85" w14:textId="653F0DCD" w:rsidR="001616E5" w:rsidRPr="008B1465" w:rsidRDefault="003F05E3" w:rsidP="007541CB">
      <w:pPr>
        <w:pStyle w:val="NoSpacing"/>
        <w:spacing w:line="360" w:lineRule="auto"/>
        <w:jc w:val="both"/>
        <w:rPr>
          <w:rFonts w:ascii="Times New Roman" w:eastAsia="Calibri" w:hAnsi="Times New Roman"/>
          <w:sz w:val="24"/>
          <w:szCs w:val="24"/>
        </w:rPr>
      </w:pPr>
      <w:r w:rsidRPr="008B1465">
        <w:rPr>
          <w:rFonts w:ascii="Times New Roman" w:eastAsia="Calibri" w:hAnsi="Times New Roman"/>
          <w:sz w:val="24"/>
          <w:szCs w:val="24"/>
        </w:rPr>
        <w:t>The need for forensic accounting has grown as a result of financial and economic crimes, corruption, bribery, money laundering, criminal concealment of spouses' assets after divorce, financial statement manipulations, and other fraudulent activities. Studies indicate that forensic accounting improves the dependability of financial accounts. It has positively impacted the abolition of unethical practices, successfully ameliorated financial frauds in Deposit Money Banks (DMBs), positively influenced the banking industry's ability to detect and prevent frauds, improved internal control, and had a positive and significant impact on corporate governance and tax evasion (Tapang &amp; Ihendinihu, 2020; Adesina</w:t>
      </w:r>
      <w:r w:rsidR="00383191" w:rsidRPr="008B1465">
        <w:rPr>
          <w:rFonts w:ascii="Times New Roman" w:eastAsia="Calibri" w:hAnsi="Times New Roman"/>
          <w:sz w:val="24"/>
          <w:szCs w:val="24"/>
        </w:rPr>
        <w:t>,</w:t>
      </w:r>
      <w:r w:rsidRPr="008B1465">
        <w:rPr>
          <w:rFonts w:ascii="Times New Roman" w:eastAsia="Calibri" w:hAnsi="Times New Roman"/>
          <w:sz w:val="24"/>
          <w:szCs w:val="24"/>
        </w:rPr>
        <w:t xml:space="preserve"> 2020; Abdulrahman </w:t>
      </w:r>
      <w:r w:rsidR="00576E27" w:rsidRPr="008B1465">
        <w:rPr>
          <w:rFonts w:ascii="Times New Roman" w:eastAsia="Calibri" w:hAnsi="Times New Roman"/>
          <w:i/>
          <w:iCs/>
          <w:sz w:val="24"/>
          <w:szCs w:val="24"/>
        </w:rPr>
        <w:t>et al</w:t>
      </w:r>
      <w:r w:rsidRPr="008B1465">
        <w:rPr>
          <w:rFonts w:ascii="Times New Roman" w:eastAsia="Calibri" w:hAnsi="Times New Roman"/>
          <w:sz w:val="24"/>
          <w:szCs w:val="24"/>
        </w:rPr>
        <w:t>., 2020</w:t>
      </w:r>
      <w:r w:rsidR="0095338F" w:rsidRPr="008B1465">
        <w:rPr>
          <w:rFonts w:ascii="Times New Roman" w:eastAsia="Calibri" w:hAnsi="Times New Roman"/>
          <w:sz w:val="24"/>
          <w:szCs w:val="24"/>
        </w:rPr>
        <w:t>,</w:t>
      </w:r>
      <w:r w:rsidRPr="008B1465">
        <w:rPr>
          <w:rFonts w:ascii="Times New Roman" w:eastAsia="Calibri" w:hAnsi="Times New Roman"/>
          <w:sz w:val="24"/>
          <w:szCs w:val="24"/>
        </w:rPr>
        <w:t xml:space="preserve"> Akinadewo &amp; Akinkoye, 2019).</w:t>
      </w:r>
    </w:p>
    <w:p w14:paraId="4CE5D7AD" w14:textId="77777777" w:rsidR="00197E55" w:rsidRPr="008B1465" w:rsidRDefault="00197E55" w:rsidP="007541CB">
      <w:pPr>
        <w:pStyle w:val="NoSpacing"/>
        <w:spacing w:line="360" w:lineRule="auto"/>
        <w:jc w:val="both"/>
        <w:rPr>
          <w:rFonts w:ascii="Times New Roman" w:eastAsia="Calibri" w:hAnsi="Times New Roman"/>
          <w:sz w:val="24"/>
          <w:szCs w:val="24"/>
        </w:rPr>
      </w:pPr>
    </w:p>
    <w:p w14:paraId="25A7B5D5" w14:textId="77777777" w:rsidR="001616E5" w:rsidRPr="008B1465" w:rsidRDefault="003F05E3" w:rsidP="007541CB">
      <w:pPr>
        <w:pStyle w:val="NoSpacing"/>
        <w:spacing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Bassey (2018), </w:t>
      </w:r>
      <w:r w:rsidR="006C3969" w:rsidRPr="008B1465">
        <w:rPr>
          <w:rFonts w:ascii="Times New Roman" w:eastAsia="Calibri" w:hAnsi="Times New Roman"/>
          <w:sz w:val="24"/>
          <w:szCs w:val="24"/>
        </w:rPr>
        <w:t xml:space="preserve">evaluated </w:t>
      </w:r>
      <w:r w:rsidRPr="008B1465">
        <w:rPr>
          <w:rFonts w:ascii="Times New Roman" w:eastAsia="Calibri" w:hAnsi="Times New Roman"/>
          <w:sz w:val="24"/>
          <w:szCs w:val="24"/>
        </w:rPr>
        <w:t>"</w:t>
      </w:r>
      <w:r w:rsidR="00410BE0" w:rsidRPr="008B1465">
        <w:rPr>
          <w:rFonts w:ascii="Times New Roman" w:eastAsia="Calibri" w:hAnsi="Times New Roman"/>
          <w:sz w:val="24"/>
          <w:szCs w:val="24"/>
        </w:rPr>
        <w:t>f</w:t>
      </w:r>
      <w:r w:rsidRPr="008B1465">
        <w:rPr>
          <w:rFonts w:ascii="Times New Roman" w:eastAsia="Calibri" w:hAnsi="Times New Roman"/>
          <w:sz w:val="24"/>
          <w:szCs w:val="24"/>
        </w:rPr>
        <w:t>orensic accounting and how it influence</w:t>
      </w:r>
      <w:r w:rsidR="006C3969" w:rsidRPr="008B1465">
        <w:rPr>
          <w:rFonts w:ascii="Times New Roman" w:eastAsia="Calibri" w:hAnsi="Times New Roman"/>
          <w:sz w:val="24"/>
          <w:szCs w:val="24"/>
        </w:rPr>
        <w:t>d</w:t>
      </w:r>
      <w:r w:rsidRPr="008B1465">
        <w:rPr>
          <w:rFonts w:ascii="Times New Roman" w:eastAsia="Calibri" w:hAnsi="Times New Roman"/>
          <w:sz w:val="24"/>
          <w:szCs w:val="24"/>
        </w:rPr>
        <w:t xml:space="preserve"> fraud management in microfinance organizations in Cross River State," the findings of the individual tests of the independent variables were significant. Due to decades of audit failures, accounting has undergone a paradigm shift. In the selected microfinance institutions in Calabar, Cross River State, forensic accounting is discovered to have a significant impact on the reduction of crime and corruption. Executives of microfinance banks in Calabar ought to be more interested in forensic accounting in order to track down and look into conceivable fraudsters. Before being hired to manage and oversee the operations and activities of microfinance banks, managers who are appointed to do so should be scrutinized and their honesty and dependability should be proven.</w:t>
      </w:r>
    </w:p>
    <w:p w14:paraId="2DF7712A" w14:textId="77777777" w:rsidR="001616E5" w:rsidRPr="008B1465" w:rsidRDefault="001616E5" w:rsidP="007541CB">
      <w:pPr>
        <w:pStyle w:val="NoSpacing"/>
        <w:spacing w:line="360" w:lineRule="auto"/>
        <w:jc w:val="both"/>
        <w:rPr>
          <w:rFonts w:ascii="Times New Roman" w:eastAsia="Calibri" w:hAnsi="Times New Roman"/>
          <w:sz w:val="24"/>
          <w:szCs w:val="24"/>
        </w:rPr>
      </w:pPr>
    </w:p>
    <w:p w14:paraId="3E4291B8" w14:textId="337BC227" w:rsidR="001616E5" w:rsidRPr="008B1465" w:rsidRDefault="003F05E3" w:rsidP="007541CB">
      <w:pPr>
        <w:pStyle w:val="NoSpacing"/>
        <w:spacing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Adesina (2020) </w:t>
      </w:r>
      <w:r w:rsidR="006C3969" w:rsidRPr="008B1465">
        <w:rPr>
          <w:rFonts w:ascii="Times New Roman" w:eastAsia="Calibri" w:hAnsi="Times New Roman"/>
          <w:sz w:val="24"/>
          <w:szCs w:val="24"/>
        </w:rPr>
        <w:t>investigated</w:t>
      </w:r>
      <w:r w:rsidRPr="008B1465">
        <w:rPr>
          <w:rFonts w:ascii="Times New Roman" w:eastAsia="Calibri" w:hAnsi="Times New Roman"/>
          <w:sz w:val="24"/>
          <w:szCs w:val="24"/>
        </w:rPr>
        <w:t xml:space="preserve"> the significance of using forensic audit to control financial frauds that devastate or threaten the stability and ongoing operations of Deposit Money Banks (DMBs) in Nigeria. The primary data, which comprised 77.3% of the twenty-two (22) Deposit Money Banks (DMBs) in operation in the nation, were collected through the administration of a structured questionnaire by the study's survey design methods, covering seventeen (17) banks. The findings of this study, which employed the Ordinary Least Squares (OLS) method to analyze and test hypotheses, demonstrated that hiring certified and experienced forensic auditors would not only lessen financial fraud in DMBs but also restore much-needed sanity to Nigeria's banking industry. The study recommends that regulatory agencies, within the bounds of the law, require all banks to establish a special forensic department, managed by a professional forensic auditor, which will develop and continuously implement effective and efficient internal control, timely prosecution of fraudsters by treating them as criminals and as a deterrent to others, and work out adequate training and development programs for their staff, particularly in fraud controversies.</w:t>
      </w:r>
      <w:r w:rsidR="00364E30" w:rsidRPr="008B1465">
        <w:rPr>
          <w:rFonts w:ascii="Times New Roman" w:eastAsia="Calibri" w:hAnsi="Times New Roman"/>
          <w:sz w:val="24"/>
          <w:szCs w:val="24"/>
        </w:rPr>
        <w:t xml:space="preserve"> </w:t>
      </w:r>
      <w:r w:rsidRPr="008B1465">
        <w:rPr>
          <w:rFonts w:ascii="Times New Roman" w:eastAsia="Calibri" w:hAnsi="Times New Roman"/>
          <w:sz w:val="24"/>
          <w:szCs w:val="24"/>
        </w:rPr>
        <w:t xml:space="preserve">In order to investigate the fraud risk assessment task performance in the office of the federation's auditor general and accountant general by making effective use of knowledge and skills, Popoola </w:t>
      </w:r>
      <w:r w:rsidR="00576E27" w:rsidRPr="008B1465">
        <w:rPr>
          <w:rFonts w:ascii="Times New Roman" w:eastAsia="Calibri" w:hAnsi="Times New Roman"/>
          <w:i/>
          <w:iCs/>
          <w:sz w:val="24"/>
          <w:szCs w:val="24"/>
        </w:rPr>
        <w:t>et al</w:t>
      </w:r>
      <w:r w:rsidRPr="008B1465">
        <w:rPr>
          <w:rFonts w:ascii="Times New Roman" w:eastAsia="Calibri" w:hAnsi="Times New Roman"/>
          <w:sz w:val="24"/>
          <w:szCs w:val="24"/>
        </w:rPr>
        <w:t>. (2013) studied forensic accounting knowledge and skills on task performance and fraud risk assessment in Nigeria's public sector (forensic accountant versus auditor). At the conclusion of the study, the authors point out that adopting a holistic approach and using forensic accounting knowledge and skills in task performance risk assessment are necessary to comprehend the mechanisms of fraud schemes and to be able to prevent, detect, and respond to fraud. These users of public sector accountants and auditors include courts, ministries, departments, and agencies.</w:t>
      </w:r>
    </w:p>
    <w:p w14:paraId="1ADD03BB" w14:textId="77777777" w:rsidR="001616E5" w:rsidRPr="008B1465" w:rsidRDefault="001616E5" w:rsidP="007541CB">
      <w:pPr>
        <w:pStyle w:val="NoSpacing"/>
        <w:spacing w:line="360" w:lineRule="auto"/>
        <w:jc w:val="both"/>
        <w:rPr>
          <w:rFonts w:ascii="Times New Roman" w:eastAsia="Calibri" w:hAnsi="Times New Roman"/>
          <w:sz w:val="24"/>
          <w:szCs w:val="24"/>
        </w:rPr>
      </w:pPr>
    </w:p>
    <w:p w14:paraId="2BE4E624" w14:textId="77777777" w:rsidR="001616E5" w:rsidRPr="008B1465" w:rsidRDefault="003F05E3" w:rsidP="007541CB">
      <w:pPr>
        <w:pStyle w:val="NoSpacing"/>
        <w:spacing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Kalubanga and Kakwezi (2013) investigated how value for money audit can improve organization reports because the public has lost faith in traditional audit reports. According to the study, traditional performance audits that aim to evaluate an organization's or system's performance in terms of compliance with specific rules are now woefully inadequate. The study holds that such a report should be sufficiently thorough to include a review of how well government organizations are able to carry out their duties and keep costs under control by making sure that resources are used as sparingly as possible and that activities are planned effectively. </w:t>
      </w:r>
    </w:p>
    <w:p w14:paraId="075DB851" w14:textId="6E1984C7" w:rsidR="001616E5" w:rsidRPr="008B1465" w:rsidRDefault="003F05E3" w:rsidP="007541CB">
      <w:pPr>
        <w:pStyle w:val="Heading3"/>
        <w:spacing w:before="100" w:line="360" w:lineRule="auto"/>
        <w:rPr>
          <w:rFonts w:eastAsia="Calibri" w:cs="Times New Roman"/>
        </w:rPr>
      </w:pPr>
      <w:bookmarkStart w:id="71" w:name="_Toc145951103"/>
      <w:r w:rsidRPr="008B1465">
        <w:rPr>
          <w:rFonts w:cs="Times New Roman"/>
        </w:rPr>
        <w:t>Forensic Accounting Techniques and Procurement Practices</w:t>
      </w:r>
      <w:bookmarkEnd w:id="71"/>
      <w:r w:rsidRPr="008B1465">
        <w:rPr>
          <w:rFonts w:cs="Times New Roman"/>
        </w:rPr>
        <w:t xml:space="preserve"> </w:t>
      </w:r>
    </w:p>
    <w:p w14:paraId="3174A89C" w14:textId="5E1F3DD0" w:rsidR="001616E5" w:rsidRPr="008B1465" w:rsidRDefault="003F05E3" w:rsidP="007541CB">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In Bassey's (2018) </w:t>
      </w:r>
      <w:r w:rsidR="002C2FF3" w:rsidRPr="008B1465">
        <w:rPr>
          <w:rFonts w:ascii="Times New Roman" w:eastAsia="Calibri" w:hAnsi="Times New Roman"/>
          <w:sz w:val="24"/>
          <w:szCs w:val="24"/>
        </w:rPr>
        <w:t>investigated</w:t>
      </w:r>
      <w:r w:rsidRPr="008B1465">
        <w:rPr>
          <w:rFonts w:ascii="Times New Roman" w:eastAsia="Calibri" w:hAnsi="Times New Roman"/>
          <w:sz w:val="24"/>
          <w:szCs w:val="24"/>
        </w:rPr>
        <w:t>, forensic accounting and how it affects fraud management in microfinance organizations in Cross River State were the main research focuses. How to effectively use forensic accounting services to prevent and control fraud in microfinance institutions is the topic covered in this article. Survey research was employed in the study. The ordinary least squares method was used to examine the data that was acquired from both primary and secondary sources. The results of the regression analysis showed that, according to the empirical investigation, the estimated coefficients of the regression parameter all have negative signs. These factors suggested that aggressive forensic investigation and legal support could lessen fraud in specific microfinance institutions in Calabar, Cross River State.</w:t>
      </w:r>
    </w:p>
    <w:p w14:paraId="63753074" w14:textId="3E6FC87F" w:rsidR="001616E5" w:rsidRPr="008B1465" w:rsidRDefault="003F05E3" w:rsidP="007541CB">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Okoye </w:t>
      </w:r>
      <w:r w:rsidR="00576E27" w:rsidRPr="008B1465">
        <w:rPr>
          <w:rFonts w:ascii="Times New Roman" w:eastAsia="Calibri" w:hAnsi="Times New Roman"/>
          <w:i/>
          <w:iCs/>
          <w:sz w:val="24"/>
          <w:szCs w:val="24"/>
        </w:rPr>
        <w:t>et al</w:t>
      </w:r>
      <w:r w:rsidRPr="008B1465">
        <w:rPr>
          <w:rFonts w:ascii="Times New Roman" w:eastAsia="Calibri" w:hAnsi="Times New Roman"/>
          <w:sz w:val="24"/>
          <w:szCs w:val="24"/>
        </w:rPr>
        <w:t>., (2013) investigated the use of forensic accounting as a tool for fraud detection and prevention in the public sector by focusing on a few ministries in the Kogi state. The study used analysis of variance (ANOVA) to assess the hypotheses after collecting both primary and secondary data. The study found that the frequency of fraud charges in the public sector is dramatically decreased by forensic accountings. The research also suggested that forensic accounting training be provided for ministry accountants, and that rigorous adherence to accounting and auditing standards be observed.</w:t>
      </w:r>
    </w:p>
    <w:p w14:paraId="5D73CD14" w14:textId="59BDF190" w:rsidR="001616E5" w:rsidRPr="008B1465" w:rsidRDefault="003F05E3" w:rsidP="00A8413E">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The expanding utility of forensic accounting as a tool for battling fraud and corruption using lessons learned from the Nigerian experience is another similar piece from a different perspective. The effect of forensic accounting services on unethical banking activities in Nigeria was studied as a case study by Tapang </w:t>
      </w:r>
      <w:r w:rsidR="006436F1" w:rsidRPr="008B1465">
        <w:rPr>
          <w:rFonts w:ascii="Times New Roman" w:eastAsia="Calibri" w:hAnsi="Times New Roman"/>
          <w:sz w:val="24"/>
          <w:szCs w:val="24"/>
        </w:rPr>
        <w:t>&amp;</w:t>
      </w:r>
      <w:r w:rsidRPr="008B1465">
        <w:rPr>
          <w:rFonts w:ascii="Times New Roman" w:eastAsia="Calibri" w:hAnsi="Times New Roman"/>
          <w:sz w:val="24"/>
          <w:szCs w:val="24"/>
        </w:rPr>
        <w:t xml:space="preserve"> Ihendinihu (2020). </w:t>
      </w:r>
      <w:r w:rsidR="006436F1" w:rsidRPr="008B1465">
        <w:rPr>
          <w:rFonts w:ascii="Times New Roman" w:eastAsia="Calibri" w:hAnsi="Times New Roman"/>
          <w:sz w:val="24"/>
          <w:szCs w:val="24"/>
        </w:rPr>
        <w:t>The study</w:t>
      </w:r>
      <w:r w:rsidRPr="008B1465">
        <w:rPr>
          <w:rFonts w:ascii="Times New Roman" w:eastAsia="Calibri" w:hAnsi="Times New Roman"/>
          <w:sz w:val="24"/>
          <w:szCs w:val="24"/>
        </w:rPr>
        <w:t xml:space="preserve"> gathered </w:t>
      </w:r>
      <w:r w:rsidR="00A8413E" w:rsidRPr="008B1465">
        <w:rPr>
          <w:rFonts w:ascii="Times New Roman" w:eastAsia="Calibri" w:hAnsi="Times New Roman"/>
          <w:sz w:val="24"/>
          <w:szCs w:val="24"/>
        </w:rPr>
        <w:t>data t</w:t>
      </w:r>
      <w:r w:rsidRPr="008B1465">
        <w:rPr>
          <w:rFonts w:ascii="Times New Roman" w:eastAsia="Calibri" w:hAnsi="Times New Roman"/>
          <w:sz w:val="24"/>
          <w:szCs w:val="24"/>
        </w:rPr>
        <w:t xml:space="preserve">hrough questionnaires distributed among banks for the cross-sectional survey research methods used in this study, and was then analyzed using the ordinary least square method. In light of these findings, check fraud, credit card fraud, and mortgage fraud are all significantly impacted by forensic accounting services. </w:t>
      </w:r>
      <w:r w:rsidR="00A8413E" w:rsidRPr="008B1465">
        <w:rPr>
          <w:rFonts w:ascii="Times New Roman" w:eastAsia="Calibri" w:hAnsi="Times New Roman"/>
          <w:sz w:val="24"/>
          <w:szCs w:val="24"/>
        </w:rPr>
        <w:t>The study concluded</w:t>
      </w:r>
      <w:r w:rsidRPr="008B1465">
        <w:rPr>
          <w:rFonts w:ascii="Times New Roman" w:eastAsia="Calibri" w:hAnsi="Times New Roman"/>
          <w:sz w:val="24"/>
          <w:szCs w:val="24"/>
        </w:rPr>
        <w:t xml:space="preserve"> that</w:t>
      </w:r>
      <w:r w:rsidR="00615DC8" w:rsidRPr="008B1465">
        <w:rPr>
          <w:rFonts w:ascii="Times New Roman" w:eastAsia="Calibri" w:hAnsi="Times New Roman"/>
          <w:sz w:val="24"/>
          <w:szCs w:val="24"/>
        </w:rPr>
        <w:t xml:space="preserve"> </w:t>
      </w:r>
      <w:r w:rsidRPr="008B1465">
        <w:rPr>
          <w:rFonts w:ascii="Times New Roman" w:eastAsia="Calibri" w:hAnsi="Times New Roman"/>
          <w:sz w:val="24"/>
          <w:szCs w:val="24"/>
        </w:rPr>
        <w:t>banks in Nigeria have embraced a number of forensic accounting services, including litigation support, fraud investigation, and expert advice</w:t>
      </w:r>
      <w:r w:rsidR="00615DC8" w:rsidRPr="008B1465">
        <w:rPr>
          <w:rFonts w:ascii="Times New Roman" w:eastAsia="Calibri" w:hAnsi="Times New Roman"/>
          <w:sz w:val="24"/>
          <w:szCs w:val="24"/>
        </w:rPr>
        <w:t>, and recommended</w:t>
      </w:r>
      <w:r w:rsidR="00623587" w:rsidRPr="008B1465">
        <w:rPr>
          <w:rFonts w:ascii="Times New Roman" w:eastAsia="Calibri" w:hAnsi="Times New Roman"/>
          <w:sz w:val="24"/>
          <w:szCs w:val="24"/>
        </w:rPr>
        <w:t xml:space="preserve"> that</w:t>
      </w:r>
      <w:r w:rsidRPr="008B1465">
        <w:rPr>
          <w:rFonts w:ascii="Times New Roman" w:eastAsia="Calibri" w:hAnsi="Times New Roman"/>
          <w:sz w:val="24"/>
          <w:szCs w:val="24"/>
        </w:rPr>
        <w:t xml:space="preserve"> bank</w:t>
      </w:r>
      <w:r w:rsidR="00623587" w:rsidRPr="008B1465">
        <w:rPr>
          <w:rFonts w:ascii="Times New Roman" w:eastAsia="Calibri" w:hAnsi="Times New Roman"/>
          <w:sz w:val="24"/>
          <w:szCs w:val="24"/>
        </w:rPr>
        <w:t>s</w:t>
      </w:r>
      <w:r w:rsidRPr="008B1465">
        <w:rPr>
          <w:rFonts w:ascii="Times New Roman" w:eastAsia="Calibri" w:hAnsi="Times New Roman"/>
          <w:sz w:val="24"/>
          <w:szCs w:val="24"/>
        </w:rPr>
        <w:t xml:space="preserve"> must allocate enough resources to effectively carry out forensic accounting services across all its various departments if </w:t>
      </w:r>
      <w:r w:rsidR="00623587" w:rsidRPr="008B1465">
        <w:rPr>
          <w:rFonts w:ascii="Times New Roman" w:eastAsia="Calibri" w:hAnsi="Times New Roman"/>
          <w:sz w:val="24"/>
          <w:szCs w:val="24"/>
        </w:rPr>
        <w:t>they</w:t>
      </w:r>
      <w:r w:rsidRPr="008B1465">
        <w:rPr>
          <w:rFonts w:ascii="Times New Roman" w:eastAsia="Calibri" w:hAnsi="Times New Roman"/>
          <w:sz w:val="24"/>
          <w:szCs w:val="24"/>
        </w:rPr>
        <w:t xml:space="preserve"> hope to grow</w:t>
      </w:r>
      <w:r w:rsidR="00623587" w:rsidRPr="008B1465">
        <w:rPr>
          <w:rFonts w:ascii="Times New Roman" w:eastAsia="Calibri" w:hAnsi="Times New Roman"/>
          <w:sz w:val="24"/>
          <w:szCs w:val="24"/>
        </w:rPr>
        <w:t>,</w:t>
      </w:r>
      <w:r w:rsidRPr="008B1465">
        <w:rPr>
          <w:rFonts w:ascii="Times New Roman" w:eastAsia="Calibri" w:hAnsi="Times New Roman"/>
          <w:sz w:val="24"/>
          <w:szCs w:val="24"/>
        </w:rPr>
        <w:t xml:space="preserve"> while reducing unethical behavior. </w:t>
      </w:r>
      <w:r w:rsidR="00796532" w:rsidRPr="008B1465">
        <w:rPr>
          <w:rFonts w:ascii="Times New Roman" w:eastAsia="Calibri" w:hAnsi="Times New Roman"/>
          <w:sz w:val="24"/>
          <w:szCs w:val="24"/>
        </w:rPr>
        <w:t>According to the study, f</w:t>
      </w:r>
      <w:r w:rsidRPr="008B1465">
        <w:rPr>
          <w:rFonts w:ascii="Times New Roman" w:eastAsia="Calibri" w:hAnsi="Times New Roman"/>
          <w:sz w:val="24"/>
          <w:szCs w:val="24"/>
        </w:rPr>
        <w:t>orensic accounting services can boost confidence in financial accounts since they significantly reduce the incidence of unethical actions, just as banks utilize other strategies to do so</w:t>
      </w:r>
      <w:r w:rsidR="00796532" w:rsidRPr="008B1465">
        <w:rPr>
          <w:rFonts w:ascii="Times New Roman" w:eastAsia="Calibri" w:hAnsi="Times New Roman"/>
          <w:sz w:val="24"/>
          <w:szCs w:val="24"/>
        </w:rPr>
        <w:t>. F</w:t>
      </w:r>
      <w:r w:rsidRPr="008B1465">
        <w:rPr>
          <w:rFonts w:ascii="Times New Roman" w:eastAsia="Calibri" w:hAnsi="Times New Roman"/>
          <w:sz w:val="24"/>
          <w:szCs w:val="24"/>
        </w:rPr>
        <w:t>orensic accounting services can</w:t>
      </w:r>
      <w:r w:rsidR="00796532" w:rsidRPr="008B1465">
        <w:rPr>
          <w:rFonts w:ascii="Times New Roman" w:eastAsia="Calibri" w:hAnsi="Times New Roman"/>
          <w:sz w:val="24"/>
          <w:szCs w:val="24"/>
        </w:rPr>
        <w:t xml:space="preserve"> also</w:t>
      </w:r>
      <w:r w:rsidRPr="008B1465">
        <w:rPr>
          <w:rFonts w:ascii="Times New Roman" w:eastAsia="Calibri" w:hAnsi="Times New Roman"/>
          <w:sz w:val="24"/>
          <w:szCs w:val="24"/>
        </w:rPr>
        <w:t xml:space="preserve"> be used as a tool to help monitor, identify, and prevent unethical practices in the banking industry so that the bank can continue to operate effectively.</w:t>
      </w:r>
    </w:p>
    <w:p w14:paraId="1D4790B9" w14:textId="77777777" w:rsidR="001616E5" w:rsidRPr="008B1465" w:rsidRDefault="003F05E3" w:rsidP="007541CB">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Nwosu and Mshelia (2015), it is the legislative obligation of public sector organizations at the federal, state, and municipal levels to adopt and incorporate the notions of value for money auditing. In most jurisdictions, however, establishing how cost-effective, efficient, and effective the connected programs are in accomplishing their objectives remains a point of contention. This study investigates the relevance of value for money audit as a veritable instrument for spending management and analyses its vitals aims and essential aspects, triangulating current information about the fundamental processes while articulating the concepts in a practical and usable way. Using desktop analytical techniques, the results reveal that a lack of value for money audit processes has an impact on an organization’s smooth operation and growth. </w:t>
      </w:r>
    </w:p>
    <w:p w14:paraId="5D87BFD4" w14:textId="77777777" w:rsidR="001616E5" w:rsidRPr="008B1465" w:rsidRDefault="009303CF" w:rsidP="007541CB">
      <w:pPr>
        <w:spacing w:after="0" w:line="360" w:lineRule="auto"/>
        <w:jc w:val="both"/>
        <w:rPr>
          <w:rFonts w:ascii="Times New Roman" w:eastAsia="Calibri" w:hAnsi="Times New Roman"/>
          <w:sz w:val="24"/>
          <w:szCs w:val="24"/>
        </w:rPr>
      </w:pPr>
      <w:r w:rsidRPr="008B1465">
        <w:rPr>
          <w:rFonts w:ascii="Times New Roman" w:hAnsi="Times New Roman"/>
          <w:sz w:val="24"/>
          <w:szCs w:val="24"/>
          <w:shd w:val="clear" w:color="auto" w:fill="FFFFFF"/>
        </w:rPr>
        <w:t>Mansor and Abdullahi</w:t>
      </w:r>
      <w:r w:rsidRPr="008B1465">
        <w:rPr>
          <w:rFonts w:ascii="Times New Roman" w:eastAsia="Calibri" w:hAnsi="Times New Roman"/>
          <w:sz w:val="24"/>
          <w:szCs w:val="24"/>
        </w:rPr>
        <w:t xml:space="preserve"> </w:t>
      </w:r>
      <w:r w:rsidR="003F05E3" w:rsidRPr="008B1465">
        <w:rPr>
          <w:rFonts w:ascii="Times New Roman" w:eastAsia="Calibri" w:hAnsi="Times New Roman"/>
          <w:sz w:val="24"/>
          <w:szCs w:val="24"/>
        </w:rPr>
        <w:t>(2015)</w:t>
      </w:r>
      <w:r w:rsidR="003F05E3" w:rsidRPr="008B1465">
        <w:rPr>
          <w:rFonts w:ascii="Times New Roman" w:hAnsi="Times New Roman"/>
          <w:sz w:val="24"/>
          <w:szCs w:val="24"/>
        </w:rPr>
        <w:t xml:space="preserve"> </w:t>
      </w:r>
      <w:r w:rsidR="003F05E3" w:rsidRPr="008B1465">
        <w:rPr>
          <w:rFonts w:ascii="Times New Roman" w:eastAsia="Calibri" w:hAnsi="Times New Roman"/>
          <w:sz w:val="24"/>
          <w:szCs w:val="24"/>
        </w:rPr>
        <w:t>related the components of the fraud triangle theory with fraud occurrences in their study, Concomitant Debacle of Fraud Incidents in Nigeria Public Sector: Understanding the Power of Fraud Triangle Theory, with the primary goal of reducing fraud outrages in the Nigerian public sectors. In their investigation, they found that the main causes of fraud in the public sector were high-profile government officials' avarice and the subpar living conditions of lower rank officers. According to the study's recommendations, the Nigerian government should launch a training program, such as a workshop, seminar, or conference, to improve employees' moral behavior and help them understand the damaging effects that fraud has on both their behavior and the country's economy. It should also implement a salary scale reform to raise civil servants' salaries and offer benefits to raise their standard of living.</w:t>
      </w:r>
    </w:p>
    <w:p w14:paraId="3BD711D1" w14:textId="77777777" w:rsidR="001616E5" w:rsidRPr="008B1465" w:rsidRDefault="003F05E3" w:rsidP="007541CB">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Gbegi and Adebisi </w:t>
      </w:r>
      <w:r w:rsidR="001C227B" w:rsidRPr="008B1465">
        <w:rPr>
          <w:rFonts w:ascii="Times New Roman" w:eastAsia="Calibri" w:hAnsi="Times New Roman"/>
          <w:sz w:val="24"/>
          <w:szCs w:val="24"/>
        </w:rPr>
        <w:t xml:space="preserve">(2015) </w:t>
      </w:r>
      <w:r w:rsidRPr="008B1465">
        <w:rPr>
          <w:rFonts w:ascii="Times New Roman" w:eastAsia="Calibri" w:hAnsi="Times New Roman"/>
          <w:sz w:val="24"/>
          <w:szCs w:val="24"/>
        </w:rPr>
        <w:t xml:space="preserve">examined fraud prevention and detection tactics used in the Nigerian public sector. The primary goal of the study is to examine the prevalence of fraud in the Nigerian public sector and the methods for effectively managing it. In the research, it was found that management policies and Nigerian public sector fraud have a positive and significant link. Fraud prevention and detection techniques also have an impact on Nigerian public sector fraud. Additionally, it was found that the Nigerian public sector lacks a robust internal control system, and management integrity affects fraud prevention there. The report advises the public sector to implement strong management principles and utilize contemporary accounting and auditing tools to improve effective and seamless fraud detection. </w:t>
      </w:r>
    </w:p>
    <w:p w14:paraId="44D344AF" w14:textId="4FCC9ABB" w:rsidR="001616E5" w:rsidRPr="008B1465" w:rsidRDefault="003F05E3" w:rsidP="007541CB">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Ismail, Takim, and Nawawi (2012), stated in their study that Value for Money (VM) assessment could be assessed in a general sense when acquiring Public Private Partnership (PPP) projects by comparing contractor offers against Public Sector Comparator (PSC) paperwork. According to Ismail</w:t>
      </w:r>
      <w:r w:rsidR="003E54DF" w:rsidRPr="008B1465">
        <w:rPr>
          <w:rFonts w:ascii="Times New Roman" w:eastAsia="Calibri" w:hAnsi="Times New Roman"/>
          <w:sz w:val="24"/>
          <w:szCs w:val="24"/>
        </w:rPr>
        <w:t xml:space="preserve"> </w:t>
      </w:r>
      <w:r w:rsidR="00576E27" w:rsidRPr="008B1465">
        <w:rPr>
          <w:rFonts w:ascii="Times New Roman" w:eastAsia="Calibri" w:hAnsi="Times New Roman"/>
          <w:i/>
          <w:iCs/>
          <w:sz w:val="24"/>
          <w:szCs w:val="24"/>
        </w:rPr>
        <w:t>et al</w:t>
      </w:r>
      <w:r w:rsidR="003E54DF" w:rsidRPr="008B1465">
        <w:rPr>
          <w:rFonts w:ascii="Times New Roman" w:eastAsia="Calibri" w:hAnsi="Times New Roman"/>
          <w:sz w:val="24"/>
          <w:szCs w:val="24"/>
        </w:rPr>
        <w:t>. (</w:t>
      </w:r>
      <w:r w:rsidRPr="008B1465">
        <w:rPr>
          <w:rFonts w:ascii="Times New Roman" w:eastAsia="Calibri" w:hAnsi="Times New Roman"/>
          <w:sz w:val="24"/>
          <w:szCs w:val="24"/>
        </w:rPr>
        <w:t>2012), a PSC is a hypothetical framework for evaluating VM that has been trademarked in most nations throughout the world, including the United Kingdom, Australia, Hong Kong, and Canada (</w:t>
      </w:r>
      <w:r w:rsidR="003E54DF" w:rsidRPr="008B1465">
        <w:rPr>
          <w:rFonts w:ascii="Times New Roman" w:eastAsia="Calibri" w:hAnsi="Times New Roman"/>
          <w:sz w:val="24"/>
          <w:szCs w:val="24"/>
        </w:rPr>
        <w:t xml:space="preserve">Ismail </w:t>
      </w:r>
      <w:r w:rsidR="00576E27" w:rsidRPr="008B1465">
        <w:rPr>
          <w:rFonts w:ascii="Times New Roman" w:eastAsia="Calibri" w:hAnsi="Times New Roman"/>
          <w:i/>
          <w:iCs/>
          <w:sz w:val="24"/>
          <w:szCs w:val="24"/>
        </w:rPr>
        <w:t>et al</w:t>
      </w:r>
      <w:r w:rsidR="003E54DF" w:rsidRPr="008B1465">
        <w:rPr>
          <w:rFonts w:ascii="Times New Roman" w:eastAsia="Calibri" w:hAnsi="Times New Roman"/>
          <w:sz w:val="24"/>
          <w:szCs w:val="24"/>
        </w:rPr>
        <w:t>., 2012</w:t>
      </w:r>
      <w:r w:rsidRPr="008B1465">
        <w:rPr>
          <w:rFonts w:ascii="Times New Roman" w:eastAsia="Calibri" w:hAnsi="Times New Roman"/>
          <w:sz w:val="24"/>
          <w:szCs w:val="24"/>
        </w:rPr>
        <w:t xml:space="preserve">; Kurakaew &amp; Suksuwan, 2016). However, </w:t>
      </w:r>
      <w:r w:rsidR="00395F31" w:rsidRPr="008B1465">
        <w:rPr>
          <w:rFonts w:ascii="Times New Roman" w:eastAsia="Calibri" w:hAnsi="Times New Roman"/>
          <w:sz w:val="24"/>
          <w:szCs w:val="24"/>
        </w:rPr>
        <w:t xml:space="preserve">Ismail </w:t>
      </w:r>
      <w:r w:rsidR="00576E27" w:rsidRPr="008B1465">
        <w:rPr>
          <w:rFonts w:ascii="Times New Roman" w:eastAsia="Calibri" w:hAnsi="Times New Roman"/>
          <w:i/>
          <w:iCs/>
          <w:sz w:val="24"/>
          <w:szCs w:val="24"/>
        </w:rPr>
        <w:t>et al</w:t>
      </w:r>
      <w:r w:rsidR="00395F31" w:rsidRPr="008B1465">
        <w:rPr>
          <w:rFonts w:ascii="Times New Roman" w:eastAsia="Calibri" w:hAnsi="Times New Roman"/>
          <w:sz w:val="24"/>
          <w:szCs w:val="24"/>
        </w:rPr>
        <w:t>. (2012)</w:t>
      </w:r>
      <w:r w:rsidRPr="008B1465">
        <w:rPr>
          <w:rFonts w:ascii="Times New Roman" w:eastAsia="Calibri" w:hAnsi="Times New Roman"/>
          <w:sz w:val="24"/>
          <w:szCs w:val="24"/>
        </w:rPr>
        <w:t xml:space="preserve"> noted that in Malaysia, this plan has not been consistently developed and implemented. The dispute in risk calculation, the lack of non-financial components and future cash flow, the use of an incorrect discounted rate, and the difficulty in calculating the PSC are all possible explanations for this situation. A questionnaire survey was used to perform empirical research among PPP stakeholders. According to the findings, the construction of a PSC framework will enable a full VM evaluation for PPP projects in Malaysia. </w:t>
      </w:r>
    </w:p>
    <w:p w14:paraId="77FECB88" w14:textId="5E8A341D" w:rsidR="001616E5" w:rsidRPr="008B1465" w:rsidRDefault="009F2622" w:rsidP="007541CB">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Erasmus (2021) examined the</w:t>
      </w:r>
      <w:r w:rsidR="003F05E3" w:rsidRPr="008B1465">
        <w:rPr>
          <w:rFonts w:ascii="Times New Roman" w:eastAsia="Calibri" w:hAnsi="Times New Roman"/>
          <w:sz w:val="24"/>
          <w:szCs w:val="24"/>
        </w:rPr>
        <w:t xml:space="preserve"> relationship between forensic accounting and fraud detection in Nigeria federal government parastatals. Theoretical, conceptual, and empirical literature on forensic accounting and fraud detection were evaluated to attain this goal. Investigative accounting and litigation support services operated as proxies for forensic accounting, while payroll fraud detection and asset misappropriation detection served as proxies for fraud detection. The data suggest that investigative accounting has a considerable impact on the identification of payroll fraud. Empirical research reveals that investigative accounting and asset theft detection have a significant and positive relationship. In Nigeria’s federal government parastatals, there is also a favorable and strong relationship between litigation support services and payroll fraud detection. As a result, the researcher suggests that, instead of external auditors, external forensic accountants be used in the audit of federal government parastatals; federal government management should adopt a policy of periodic staff rotation, job rotation, separation of duties, and a sound internal control system. In every federal government parastatal in Nigeria, a whistleblowing department should be formed.</w:t>
      </w:r>
    </w:p>
    <w:p w14:paraId="04D31812" w14:textId="5C5C91EC" w:rsidR="001616E5" w:rsidRPr="008B1465" w:rsidRDefault="003F05E3" w:rsidP="007541CB">
      <w:pPr>
        <w:spacing w:after="0" w:line="360" w:lineRule="auto"/>
        <w:jc w:val="both"/>
        <w:rPr>
          <w:rFonts w:ascii="Times New Roman" w:hAnsi="Times New Roman"/>
          <w:sz w:val="24"/>
          <w:szCs w:val="24"/>
        </w:rPr>
      </w:pPr>
      <w:r w:rsidRPr="008B1465">
        <w:rPr>
          <w:rFonts w:ascii="Times New Roman" w:hAnsi="Times New Roman"/>
          <w:sz w:val="24"/>
          <w:szCs w:val="24"/>
        </w:rPr>
        <w:t xml:space="preserve">Kurakaew, Kokkaew, and Suksuwan, (2016) studied the analysis of Value-for-Money (VM) for Public Private Partnership Infrastructure: A Public Sector Comparator Approach, stated that Public Private Partnership have been welcomed as an alternative to traditional infrastructure financing by countries all over the world. According to them, the Thai government is also becoming more cognizant of the importance of infrastructure and the necessity to leverage private resources to assist in the financing of important infrastructure projects. However, rather than economic constraints, adopting PPP schemes over traditional project procurement should be based on efficiency and value for money (VM) in project execution (Ismail </w:t>
      </w:r>
      <w:r w:rsidR="00576E27" w:rsidRPr="008B1465">
        <w:rPr>
          <w:rFonts w:ascii="Times New Roman" w:hAnsi="Times New Roman"/>
          <w:i/>
          <w:iCs/>
          <w:sz w:val="24"/>
          <w:szCs w:val="24"/>
        </w:rPr>
        <w:t>et al</w:t>
      </w:r>
      <w:r w:rsidR="00C423C9" w:rsidRPr="008B1465">
        <w:rPr>
          <w:rFonts w:ascii="Times New Roman" w:hAnsi="Times New Roman"/>
          <w:sz w:val="24"/>
          <w:szCs w:val="24"/>
        </w:rPr>
        <w:t>.,</w:t>
      </w:r>
      <w:r w:rsidRPr="008B1465">
        <w:rPr>
          <w:rFonts w:ascii="Times New Roman" w:hAnsi="Times New Roman"/>
          <w:sz w:val="24"/>
          <w:szCs w:val="24"/>
        </w:rPr>
        <w:t xml:space="preserve"> 2012; Kurakaew, </w:t>
      </w:r>
      <w:r w:rsidR="00576E27" w:rsidRPr="008B1465">
        <w:rPr>
          <w:rFonts w:ascii="Times New Roman" w:hAnsi="Times New Roman"/>
          <w:i/>
          <w:iCs/>
          <w:sz w:val="24"/>
          <w:szCs w:val="24"/>
        </w:rPr>
        <w:t>et al</w:t>
      </w:r>
      <w:r w:rsidR="00C423C9" w:rsidRPr="008B1465">
        <w:rPr>
          <w:rFonts w:ascii="Times New Roman" w:hAnsi="Times New Roman"/>
          <w:sz w:val="24"/>
          <w:szCs w:val="24"/>
        </w:rPr>
        <w:t xml:space="preserve">., </w:t>
      </w:r>
      <w:r w:rsidRPr="008B1465">
        <w:rPr>
          <w:rFonts w:ascii="Times New Roman" w:hAnsi="Times New Roman"/>
          <w:sz w:val="24"/>
          <w:szCs w:val="24"/>
        </w:rPr>
        <w:t>2016). As a result, a rigorous, quantitative study of the value for money of PPP initiatives is critical for the projects’ success from the perspective of the public sector. Having investigated how PSC might be utilized to evaluate PPP infrastructure projects in Thailand, findings from study of Kurakaew</w:t>
      </w:r>
      <w:r w:rsidR="00C423C9" w:rsidRPr="008B1465">
        <w:rPr>
          <w:rFonts w:ascii="Times New Roman" w:hAnsi="Times New Roman"/>
          <w:sz w:val="24"/>
          <w:szCs w:val="24"/>
        </w:rPr>
        <w:t xml:space="preserve"> </w:t>
      </w:r>
      <w:r w:rsidR="00576E27" w:rsidRPr="008B1465">
        <w:rPr>
          <w:rFonts w:ascii="Times New Roman" w:hAnsi="Times New Roman"/>
          <w:i/>
          <w:iCs/>
          <w:sz w:val="24"/>
          <w:szCs w:val="24"/>
        </w:rPr>
        <w:t>et al</w:t>
      </w:r>
      <w:r w:rsidR="00C423C9" w:rsidRPr="008B1465">
        <w:rPr>
          <w:rFonts w:ascii="Times New Roman" w:hAnsi="Times New Roman"/>
          <w:sz w:val="24"/>
          <w:szCs w:val="24"/>
        </w:rPr>
        <w:t>.</w:t>
      </w:r>
      <w:r w:rsidR="00217AE3" w:rsidRPr="008B1465">
        <w:rPr>
          <w:rFonts w:ascii="Times New Roman" w:hAnsi="Times New Roman"/>
          <w:sz w:val="24"/>
          <w:szCs w:val="24"/>
        </w:rPr>
        <w:t xml:space="preserve"> (</w:t>
      </w:r>
      <w:r w:rsidRPr="008B1465">
        <w:rPr>
          <w:rFonts w:ascii="Times New Roman" w:hAnsi="Times New Roman"/>
          <w:sz w:val="24"/>
          <w:szCs w:val="24"/>
        </w:rPr>
        <w:t xml:space="preserve">2016) revealed that </w:t>
      </w:r>
      <w:r w:rsidR="00217AE3" w:rsidRPr="008B1465">
        <w:rPr>
          <w:rFonts w:ascii="Times New Roman" w:hAnsi="Times New Roman"/>
          <w:sz w:val="24"/>
          <w:szCs w:val="24"/>
        </w:rPr>
        <w:t>a</w:t>
      </w:r>
      <w:r w:rsidRPr="008B1465">
        <w:rPr>
          <w:rFonts w:ascii="Times New Roman" w:hAnsi="Times New Roman"/>
          <w:sz w:val="24"/>
          <w:szCs w:val="24"/>
        </w:rPr>
        <w:t xml:space="preserve">lthough a competitive agency is required by law to compare the public’s overall cost between traditional public procurement and PPP models, there is no definitive guideline on how the project’s cost be compared. Furthermore, the investigation showed that to the findings, PPP projects has higher project life cycle cost for the government. However, in terms of risk, the PPP initiation significantly reduced the cost risk (Economy).  </w:t>
      </w:r>
    </w:p>
    <w:p w14:paraId="43B80BB2" w14:textId="77777777" w:rsidR="001616E5" w:rsidRPr="008B1465" w:rsidRDefault="001616E5" w:rsidP="007541CB">
      <w:pPr>
        <w:pStyle w:val="NoSpacing"/>
        <w:spacing w:line="360" w:lineRule="auto"/>
        <w:jc w:val="both"/>
        <w:rPr>
          <w:rFonts w:ascii="Times New Roman" w:hAnsi="Times New Roman"/>
          <w:sz w:val="24"/>
          <w:szCs w:val="24"/>
        </w:rPr>
      </w:pPr>
    </w:p>
    <w:p w14:paraId="13FD1A33" w14:textId="5B54DF7F" w:rsidR="001616E5" w:rsidRPr="00E8110B" w:rsidRDefault="003F05E3" w:rsidP="00E8110B">
      <w:pPr>
        <w:pStyle w:val="Heading3"/>
        <w:spacing w:before="100" w:line="360" w:lineRule="auto"/>
        <w:rPr>
          <w:rFonts w:cs="Times New Roman"/>
        </w:rPr>
      </w:pPr>
      <w:r w:rsidRPr="008B1465">
        <w:rPr>
          <w:rFonts w:cs="Times New Roman"/>
        </w:rPr>
        <w:br w:type="column"/>
      </w:r>
      <w:bookmarkStart w:id="72" w:name="_Toc145951104"/>
      <w:r w:rsidRPr="008B1465">
        <w:rPr>
          <w:rFonts w:cs="Times New Roman"/>
        </w:rPr>
        <w:t>Summary of Empirical Review</w:t>
      </w:r>
      <w:bookmarkEnd w:id="72"/>
    </w:p>
    <w:p w14:paraId="79C656B7" w14:textId="091BF2AD" w:rsidR="004353F0" w:rsidRPr="008B1465" w:rsidRDefault="004353F0" w:rsidP="00DC16FD">
      <w:pPr>
        <w:pStyle w:val="Caption"/>
        <w:keepNext/>
        <w:jc w:val="center"/>
        <w:rPr>
          <w:rFonts w:ascii="Times New Roman" w:hAnsi="Times New Roman"/>
          <w:i w:val="0"/>
          <w:iCs w:val="0"/>
          <w:color w:val="auto"/>
          <w:sz w:val="24"/>
          <w:szCs w:val="24"/>
          <w:u w:val="single"/>
        </w:rPr>
      </w:pPr>
      <w:bookmarkStart w:id="73" w:name="_Toc145952330"/>
      <w:r w:rsidRPr="008B1465">
        <w:rPr>
          <w:rFonts w:ascii="Times New Roman" w:hAnsi="Times New Roman"/>
          <w:i w:val="0"/>
          <w:iCs w:val="0"/>
          <w:color w:val="auto"/>
          <w:sz w:val="24"/>
          <w:szCs w:val="24"/>
          <w:u w:val="single"/>
        </w:rPr>
        <w:t xml:space="preserve">Table </w:t>
      </w:r>
      <w:r w:rsidR="000F6857">
        <w:rPr>
          <w:rFonts w:ascii="Times New Roman" w:hAnsi="Times New Roman"/>
          <w:i w:val="0"/>
          <w:iCs w:val="0"/>
          <w:color w:val="auto"/>
          <w:sz w:val="24"/>
          <w:szCs w:val="24"/>
          <w:u w:val="single"/>
        </w:rPr>
        <w:fldChar w:fldCharType="begin"/>
      </w:r>
      <w:r w:rsidR="000F6857">
        <w:rPr>
          <w:rFonts w:ascii="Times New Roman" w:hAnsi="Times New Roman"/>
          <w:i w:val="0"/>
          <w:iCs w:val="0"/>
          <w:color w:val="auto"/>
          <w:sz w:val="24"/>
          <w:szCs w:val="24"/>
          <w:u w:val="single"/>
        </w:rPr>
        <w:instrText xml:space="preserve"> STYLEREF 1 \s </w:instrText>
      </w:r>
      <w:r w:rsidR="000F6857">
        <w:rPr>
          <w:rFonts w:ascii="Times New Roman" w:hAnsi="Times New Roman"/>
          <w:i w:val="0"/>
          <w:iCs w:val="0"/>
          <w:color w:val="auto"/>
          <w:sz w:val="24"/>
          <w:szCs w:val="24"/>
          <w:u w:val="single"/>
        </w:rPr>
        <w:fldChar w:fldCharType="separate"/>
      </w:r>
      <w:r w:rsidR="007B5846">
        <w:rPr>
          <w:rFonts w:ascii="Times New Roman" w:hAnsi="Times New Roman"/>
          <w:i w:val="0"/>
          <w:iCs w:val="0"/>
          <w:noProof/>
          <w:color w:val="auto"/>
          <w:sz w:val="24"/>
          <w:szCs w:val="24"/>
          <w:u w:val="single"/>
        </w:rPr>
        <w:t>2</w:t>
      </w:r>
      <w:r w:rsidR="000F6857">
        <w:rPr>
          <w:rFonts w:ascii="Times New Roman" w:hAnsi="Times New Roman"/>
          <w:i w:val="0"/>
          <w:iCs w:val="0"/>
          <w:color w:val="auto"/>
          <w:sz w:val="24"/>
          <w:szCs w:val="24"/>
          <w:u w:val="single"/>
        </w:rPr>
        <w:fldChar w:fldCharType="end"/>
      </w:r>
      <w:r w:rsidR="000F6857">
        <w:rPr>
          <w:rFonts w:ascii="Times New Roman" w:hAnsi="Times New Roman"/>
          <w:i w:val="0"/>
          <w:iCs w:val="0"/>
          <w:color w:val="auto"/>
          <w:sz w:val="24"/>
          <w:szCs w:val="24"/>
          <w:u w:val="single"/>
        </w:rPr>
        <w:t>.</w:t>
      </w:r>
      <w:r w:rsidR="000F6857">
        <w:rPr>
          <w:rFonts w:ascii="Times New Roman" w:hAnsi="Times New Roman"/>
          <w:i w:val="0"/>
          <w:iCs w:val="0"/>
          <w:color w:val="auto"/>
          <w:sz w:val="24"/>
          <w:szCs w:val="24"/>
          <w:u w:val="single"/>
        </w:rPr>
        <w:fldChar w:fldCharType="begin"/>
      </w:r>
      <w:r w:rsidR="000F6857">
        <w:rPr>
          <w:rFonts w:ascii="Times New Roman" w:hAnsi="Times New Roman"/>
          <w:i w:val="0"/>
          <w:iCs w:val="0"/>
          <w:color w:val="auto"/>
          <w:sz w:val="24"/>
          <w:szCs w:val="24"/>
          <w:u w:val="single"/>
        </w:rPr>
        <w:instrText xml:space="preserve"> SEQ Table \* ARABIC \s 1 </w:instrText>
      </w:r>
      <w:r w:rsidR="000F6857">
        <w:rPr>
          <w:rFonts w:ascii="Times New Roman" w:hAnsi="Times New Roman"/>
          <w:i w:val="0"/>
          <w:iCs w:val="0"/>
          <w:color w:val="auto"/>
          <w:sz w:val="24"/>
          <w:szCs w:val="24"/>
          <w:u w:val="single"/>
        </w:rPr>
        <w:fldChar w:fldCharType="separate"/>
      </w:r>
      <w:r w:rsidR="007B5846">
        <w:rPr>
          <w:rFonts w:ascii="Times New Roman" w:hAnsi="Times New Roman"/>
          <w:i w:val="0"/>
          <w:iCs w:val="0"/>
          <w:noProof/>
          <w:color w:val="auto"/>
          <w:sz w:val="24"/>
          <w:szCs w:val="24"/>
          <w:u w:val="single"/>
        </w:rPr>
        <w:t>1</w:t>
      </w:r>
      <w:r w:rsidR="000F6857">
        <w:rPr>
          <w:rFonts w:ascii="Times New Roman" w:hAnsi="Times New Roman"/>
          <w:i w:val="0"/>
          <w:iCs w:val="0"/>
          <w:color w:val="auto"/>
          <w:sz w:val="24"/>
          <w:szCs w:val="24"/>
          <w:u w:val="single"/>
        </w:rPr>
        <w:fldChar w:fldCharType="end"/>
      </w:r>
      <w:r w:rsidRPr="008B1465">
        <w:rPr>
          <w:rFonts w:ascii="Times New Roman" w:hAnsi="Times New Roman"/>
          <w:i w:val="0"/>
          <w:iCs w:val="0"/>
          <w:color w:val="auto"/>
          <w:sz w:val="24"/>
          <w:szCs w:val="24"/>
          <w:u w:val="single"/>
        </w:rPr>
        <w:t xml:space="preserve">: </w:t>
      </w:r>
      <w:r w:rsidRPr="008B1465">
        <w:rPr>
          <w:rFonts w:ascii="Times New Roman" w:eastAsia="Calibri" w:hAnsi="Times New Roman"/>
          <w:i w:val="0"/>
          <w:iCs w:val="0"/>
          <w:color w:val="auto"/>
          <w:sz w:val="24"/>
          <w:szCs w:val="24"/>
          <w:u w:val="single"/>
        </w:rPr>
        <w:t>Summary of Empirical Review</w:t>
      </w:r>
      <w:bookmarkEnd w:id="73"/>
    </w:p>
    <w:tbl>
      <w:tblPr>
        <w:tblW w:w="5775" w:type="pct"/>
        <w:tblInd w:w="-455" w:type="dxa"/>
        <w:tblLayout w:type="fixed"/>
        <w:tblLook w:val="04A0" w:firstRow="1" w:lastRow="0" w:firstColumn="1" w:lastColumn="0" w:noHBand="0" w:noVBand="1"/>
      </w:tblPr>
      <w:tblGrid>
        <w:gridCol w:w="631"/>
        <w:gridCol w:w="1438"/>
        <w:gridCol w:w="1890"/>
        <w:gridCol w:w="1892"/>
        <w:gridCol w:w="2788"/>
        <w:gridCol w:w="2160"/>
      </w:tblGrid>
      <w:tr w:rsidR="000B5622" w:rsidRPr="008B1465" w14:paraId="4C6100BC" w14:textId="77777777" w:rsidTr="007E4D0F">
        <w:trPr>
          <w:trHeight w:val="350"/>
        </w:trPr>
        <w:tc>
          <w:tcPr>
            <w:tcW w:w="292" w:type="pct"/>
            <w:tcBorders>
              <w:top w:val="single" w:sz="4" w:space="0" w:color="auto"/>
              <w:left w:val="single" w:sz="4" w:space="0" w:color="auto"/>
              <w:bottom w:val="single" w:sz="4" w:space="0" w:color="auto"/>
              <w:right w:val="single" w:sz="4" w:space="0" w:color="auto"/>
            </w:tcBorders>
          </w:tcPr>
          <w:p w14:paraId="6FE2C175" w14:textId="77777777" w:rsidR="001D4E30" w:rsidRPr="008B1465" w:rsidRDefault="001D4E30" w:rsidP="007541CB">
            <w:pPr>
              <w:pStyle w:val="NoSpacing"/>
              <w:rPr>
                <w:rFonts w:ascii="Times New Roman" w:eastAsia="Calibri" w:hAnsi="Times New Roman"/>
                <w:b/>
                <w:bCs/>
                <w:sz w:val="24"/>
                <w:szCs w:val="24"/>
              </w:rPr>
            </w:pPr>
            <w:r w:rsidRPr="008B1465">
              <w:rPr>
                <w:rFonts w:ascii="Times New Roman" w:eastAsia="Calibri" w:hAnsi="Times New Roman"/>
                <w:b/>
                <w:bCs/>
                <w:sz w:val="24"/>
                <w:szCs w:val="24"/>
              </w:rPr>
              <w:t>S/N</w:t>
            </w:r>
          </w:p>
        </w:tc>
        <w:tc>
          <w:tcPr>
            <w:tcW w:w="666" w:type="pct"/>
            <w:tcBorders>
              <w:top w:val="single" w:sz="4" w:space="0" w:color="auto"/>
              <w:left w:val="single" w:sz="4" w:space="0" w:color="auto"/>
              <w:bottom w:val="single" w:sz="4" w:space="0" w:color="auto"/>
              <w:right w:val="single" w:sz="4" w:space="0" w:color="auto"/>
            </w:tcBorders>
          </w:tcPr>
          <w:p w14:paraId="6924A8C7" w14:textId="77777777" w:rsidR="001D4E30" w:rsidRPr="008B1465" w:rsidRDefault="001D4E30" w:rsidP="007541CB">
            <w:pPr>
              <w:pStyle w:val="NoSpacing"/>
              <w:jc w:val="center"/>
              <w:rPr>
                <w:rFonts w:ascii="Times New Roman" w:eastAsia="Calibri" w:hAnsi="Times New Roman"/>
                <w:b/>
                <w:bCs/>
                <w:sz w:val="24"/>
                <w:szCs w:val="24"/>
              </w:rPr>
            </w:pPr>
            <w:r w:rsidRPr="008B1465">
              <w:rPr>
                <w:rFonts w:ascii="Times New Roman" w:eastAsia="Calibri" w:hAnsi="Times New Roman"/>
                <w:b/>
                <w:bCs/>
                <w:sz w:val="24"/>
                <w:szCs w:val="24"/>
              </w:rPr>
              <w:t>AUTHORS</w:t>
            </w:r>
          </w:p>
        </w:tc>
        <w:tc>
          <w:tcPr>
            <w:tcW w:w="875" w:type="pct"/>
            <w:tcBorders>
              <w:top w:val="single" w:sz="4" w:space="0" w:color="auto"/>
              <w:left w:val="single" w:sz="4" w:space="0" w:color="auto"/>
              <w:bottom w:val="single" w:sz="4" w:space="0" w:color="auto"/>
              <w:right w:val="single" w:sz="4" w:space="0" w:color="auto"/>
            </w:tcBorders>
          </w:tcPr>
          <w:p w14:paraId="3E6BBD20" w14:textId="77777777" w:rsidR="001D4E30" w:rsidRPr="008B1465" w:rsidRDefault="001D4E30" w:rsidP="007541CB">
            <w:pPr>
              <w:pStyle w:val="NoSpacing"/>
              <w:jc w:val="center"/>
              <w:rPr>
                <w:rFonts w:ascii="Times New Roman" w:eastAsia="Calibri" w:hAnsi="Times New Roman"/>
                <w:b/>
                <w:bCs/>
                <w:sz w:val="24"/>
                <w:szCs w:val="24"/>
              </w:rPr>
            </w:pPr>
            <w:r w:rsidRPr="008B1465">
              <w:rPr>
                <w:rFonts w:ascii="Times New Roman" w:eastAsia="Calibri" w:hAnsi="Times New Roman"/>
                <w:b/>
                <w:bCs/>
                <w:sz w:val="24"/>
                <w:szCs w:val="24"/>
              </w:rPr>
              <w:t>TOPIC</w:t>
            </w:r>
          </w:p>
        </w:tc>
        <w:tc>
          <w:tcPr>
            <w:tcW w:w="876" w:type="pct"/>
            <w:tcBorders>
              <w:top w:val="single" w:sz="4" w:space="0" w:color="auto"/>
              <w:left w:val="single" w:sz="4" w:space="0" w:color="auto"/>
              <w:bottom w:val="single" w:sz="4" w:space="0" w:color="auto"/>
              <w:right w:val="single" w:sz="4" w:space="0" w:color="auto"/>
            </w:tcBorders>
          </w:tcPr>
          <w:p w14:paraId="46433E81" w14:textId="77777777" w:rsidR="001D4E30" w:rsidRPr="008B1465" w:rsidRDefault="001D4E30" w:rsidP="007541CB">
            <w:pPr>
              <w:pStyle w:val="NoSpacing"/>
              <w:jc w:val="center"/>
              <w:rPr>
                <w:rFonts w:ascii="Times New Roman" w:eastAsia="Calibri" w:hAnsi="Times New Roman"/>
                <w:b/>
                <w:bCs/>
                <w:sz w:val="24"/>
                <w:szCs w:val="24"/>
              </w:rPr>
            </w:pPr>
            <w:r w:rsidRPr="008B1465">
              <w:rPr>
                <w:rFonts w:ascii="Times New Roman" w:eastAsia="Calibri" w:hAnsi="Times New Roman"/>
                <w:b/>
                <w:bCs/>
                <w:sz w:val="24"/>
                <w:szCs w:val="24"/>
              </w:rPr>
              <w:t>METHODOLOGY</w:t>
            </w:r>
          </w:p>
        </w:tc>
        <w:tc>
          <w:tcPr>
            <w:tcW w:w="1291" w:type="pct"/>
            <w:tcBorders>
              <w:top w:val="single" w:sz="4" w:space="0" w:color="auto"/>
              <w:left w:val="single" w:sz="4" w:space="0" w:color="auto"/>
              <w:bottom w:val="single" w:sz="4" w:space="0" w:color="auto"/>
              <w:right w:val="single" w:sz="4" w:space="0" w:color="auto"/>
            </w:tcBorders>
          </w:tcPr>
          <w:p w14:paraId="1CC1B874" w14:textId="77777777" w:rsidR="001D4E30" w:rsidRPr="008B1465" w:rsidRDefault="001D4E30" w:rsidP="007541CB">
            <w:pPr>
              <w:pStyle w:val="NoSpacing"/>
              <w:jc w:val="center"/>
              <w:rPr>
                <w:rFonts w:ascii="Times New Roman" w:eastAsia="Calibri" w:hAnsi="Times New Roman"/>
                <w:b/>
                <w:bCs/>
                <w:sz w:val="24"/>
                <w:szCs w:val="24"/>
              </w:rPr>
            </w:pPr>
            <w:r w:rsidRPr="008B1465">
              <w:rPr>
                <w:rFonts w:ascii="Times New Roman" w:eastAsia="Calibri" w:hAnsi="Times New Roman"/>
                <w:b/>
                <w:bCs/>
                <w:sz w:val="24"/>
                <w:szCs w:val="24"/>
              </w:rPr>
              <w:t>FINDINGS</w:t>
            </w:r>
          </w:p>
        </w:tc>
        <w:tc>
          <w:tcPr>
            <w:tcW w:w="1000" w:type="pct"/>
            <w:tcBorders>
              <w:top w:val="single" w:sz="4" w:space="0" w:color="auto"/>
              <w:left w:val="single" w:sz="4" w:space="0" w:color="auto"/>
              <w:bottom w:val="single" w:sz="4" w:space="0" w:color="auto"/>
              <w:right w:val="single" w:sz="4" w:space="0" w:color="auto"/>
            </w:tcBorders>
          </w:tcPr>
          <w:p w14:paraId="4ECDE898" w14:textId="77777777" w:rsidR="001D4E30" w:rsidRPr="008B1465" w:rsidRDefault="001D4E30" w:rsidP="007541CB">
            <w:pPr>
              <w:pStyle w:val="NoSpacing"/>
              <w:jc w:val="center"/>
              <w:rPr>
                <w:rFonts w:ascii="Times New Roman" w:eastAsia="Calibri" w:hAnsi="Times New Roman"/>
                <w:b/>
                <w:bCs/>
                <w:sz w:val="24"/>
                <w:szCs w:val="24"/>
              </w:rPr>
            </w:pPr>
            <w:r w:rsidRPr="008B1465">
              <w:rPr>
                <w:rFonts w:ascii="Times New Roman" w:eastAsia="Calibri" w:hAnsi="Times New Roman"/>
                <w:b/>
                <w:bCs/>
                <w:sz w:val="24"/>
                <w:szCs w:val="24"/>
              </w:rPr>
              <w:t>GAP</w:t>
            </w:r>
          </w:p>
        </w:tc>
      </w:tr>
      <w:tr w:rsidR="000B5622" w:rsidRPr="008B1465" w14:paraId="1BA86057" w14:textId="77777777" w:rsidTr="007E4D0F">
        <w:tc>
          <w:tcPr>
            <w:tcW w:w="292" w:type="pct"/>
            <w:tcBorders>
              <w:top w:val="single" w:sz="4" w:space="0" w:color="auto"/>
              <w:left w:val="single" w:sz="4" w:space="0" w:color="auto"/>
              <w:bottom w:val="single" w:sz="4" w:space="0" w:color="auto"/>
              <w:right w:val="single" w:sz="4" w:space="0" w:color="auto"/>
            </w:tcBorders>
          </w:tcPr>
          <w:p w14:paraId="40660D41"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2617521A"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Okoye, &amp; Ndah, (2019)</w:t>
            </w:r>
          </w:p>
        </w:tc>
        <w:tc>
          <w:tcPr>
            <w:tcW w:w="875" w:type="pct"/>
            <w:tcBorders>
              <w:top w:val="single" w:sz="4" w:space="0" w:color="auto"/>
              <w:left w:val="single" w:sz="4" w:space="0" w:color="auto"/>
              <w:bottom w:val="single" w:sz="4" w:space="0" w:color="auto"/>
              <w:right w:val="single" w:sz="4" w:space="0" w:color="auto"/>
            </w:tcBorders>
          </w:tcPr>
          <w:p w14:paraId="67B580F7"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Forensic Accounting and Fraud Prevention in Manufacturing Companies in Nigeria</w:t>
            </w:r>
          </w:p>
        </w:tc>
        <w:tc>
          <w:tcPr>
            <w:tcW w:w="876" w:type="pct"/>
            <w:tcBorders>
              <w:top w:val="single" w:sz="4" w:space="0" w:color="auto"/>
              <w:left w:val="single" w:sz="4" w:space="0" w:color="auto"/>
              <w:bottom w:val="single" w:sz="4" w:space="0" w:color="auto"/>
              <w:right w:val="single" w:sz="4" w:space="0" w:color="auto"/>
            </w:tcBorders>
          </w:tcPr>
          <w:p w14:paraId="3921758C"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Ordinary Least Square Method of multiple regression analyses</w:t>
            </w:r>
          </w:p>
        </w:tc>
        <w:tc>
          <w:tcPr>
            <w:tcW w:w="1291" w:type="pct"/>
            <w:tcBorders>
              <w:top w:val="single" w:sz="4" w:space="0" w:color="auto"/>
              <w:left w:val="single" w:sz="4" w:space="0" w:color="auto"/>
              <w:bottom w:val="single" w:sz="4" w:space="0" w:color="auto"/>
              <w:right w:val="single" w:sz="4" w:space="0" w:color="auto"/>
            </w:tcBorders>
          </w:tcPr>
          <w:p w14:paraId="53A75253"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There is a positive and statistically significant relationship between fraud litigation practices and fraud investigation in the prevention of fraud in manufacturing companies</w:t>
            </w:r>
          </w:p>
        </w:tc>
        <w:tc>
          <w:tcPr>
            <w:tcW w:w="1000" w:type="pct"/>
            <w:tcBorders>
              <w:top w:val="single" w:sz="4" w:space="0" w:color="auto"/>
              <w:left w:val="single" w:sz="4" w:space="0" w:color="auto"/>
              <w:bottom w:val="single" w:sz="4" w:space="0" w:color="auto"/>
              <w:right w:val="single" w:sz="4" w:space="0" w:color="auto"/>
            </w:tcBorders>
          </w:tcPr>
          <w:p w14:paraId="550E2B85"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Restricted to ten (10) manufacturing companies in Nigeria with fifty (50) sample size.</w:t>
            </w:r>
          </w:p>
        </w:tc>
      </w:tr>
      <w:tr w:rsidR="000B5622" w:rsidRPr="008B1465" w14:paraId="674FD3E3" w14:textId="77777777" w:rsidTr="007E4D0F">
        <w:tc>
          <w:tcPr>
            <w:tcW w:w="292" w:type="pct"/>
            <w:tcBorders>
              <w:top w:val="single" w:sz="4" w:space="0" w:color="auto"/>
              <w:left w:val="single" w:sz="4" w:space="0" w:color="auto"/>
              <w:bottom w:val="single" w:sz="4" w:space="0" w:color="auto"/>
              <w:right w:val="single" w:sz="4" w:space="0" w:color="auto"/>
            </w:tcBorders>
          </w:tcPr>
          <w:p w14:paraId="2584A6F9"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6D066F3A"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Milaham &amp; Milaham (2020)</w:t>
            </w:r>
          </w:p>
        </w:tc>
        <w:tc>
          <w:tcPr>
            <w:tcW w:w="875" w:type="pct"/>
            <w:tcBorders>
              <w:top w:val="single" w:sz="4" w:space="0" w:color="auto"/>
              <w:left w:val="single" w:sz="4" w:space="0" w:color="auto"/>
              <w:bottom w:val="single" w:sz="4" w:space="0" w:color="auto"/>
              <w:right w:val="single" w:sz="4" w:space="0" w:color="auto"/>
            </w:tcBorders>
          </w:tcPr>
          <w:p w14:paraId="2AE5FCEE"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Use of Forensic Accounting in Prevention of Frauds Bursary Department, University of Jos, Nigeria </w:t>
            </w:r>
          </w:p>
        </w:tc>
        <w:tc>
          <w:tcPr>
            <w:tcW w:w="876" w:type="pct"/>
            <w:tcBorders>
              <w:top w:val="single" w:sz="4" w:space="0" w:color="auto"/>
              <w:left w:val="single" w:sz="4" w:space="0" w:color="auto"/>
              <w:bottom w:val="single" w:sz="4" w:space="0" w:color="auto"/>
              <w:right w:val="single" w:sz="4" w:space="0" w:color="auto"/>
            </w:tcBorders>
          </w:tcPr>
          <w:p w14:paraId="54250FD9"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Cross sectional research design was used. Mixed of primary and secondary data were used. </w:t>
            </w:r>
          </w:p>
        </w:tc>
        <w:tc>
          <w:tcPr>
            <w:tcW w:w="1291" w:type="pct"/>
            <w:tcBorders>
              <w:top w:val="single" w:sz="4" w:space="0" w:color="auto"/>
              <w:left w:val="single" w:sz="4" w:space="0" w:color="auto"/>
              <w:bottom w:val="single" w:sz="4" w:space="0" w:color="auto"/>
              <w:right w:val="single" w:sz="4" w:space="0" w:color="auto"/>
            </w:tcBorders>
          </w:tcPr>
          <w:p w14:paraId="2CDDEC6C"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Forensic accounting has very significant impact in preventing fraudulent activities committed by staff in Bursary unit of university of Jos.</w:t>
            </w:r>
          </w:p>
        </w:tc>
        <w:tc>
          <w:tcPr>
            <w:tcW w:w="1000" w:type="pct"/>
            <w:tcBorders>
              <w:top w:val="single" w:sz="4" w:space="0" w:color="auto"/>
              <w:left w:val="single" w:sz="4" w:space="0" w:color="auto"/>
              <w:bottom w:val="single" w:sz="4" w:space="0" w:color="auto"/>
              <w:right w:val="single" w:sz="4" w:space="0" w:color="auto"/>
            </w:tcBorders>
          </w:tcPr>
          <w:p w14:paraId="58C3B6FC"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The focus was on bursary department, University of Jos.</w:t>
            </w:r>
          </w:p>
        </w:tc>
      </w:tr>
      <w:tr w:rsidR="000B5622" w:rsidRPr="008B1465" w14:paraId="3860CF2A" w14:textId="77777777" w:rsidTr="007E4D0F">
        <w:tc>
          <w:tcPr>
            <w:tcW w:w="292" w:type="pct"/>
            <w:tcBorders>
              <w:top w:val="single" w:sz="4" w:space="0" w:color="auto"/>
              <w:left w:val="single" w:sz="4" w:space="0" w:color="auto"/>
              <w:bottom w:val="single" w:sz="4" w:space="0" w:color="auto"/>
              <w:right w:val="single" w:sz="4" w:space="0" w:color="auto"/>
            </w:tcBorders>
          </w:tcPr>
          <w:p w14:paraId="7C808C58"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6A9506D9"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Akabom-Ita (2012)</w:t>
            </w:r>
          </w:p>
        </w:tc>
        <w:tc>
          <w:tcPr>
            <w:tcW w:w="875" w:type="pct"/>
            <w:tcBorders>
              <w:top w:val="single" w:sz="4" w:space="0" w:color="auto"/>
              <w:left w:val="single" w:sz="4" w:space="0" w:color="auto"/>
              <w:bottom w:val="single" w:sz="4" w:space="0" w:color="auto"/>
              <w:right w:val="single" w:sz="4" w:space="0" w:color="auto"/>
            </w:tcBorders>
          </w:tcPr>
          <w:p w14:paraId="7234AED6"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Empirical Analysis of Impact of Information Technology on Forensic Accounting Practice in Cross River State Nigeria</w:t>
            </w:r>
          </w:p>
        </w:tc>
        <w:tc>
          <w:tcPr>
            <w:tcW w:w="876" w:type="pct"/>
            <w:tcBorders>
              <w:top w:val="single" w:sz="4" w:space="0" w:color="auto"/>
              <w:left w:val="single" w:sz="4" w:space="0" w:color="auto"/>
              <w:bottom w:val="single" w:sz="4" w:space="0" w:color="auto"/>
              <w:right w:val="single" w:sz="4" w:space="0" w:color="auto"/>
            </w:tcBorders>
          </w:tcPr>
          <w:p w14:paraId="6A24392E"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A survey, using self-administered interview was conducted to achieve this objective.</w:t>
            </w:r>
          </w:p>
        </w:tc>
        <w:tc>
          <w:tcPr>
            <w:tcW w:w="1291" w:type="pct"/>
            <w:tcBorders>
              <w:top w:val="single" w:sz="4" w:space="0" w:color="auto"/>
              <w:left w:val="single" w:sz="4" w:space="0" w:color="auto"/>
              <w:bottom w:val="single" w:sz="4" w:space="0" w:color="auto"/>
              <w:right w:val="single" w:sz="4" w:space="0" w:color="auto"/>
            </w:tcBorders>
          </w:tcPr>
          <w:p w14:paraId="0AB29A37"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The results of the study revealed that accounting professionals need to enhance their knowledge and skills of computerized accounting systems for the purpose of planning, directing, supervising and reviewing of the work performed</w:t>
            </w:r>
          </w:p>
        </w:tc>
        <w:tc>
          <w:tcPr>
            <w:tcW w:w="1000" w:type="pct"/>
            <w:tcBorders>
              <w:top w:val="single" w:sz="4" w:space="0" w:color="auto"/>
              <w:left w:val="single" w:sz="4" w:space="0" w:color="auto"/>
              <w:bottom w:val="single" w:sz="4" w:space="0" w:color="auto"/>
              <w:right w:val="single" w:sz="4" w:space="0" w:color="auto"/>
            </w:tcBorders>
          </w:tcPr>
          <w:p w14:paraId="00D2F72B" w14:textId="77777777" w:rsidR="001D4E30" w:rsidRPr="008B1465" w:rsidRDefault="00924C1A" w:rsidP="007541CB">
            <w:pPr>
              <w:pStyle w:val="NoSpacing"/>
              <w:rPr>
                <w:rFonts w:ascii="Times New Roman" w:eastAsia="Calibri" w:hAnsi="Times New Roman"/>
                <w:sz w:val="24"/>
                <w:szCs w:val="24"/>
              </w:rPr>
            </w:pPr>
            <w:r w:rsidRPr="008B1465">
              <w:rPr>
                <w:rFonts w:ascii="Times New Roman" w:eastAsia="Calibri" w:hAnsi="Times New Roman"/>
                <w:sz w:val="24"/>
                <w:szCs w:val="24"/>
              </w:rPr>
              <w:t>Only f</w:t>
            </w:r>
            <w:r w:rsidR="001D4E30" w:rsidRPr="008B1465">
              <w:rPr>
                <w:rFonts w:ascii="Times New Roman" w:eastAsia="Calibri" w:hAnsi="Times New Roman"/>
                <w:sz w:val="24"/>
                <w:szCs w:val="24"/>
              </w:rPr>
              <w:t>orty (40) interviews were analyzed using ANOVA statistic.</w:t>
            </w:r>
          </w:p>
        </w:tc>
      </w:tr>
      <w:tr w:rsidR="000B5622" w:rsidRPr="008B1465" w14:paraId="23C57CC9" w14:textId="77777777" w:rsidTr="007E4D0F">
        <w:tc>
          <w:tcPr>
            <w:tcW w:w="292" w:type="pct"/>
            <w:tcBorders>
              <w:top w:val="single" w:sz="4" w:space="0" w:color="auto"/>
              <w:left w:val="single" w:sz="4" w:space="0" w:color="auto"/>
              <w:bottom w:val="single" w:sz="4" w:space="0" w:color="auto"/>
              <w:right w:val="single" w:sz="4" w:space="0" w:color="auto"/>
            </w:tcBorders>
          </w:tcPr>
          <w:p w14:paraId="74F84DFB"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74D485AD"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Jebiwott, Gitahi, &amp; Sang (2022)</w:t>
            </w:r>
          </w:p>
        </w:tc>
        <w:tc>
          <w:tcPr>
            <w:tcW w:w="875" w:type="pct"/>
            <w:tcBorders>
              <w:top w:val="single" w:sz="4" w:space="0" w:color="auto"/>
              <w:left w:val="single" w:sz="4" w:space="0" w:color="auto"/>
              <w:bottom w:val="single" w:sz="4" w:space="0" w:color="auto"/>
              <w:right w:val="single" w:sz="4" w:space="0" w:color="auto"/>
            </w:tcBorders>
          </w:tcPr>
          <w:p w14:paraId="1819227B"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Strategic Procurement Management Practices and Performance of Real Estate Firms in Nairobi County, Kenya</w:t>
            </w:r>
          </w:p>
        </w:tc>
        <w:tc>
          <w:tcPr>
            <w:tcW w:w="876" w:type="pct"/>
            <w:tcBorders>
              <w:top w:val="single" w:sz="4" w:space="0" w:color="auto"/>
              <w:left w:val="single" w:sz="4" w:space="0" w:color="auto"/>
              <w:bottom w:val="single" w:sz="4" w:space="0" w:color="auto"/>
              <w:right w:val="single" w:sz="4" w:space="0" w:color="auto"/>
            </w:tcBorders>
          </w:tcPr>
          <w:p w14:paraId="174C7A10"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This study utilized correlational research design</w:t>
            </w:r>
          </w:p>
          <w:p w14:paraId="6BF3862F"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The study collected data using structured questionnaires</w:t>
            </w:r>
          </w:p>
        </w:tc>
        <w:tc>
          <w:tcPr>
            <w:tcW w:w="1291" w:type="pct"/>
            <w:tcBorders>
              <w:top w:val="single" w:sz="4" w:space="0" w:color="auto"/>
              <w:left w:val="single" w:sz="4" w:space="0" w:color="auto"/>
              <w:bottom w:val="single" w:sz="4" w:space="0" w:color="auto"/>
              <w:right w:val="single" w:sz="4" w:space="0" w:color="auto"/>
            </w:tcBorders>
          </w:tcPr>
          <w:p w14:paraId="786FB920"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The findings indicated that strategic procurement practices have a significant effect on the performance of real estate</w:t>
            </w:r>
          </w:p>
        </w:tc>
        <w:tc>
          <w:tcPr>
            <w:tcW w:w="1000" w:type="pct"/>
            <w:tcBorders>
              <w:top w:val="single" w:sz="4" w:space="0" w:color="auto"/>
              <w:left w:val="single" w:sz="4" w:space="0" w:color="auto"/>
              <w:bottom w:val="single" w:sz="4" w:space="0" w:color="auto"/>
              <w:right w:val="single" w:sz="4" w:space="0" w:color="auto"/>
            </w:tcBorders>
          </w:tcPr>
          <w:p w14:paraId="711DEACC"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The study population was the 100 senior managers of real estate firms in Nairobi County, Kenya. </w:t>
            </w:r>
          </w:p>
        </w:tc>
      </w:tr>
      <w:tr w:rsidR="000B5622" w:rsidRPr="008B1465" w14:paraId="23C4AE45" w14:textId="77777777" w:rsidTr="007E4D0F">
        <w:tc>
          <w:tcPr>
            <w:tcW w:w="292" w:type="pct"/>
            <w:tcBorders>
              <w:top w:val="single" w:sz="4" w:space="0" w:color="auto"/>
              <w:left w:val="single" w:sz="4" w:space="0" w:color="auto"/>
              <w:bottom w:val="single" w:sz="4" w:space="0" w:color="auto"/>
              <w:right w:val="single" w:sz="4" w:space="0" w:color="auto"/>
            </w:tcBorders>
          </w:tcPr>
          <w:p w14:paraId="6A50FB6A"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3FCA0DE4"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Gbegi &amp; Adebisi (2014)</w:t>
            </w:r>
          </w:p>
        </w:tc>
        <w:tc>
          <w:tcPr>
            <w:tcW w:w="875" w:type="pct"/>
            <w:tcBorders>
              <w:top w:val="single" w:sz="4" w:space="0" w:color="auto"/>
              <w:left w:val="single" w:sz="4" w:space="0" w:color="auto"/>
              <w:bottom w:val="single" w:sz="4" w:space="0" w:color="auto"/>
              <w:right w:val="single" w:sz="4" w:space="0" w:color="auto"/>
            </w:tcBorders>
          </w:tcPr>
          <w:p w14:paraId="4583AB62"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Forensic Accounting Skills and Techniques in Fraud Investigation in the Nigerian Public Sector</w:t>
            </w:r>
          </w:p>
        </w:tc>
        <w:tc>
          <w:tcPr>
            <w:tcW w:w="876" w:type="pct"/>
            <w:tcBorders>
              <w:top w:val="single" w:sz="4" w:space="0" w:color="auto"/>
              <w:left w:val="single" w:sz="4" w:space="0" w:color="auto"/>
              <w:bottom w:val="single" w:sz="4" w:space="0" w:color="auto"/>
              <w:right w:val="single" w:sz="4" w:space="0" w:color="auto"/>
            </w:tcBorders>
          </w:tcPr>
          <w:p w14:paraId="6752BA59"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The study methodology includes both primary and secondary sources of data collection; questionnaire was used in collecting primary data while secondary data were obtained from EFCC, ICPC and CCB. The data generated for this study were used for the testing of hypotheses using Analysis of Variance (ANOVA) and time series analysis with the aid of SPSS version 17.0</w:t>
            </w:r>
          </w:p>
        </w:tc>
        <w:tc>
          <w:tcPr>
            <w:tcW w:w="1291" w:type="pct"/>
            <w:tcBorders>
              <w:top w:val="single" w:sz="4" w:space="0" w:color="auto"/>
              <w:left w:val="single" w:sz="4" w:space="0" w:color="auto"/>
              <w:bottom w:val="single" w:sz="4" w:space="0" w:color="auto"/>
              <w:right w:val="single" w:sz="4" w:space="0" w:color="auto"/>
            </w:tcBorders>
          </w:tcPr>
          <w:p w14:paraId="6BC3C9D0"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The findings show that forensic accounting skills and techniques have significant effect on uncovering and reducing fraud in Nigerian Public sector.</w:t>
            </w:r>
          </w:p>
        </w:tc>
        <w:tc>
          <w:tcPr>
            <w:tcW w:w="1000" w:type="pct"/>
            <w:tcBorders>
              <w:top w:val="single" w:sz="4" w:space="0" w:color="auto"/>
              <w:left w:val="single" w:sz="4" w:space="0" w:color="auto"/>
              <w:bottom w:val="single" w:sz="4" w:space="0" w:color="auto"/>
              <w:right w:val="single" w:sz="4" w:space="0" w:color="auto"/>
            </w:tcBorders>
          </w:tcPr>
          <w:p w14:paraId="51221677"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The population of this study comprised of 129 senior staff of the three Anti-corruption Agencies in Nigeria (EFCC, ICPC and CCB)  </w:t>
            </w:r>
          </w:p>
        </w:tc>
      </w:tr>
      <w:tr w:rsidR="000B5622" w:rsidRPr="008B1465" w14:paraId="1675BCA8" w14:textId="77777777" w:rsidTr="007E4D0F">
        <w:tc>
          <w:tcPr>
            <w:tcW w:w="292" w:type="pct"/>
            <w:tcBorders>
              <w:top w:val="single" w:sz="4" w:space="0" w:color="auto"/>
              <w:left w:val="single" w:sz="4" w:space="0" w:color="auto"/>
              <w:bottom w:val="single" w:sz="4" w:space="0" w:color="auto"/>
              <w:right w:val="single" w:sz="4" w:space="0" w:color="auto"/>
            </w:tcBorders>
          </w:tcPr>
          <w:p w14:paraId="4B5E5B24"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7DDB5841" w14:textId="77777777" w:rsidR="001D4E30" w:rsidRPr="008B1465" w:rsidRDefault="001D4E30" w:rsidP="007541CB">
            <w:pPr>
              <w:pStyle w:val="NoSpacing"/>
              <w:rPr>
                <w:rFonts w:ascii="Times New Roman" w:eastAsia="Calibri" w:hAnsi="Times New Roman"/>
                <w:sz w:val="24"/>
                <w:szCs w:val="24"/>
              </w:rPr>
            </w:pPr>
            <w:r w:rsidRPr="008B1465">
              <w:rPr>
                <w:rFonts w:ascii="Times New Roman" w:hAnsi="Times New Roman"/>
                <w:sz w:val="24"/>
                <w:szCs w:val="24"/>
                <w:shd w:val="clear" w:color="auto" w:fill="FFFFFF"/>
              </w:rPr>
              <w:t>Ololube</w:t>
            </w:r>
            <w:r w:rsidRPr="008B1465">
              <w:rPr>
                <w:rFonts w:ascii="Times New Roman" w:eastAsia="Calibri" w:hAnsi="Times New Roman"/>
                <w:sz w:val="24"/>
                <w:szCs w:val="24"/>
              </w:rPr>
              <w:t xml:space="preserve"> (2016)</w:t>
            </w:r>
          </w:p>
        </w:tc>
        <w:tc>
          <w:tcPr>
            <w:tcW w:w="875" w:type="pct"/>
            <w:tcBorders>
              <w:top w:val="single" w:sz="4" w:space="0" w:color="auto"/>
              <w:left w:val="single" w:sz="4" w:space="0" w:color="auto"/>
              <w:bottom w:val="single" w:sz="4" w:space="0" w:color="auto"/>
              <w:right w:val="single" w:sz="4" w:space="0" w:color="auto"/>
            </w:tcBorders>
          </w:tcPr>
          <w:p w14:paraId="62D5B032"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Education Fund Misappropriation and Mismanagement and the provision of Quality Higher Education in Nigeria</w:t>
            </w:r>
          </w:p>
        </w:tc>
        <w:tc>
          <w:tcPr>
            <w:tcW w:w="876" w:type="pct"/>
            <w:tcBorders>
              <w:top w:val="single" w:sz="4" w:space="0" w:color="auto"/>
              <w:left w:val="single" w:sz="4" w:space="0" w:color="auto"/>
              <w:bottom w:val="single" w:sz="4" w:space="0" w:color="auto"/>
              <w:right w:val="single" w:sz="4" w:space="0" w:color="auto"/>
            </w:tcBorders>
          </w:tcPr>
          <w:p w14:paraId="3AD54E4C" w14:textId="77777777" w:rsidR="001D4E30" w:rsidRPr="008B1465" w:rsidRDefault="002460FE" w:rsidP="007541CB">
            <w:pPr>
              <w:pStyle w:val="NoSpacing"/>
              <w:rPr>
                <w:rFonts w:ascii="Times New Roman" w:eastAsia="Calibri" w:hAnsi="Times New Roman"/>
                <w:sz w:val="24"/>
                <w:szCs w:val="24"/>
              </w:rPr>
            </w:pPr>
            <w:r w:rsidRPr="008B1465">
              <w:rPr>
                <w:rFonts w:ascii="Times New Roman" w:eastAsia="Calibri" w:hAnsi="Times New Roman"/>
                <w:sz w:val="24"/>
                <w:szCs w:val="24"/>
              </w:rPr>
              <w:t>A descriptive design was utilized, a well-structured questionnaire was used for data analysis, and findings were shown using a descriptive statistic expressed in a column and pie. The hypotheses were tested using linear regression.</w:t>
            </w:r>
          </w:p>
        </w:tc>
        <w:tc>
          <w:tcPr>
            <w:tcW w:w="1291" w:type="pct"/>
            <w:tcBorders>
              <w:top w:val="single" w:sz="4" w:space="0" w:color="auto"/>
              <w:left w:val="single" w:sz="4" w:space="0" w:color="auto"/>
              <w:bottom w:val="single" w:sz="4" w:space="0" w:color="auto"/>
              <w:right w:val="single" w:sz="4" w:space="0" w:color="auto"/>
            </w:tcBorders>
          </w:tcPr>
          <w:p w14:paraId="2429952C" w14:textId="77777777" w:rsidR="001D4E30" w:rsidRPr="008B1465" w:rsidRDefault="00775C00" w:rsidP="007541CB">
            <w:pPr>
              <w:pStyle w:val="NoSpacing"/>
              <w:rPr>
                <w:rFonts w:ascii="Times New Roman" w:eastAsia="Calibri" w:hAnsi="Times New Roman"/>
                <w:sz w:val="24"/>
                <w:szCs w:val="24"/>
              </w:rPr>
            </w:pPr>
            <w:r w:rsidRPr="008B1465">
              <w:rPr>
                <w:rFonts w:ascii="Times New Roman" w:eastAsia="Calibri" w:hAnsi="Times New Roman"/>
                <w:sz w:val="24"/>
                <w:szCs w:val="24"/>
              </w:rPr>
              <w:t>The findings showed that insufficient financing is to blame for the falling quality of higher education in Nigeria.</w:t>
            </w:r>
          </w:p>
        </w:tc>
        <w:tc>
          <w:tcPr>
            <w:tcW w:w="1000" w:type="pct"/>
            <w:tcBorders>
              <w:top w:val="single" w:sz="4" w:space="0" w:color="auto"/>
              <w:left w:val="single" w:sz="4" w:space="0" w:color="auto"/>
              <w:bottom w:val="single" w:sz="4" w:space="0" w:color="auto"/>
              <w:right w:val="single" w:sz="4" w:space="0" w:color="auto"/>
            </w:tcBorders>
          </w:tcPr>
          <w:p w14:paraId="6A4C9179" w14:textId="77777777" w:rsidR="001D4E30" w:rsidRPr="008B1465" w:rsidRDefault="0033577C" w:rsidP="007541CB">
            <w:pPr>
              <w:pStyle w:val="NoSpacing"/>
              <w:rPr>
                <w:rFonts w:ascii="Times New Roman" w:eastAsia="Calibri" w:hAnsi="Times New Roman"/>
                <w:sz w:val="24"/>
                <w:szCs w:val="24"/>
              </w:rPr>
            </w:pPr>
            <w:r w:rsidRPr="008B1465">
              <w:rPr>
                <w:rFonts w:ascii="Times New Roman" w:eastAsia="Calibri" w:hAnsi="Times New Roman"/>
                <w:sz w:val="24"/>
                <w:szCs w:val="24"/>
              </w:rPr>
              <w:t>This scholarly work is directed at the federal and state governments, higher education leaders, planners, and academics who are interested in empirical data on education funding theft and mismanagement and their effects on the provision of higher education in Nigeria of high-quality higher education.</w:t>
            </w:r>
          </w:p>
        </w:tc>
      </w:tr>
      <w:tr w:rsidR="000B5622" w:rsidRPr="008B1465" w14:paraId="45E7FAC3" w14:textId="77777777" w:rsidTr="007E4D0F">
        <w:tc>
          <w:tcPr>
            <w:tcW w:w="292" w:type="pct"/>
            <w:tcBorders>
              <w:top w:val="single" w:sz="4" w:space="0" w:color="auto"/>
              <w:left w:val="single" w:sz="4" w:space="0" w:color="auto"/>
              <w:bottom w:val="single" w:sz="4" w:space="0" w:color="auto"/>
              <w:right w:val="single" w:sz="4" w:space="0" w:color="auto"/>
            </w:tcBorders>
          </w:tcPr>
          <w:p w14:paraId="3DD32983"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68EC4E12"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Qasim &amp; Kharbat (2020)</w:t>
            </w:r>
          </w:p>
        </w:tc>
        <w:tc>
          <w:tcPr>
            <w:tcW w:w="875" w:type="pct"/>
            <w:tcBorders>
              <w:top w:val="single" w:sz="4" w:space="0" w:color="auto"/>
              <w:left w:val="single" w:sz="4" w:space="0" w:color="auto"/>
              <w:bottom w:val="single" w:sz="4" w:space="0" w:color="auto"/>
              <w:right w:val="single" w:sz="4" w:space="0" w:color="auto"/>
            </w:tcBorders>
          </w:tcPr>
          <w:p w14:paraId="4C7BED51"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Blockchain technology, Business Data Analytics, and Artificial Intelligence: Use in the Accounting Profession and Ideas for Inclusion into the Accounting Curriculum</w:t>
            </w:r>
          </w:p>
        </w:tc>
        <w:tc>
          <w:tcPr>
            <w:tcW w:w="876" w:type="pct"/>
            <w:tcBorders>
              <w:top w:val="single" w:sz="4" w:space="0" w:color="auto"/>
              <w:left w:val="single" w:sz="4" w:space="0" w:color="auto"/>
              <w:bottom w:val="single" w:sz="4" w:space="0" w:color="auto"/>
              <w:right w:val="single" w:sz="4" w:space="0" w:color="auto"/>
            </w:tcBorders>
          </w:tcPr>
          <w:p w14:paraId="494C2207"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This paper follows an integrated model for curriculum redesign to reflect blockchain technology, business data analytics, and artificial intelligence employment in the accounting profession</w:t>
            </w:r>
          </w:p>
        </w:tc>
        <w:tc>
          <w:tcPr>
            <w:tcW w:w="1291" w:type="pct"/>
            <w:tcBorders>
              <w:top w:val="single" w:sz="4" w:space="0" w:color="auto"/>
              <w:left w:val="single" w:sz="4" w:space="0" w:color="auto"/>
              <w:bottom w:val="single" w:sz="4" w:space="0" w:color="auto"/>
              <w:right w:val="single" w:sz="4" w:space="0" w:color="auto"/>
            </w:tcBorders>
          </w:tcPr>
          <w:p w14:paraId="08C24C13" w14:textId="77777777" w:rsidR="001D4E30" w:rsidRPr="008B1465" w:rsidRDefault="00D63929" w:rsidP="007541CB">
            <w:pPr>
              <w:pStyle w:val="NoSpacing"/>
              <w:rPr>
                <w:rFonts w:ascii="Times New Roman" w:eastAsia="Calibri" w:hAnsi="Times New Roman"/>
                <w:sz w:val="24"/>
                <w:szCs w:val="24"/>
              </w:rPr>
            </w:pPr>
            <w:r w:rsidRPr="008B1465">
              <w:rPr>
                <w:rFonts w:ascii="Times New Roman" w:eastAsia="Calibri" w:hAnsi="Times New Roman"/>
                <w:sz w:val="24"/>
                <w:szCs w:val="24"/>
              </w:rPr>
              <w:t>Literature Review</w:t>
            </w:r>
          </w:p>
        </w:tc>
        <w:tc>
          <w:tcPr>
            <w:tcW w:w="1000" w:type="pct"/>
            <w:tcBorders>
              <w:top w:val="single" w:sz="4" w:space="0" w:color="auto"/>
              <w:left w:val="single" w:sz="4" w:space="0" w:color="auto"/>
              <w:bottom w:val="single" w:sz="4" w:space="0" w:color="auto"/>
              <w:right w:val="single" w:sz="4" w:space="0" w:color="auto"/>
            </w:tcBorders>
          </w:tcPr>
          <w:p w14:paraId="20ED2D1A" w14:textId="77777777" w:rsidR="001D4E30" w:rsidRPr="008B1465" w:rsidRDefault="00954AB7" w:rsidP="007541CB">
            <w:pPr>
              <w:pStyle w:val="NoSpacing"/>
              <w:rPr>
                <w:rFonts w:ascii="Times New Roman" w:eastAsia="Calibri" w:hAnsi="Times New Roman"/>
                <w:sz w:val="24"/>
                <w:szCs w:val="24"/>
              </w:rPr>
            </w:pPr>
            <w:r w:rsidRPr="008B1465">
              <w:rPr>
                <w:rFonts w:ascii="Times New Roman" w:eastAsia="Calibri" w:hAnsi="Times New Roman"/>
                <w:sz w:val="24"/>
                <w:szCs w:val="24"/>
              </w:rPr>
              <w:t>This paper calls for radical changes in the accounting curriculum to reach a balance between existing accounting knowledge and information technology skills relevant to the profession.</w:t>
            </w:r>
          </w:p>
        </w:tc>
      </w:tr>
      <w:tr w:rsidR="000B5622" w:rsidRPr="008B1465" w14:paraId="0B796610" w14:textId="77777777" w:rsidTr="007E4D0F">
        <w:tc>
          <w:tcPr>
            <w:tcW w:w="292" w:type="pct"/>
            <w:tcBorders>
              <w:top w:val="single" w:sz="4" w:space="0" w:color="auto"/>
              <w:left w:val="single" w:sz="4" w:space="0" w:color="auto"/>
              <w:bottom w:val="single" w:sz="4" w:space="0" w:color="auto"/>
              <w:right w:val="single" w:sz="4" w:space="0" w:color="auto"/>
            </w:tcBorders>
          </w:tcPr>
          <w:p w14:paraId="6F8BED25"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66158A44" w14:textId="77777777" w:rsidR="001D4E30" w:rsidRPr="008B1465" w:rsidRDefault="001D4E30" w:rsidP="007541CB">
            <w:pPr>
              <w:pStyle w:val="NoSpacing"/>
              <w:rPr>
                <w:rFonts w:ascii="Times New Roman" w:eastAsia="Calibri" w:hAnsi="Times New Roman"/>
                <w:sz w:val="24"/>
                <w:szCs w:val="24"/>
              </w:rPr>
            </w:pPr>
            <w:r w:rsidRPr="008B1465">
              <w:rPr>
                <w:rFonts w:ascii="Times New Roman" w:hAnsi="Times New Roman"/>
                <w:sz w:val="24"/>
                <w:szCs w:val="24"/>
                <w:shd w:val="clear" w:color="auto" w:fill="FFFFFF"/>
              </w:rPr>
              <w:t>Oyedokun (2022)</w:t>
            </w:r>
          </w:p>
        </w:tc>
        <w:tc>
          <w:tcPr>
            <w:tcW w:w="875" w:type="pct"/>
            <w:tcBorders>
              <w:top w:val="single" w:sz="4" w:space="0" w:color="auto"/>
              <w:left w:val="single" w:sz="4" w:space="0" w:color="auto"/>
              <w:bottom w:val="single" w:sz="4" w:space="0" w:color="auto"/>
              <w:right w:val="single" w:sz="4" w:space="0" w:color="auto"/>
            </w:tcBorders>
          </w:tcPr>
          <w:p w14:paraId="63664D36" w14:textId="77777777" w:rsidR="001D4E30" w:rsidRPr="008B1465" w:rsidRDefault="001D4E30" w:rsidP="007541CB">
            <w:pPr>
              <w:pStyle w:val="NoSpacing"/>
              <w:rPr>
                <w:rFonts w:ascii="Times New Roman" w:eastAsia="Calibri" w:hAnsi="Times New Roman"/>
                <w:sz w:val="24"/>
                <w:szCs w:val="24"/>
              </w:rPr>
            </w:pPr>
            <w:r w:rsidRPr="008B1465">
              <w:rPr>
                <w:rFonts w:ascii="Times New Roman" w:hAnsi="Times New Roman"/>
                <w:sz w:val="24"/>
                <w:szCs w:val="24"/>
                <w:shd w:val="clear" w:color="auto" w:fill="FFFFFF"/>
              </w:rPr>
              <w:t>Determinants of Forensic Accounting Techniques and Theories: An Empirical Investigation</w:t>
            </w:r>
          </w:p>
        </w:tc>
        <w:tc>
          <w:tcPr>
            <w:tcW w:w="876" w:type="pct"/>
            <w:tcBorders>
              <w:top w:val="single" w:sz="4" w:space="0" w:color="auto"/>
              <w:left w:val="single" w:sz="4" w:space="0" w:color="auto"/>
              <w:bottom w:val="single" w:sz="4" w:space="0" w:color="auto"/>
              <w:right w:val="single" w:sz="4" w:space="0" w:color="auto"/>
            </w:tcBorders>
          </w:tcPr>
          <w:p w14:paraId="66ACE9C8"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Descriptive Stastitically analysis</w:t>
            </w:r>
            <w:r w:rsidR="004E2917" w:rsidRPr="008B1465">
              <w:rPr>
                <w:rFonts w:ascii="Times New Roman" w:eastAsia="Calibri" w:hAnsi="Times New Roman"/>
                <w:sz w:val="24"/>
                <w:szCs w:val="24"/>
              </w:rPr>
              <w:t xml:space="preserve"> m</w:t>
            </w:r>
            <w:r w:rsidRPr="008B1465">
              <w:rPr>
                <w:rFonts w:ascii="Times New Roman" w:eastAsia="Calibri" w:hAnsi="Times New Roman"/>
                <w:sz w:val="24"/>
                <w:szCs w:val="24"/>
              </w:rPr>
              <w:t>ultiple regression analysis</w:t>
            </w:r>
          </w:p>
        </w:tc>
        <w:tc>
          <w:tcPr>
            <w:tcW w:w="1291" w:type="pct"/>
            <w:tcBorders>
              <w:top w:val="single" w:sz="4" w:space="0" w:color="auto"/>
              <w:left w:val="single" w:sz="4" w:space="0" w:color="auto"/>
              <w:bottom w:val="single" w:sz="4" w:space="0" w:color="auto"/>
              <w:right w:val="single" w:sz="4" w:space="0" w:color="auto"/>
            </w:tcBorders>
          </w:tcPr>
          <w:p w14:paraId="12917D58"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There is a stastistically significant role of Forensic Accounting Techniques in Detecting Non-Numerical Fraud Risk Factors in Manufacturing Corporations in Ammam Stock Exchange</w:t>
            </w:r>
          </w:p>
        </w:tc>
        <w:tc>
          <w:tcPr>
            <w:tcW w:w="1000" w:type="pct"/>
            <w:tcBorders>
              <w:top w:val="single" w:sz="4" w:space="0" w:color="auto"/>
              <w:left w:val="single" w:sz="4" w:space="0" w:color="auto"/>
              <w:bottom w:val="single" w:sz="4" w:space="0" w:color="auto"/>
              <w:right w:val="single" w:sz="4" w:space="0" w:color="auto"/>
            </w:tcBorders>
          </w:tcPr>
          <w:p w14:paraId="72824AB8"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The research population restricted to manufacturing companies listed in Ammam Stock Exchange, Jordan.</w:t>
            </w:r>
          </w:p>
        </w:tc>
      </w:tr>
      <w:tr w:rsidR="000B5622" w:rsidRPr="008B1465" w14:paraId="2E479F66" w14:textId="77777777" w:rsidTr="007E4D0F">
        <w:tc>
          <w:tcPr>
            <w:tcW w:w="292" w:type="pct"/>
            <w:tcBorders>
              <w:top w:val="single" w:sz="4" w:space="0" w:color="auto"/>
              <w:left w:val="single" w:sz="4" w:space="0" w:color="auto"/>
              <w:bottom w:val="single" w:sz="4" w:space="0" w:color="auto"/>
              <w:right w:val="single" w:sz="4" w:space="0" w:color="auto"/>
            </w:tcBorders>
          </w:tcPr>
          <w:p w14:paraId="4B4D38F9"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6C8F7508"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Ajekwe &amp;  </w:t>
            </w:r>
          </w:p>
          <w:p w14:paraId="5689A62C"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Ibiamke</w:t>
            </w:r>
          </w:p>
          <w:p w14:paraId="79B8BFF8"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(2017)</w:t>
            </w:r>
          </w:p>
        </w:tc>
        <w:tc>
          <w:tcPr>
            <w:tcW w:w="875" w:type="pct"/>
            <w:tcBorders>
              <w:top w:val="single" w:sz="4" w:space="0" w:color="auto"/>
              <w:left w:val="single" w:sz="4" w:space="0" w:color="auto"/>
              <w:bottom w:val="single" w:sz="4" w:space="0" w:color="auto"/>
              <w:right w:val="single" w:sz="4" w:space="0" w:color="auto"/>
            </w:tcBorders>
          </w:tcPr>
          <w:p w14:paraId="3FA99311"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Accounting </w:t>
            </w:r>
          </w:p>
          <w:p w14:paraId="677BC452"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Frauds:</w:t>
            </w:r>
          </w:p>
          <w:p w14:paraId="12277321"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A Review of Literature</w:t>
            </w:r>
          </w:p>
        </w:tc>
        <w:tc>
          <w:tcPr>
            <w:tcW w:w="876" w:type="pct"/>
            <w:tcBorders>
              <w:top w:val="single" w:sz="4" w:space="0" w:color="auto"/>
              <w:left w:val="single" w:sz="4" w:space="0" w:color="auto"/>
              <w:bottom w:val="single" w:sz="4" w:space="0" w:color="auto"/>
              <w:right w:val="single" w:sz="4" w:space="0" w:color="auto"/>
            </w:tcBorders>
          </w:tcPr>
          <w:p w14:paraId="0E787DB3"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Qualitative</w:t>
            </w:r>
          </w:p>
          <w:p w14:paraId="3F7B0528"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Research:</w:t>
            </w:r>
          </w:p>
          <w:p w14:paraId="6D81B428"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Literature Review</w:t>
            </w:r>
          </w:p>
        </w:tc>
        <w:tc>
          <w:tcPr>
            <w:tcW w:w="1291" w:type="pct"/>
            <w:tcBorders>
              <w:top w:val="single" w:sz="4" w:space="0" w:color="auto"/>
              <w:left w:val="single" w:sz="4" w:space="0" w:color="auto"/>
              <w:bottom w:val="single" w:sz="4" w:space="0" w:color="auto"/>
              <w:right w:val="single" w:sz="4" w:space="0" w:color="auto"/>
            </w:tcBorders>
          </w:tcPr>
          <w:p w14:paraId="23E96090"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Forensic accounting techniques significantly affect the detection of accounting fraud in financial reporting</w:t>
            </w:r>
          </w:p>
        </w:tc>
        <w:tc>
          <w:tcPr>
            <w:tcW w:w="1000" w:type="pct"/>
            <w:tcBorders>
              <w:top w:val="single" w:sz="4" w:space="0" w:color="auto"/>
              <w:left w:val="single" w:sz="4" w:space="0" w:color="auto"/>
              <w:bottom w:val="single" w:sz="4" w:space="0" w:color="auto"/>
              <w:right w:val="single" w:sz="4" w:space="0" w:color="auto"/>
            </w:tcBorders>
          </w:tcPr>
          <w:p w14:paraId="4B2A3BDE" w14:textId="77777777" w:rsidR="001D4E30" w:rsidRPr="008B1465" w:rsidRDefault="00585AB7"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The study provides a general review of </w:t>
            </w:r>
            <w:r w:rsidR="004F468F" w:rsidRPr="008B1465">
              <w:rPr>
                <w:rFonts w:ascii="Times New Roman" w:eastAsia="Calibri" w:hAnsi="Times New Roman"/>
                <w:sz w:val="24"/>
                <w:szCs w:val="24"/>
              </w:rPr>
              <w:t>accounting fraud with no focus on the university system</w:t>
            </w:r>
          </w:p>
        </w:tc>
      </w:tr>
      <w:tr w:rsidR="000B5622" w:rsidRPr="008B1465" w14:paraId="013C9917" w14:textId="77777777" w:rsidTr="007E4D0F">
        <w:tc>
          <w:tcPr>
            <w:tcW w:w="292" w:type="pct"/>
            <w:tcBorders>
              <w:top w:val="single" w:sz="4" w:space="0" w:color="auto"/>
              <w:left w:val="single" w:sz="4" w:space="0" w:color="auto"/>
              <w:bottom w:val="single" w:sz="4" w:space="0" w:color="auto"/>
              <w:right w:val="single" w:sz="4" w:space="0" w:color="auto"/>
            </w:tcBorders>
          </w:tcPr>
          <w:p w14:paraId="0CBAC72D"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7477C8E2"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Dada &amp; Jimoh</w:t>
            </w:r>
          </w:p>
          <w:p w14:paraId="32628781"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(2020)</w:t>
            </w:r>
          </w:p>
        </w:tc>
        <w:tc>
          <w:tcPr>
            <w:tcW w:w="875" w:type="pct"/>
            <w:tcBorders>
              <w:top w:val="single" w:sz="4" w:space="0" w:color="auto"/>
              <w:left w:val="single" w:sz="4" w:space="0" w:color="auto"/>
              <w:bottom w:val="single" w:sz="4" w:space="0" w:color="auto"/>
              <w:right w:val="single" w:sz="4" w:space="0" w:color="auto"/>
            </w:tcBorders>
          </w:tcPr>
          <w:p w14:paraId="08F52E04"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Forensic accounting and financial crimes in Nigerian public sector</w:t>
            </w:r>
          </w:p>
        </w:tc>
        <w:tc>
          <w:tcPr>
            <w:tcW w:w="876" w:type="pct"/>
            <w:tcBorders>
              <w:top w:val="single" w:sz="4" w:space="0" w:color="auto"/>
              <w:left w:val="single" w:sz="4" w:space="0" w:color="auto"/>
              <w:bottom w:val="single" w:sz="4" w:space="0" w:color="auto"/>
              <w:right w:val="single" w:sz="4" w:space="0" w:color="auto"/>
            </w:tcBorders>
          </w:tcPr>
          <w:p w14:paraId="40F3143D"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Qualitative Survey research design and Linear regression technique</w:t>
            </w:r>
          </w:p>
        </w:tc>
        <w:tc>
          <w:tcPr>
            <w:tcW w:w="1291" w:type="pct"/>
            <w:tcBorders>
              <w:top w:val="single" w:sz="4" w:space="0" w:color="auto"/>
              <w:left w:val="single" w:sz="4" w:space="0" w:color="auto"/>
              <w:bottom w:val="single" w:sz="4" w:space="0" w:color="auto"/>
              <w:right w:val="single" w:sz="4" w:space="0" w:color="auto"/>
            </w:tcBorders>
          </w:tcPr>
          <w:p w14:paraId="485C3842"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The study concluded that litigation support service indeed I an anti-financial crime strategy will help bring financial prudency and sanify to the ministries departments and agencies of the government in the public sector.</w:t>
            </w:r>
          </w:p>
        </w:tc>
        <w:tc>
          <w:tcPr>
            <w:tcW w:w="1000" w:type="pct"/>
            <w:tcBorders>
              <w:top w:val="single" w:sz="4" w:space="0" w:color="auto"/>
              <w:left w:val="single" w:sz="4" w:space="0" w:color="auto"/>
              <w:bottom w:val="single" w:sz="4" w:space="0" w:color="auto"/>
              <w:right w:val="single" w:sz="4" w:space="0" w:color="auto"/>
            </w:tcBorders>
          </w:tcPr>
          <w:p w14:paraId="14E71C7D"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Only one dependent and one independent variable were used. The scope was limited to Lagos MDAs</w:t>
            </w:r>
          </w:p>
        </w:tc>
      </w:tr>
      <w:tr w:rsidR="000B5622" w:rsidRPr="008B1465" w14:paraId="05817D20" w14:textId="77777777" w:rsidTr="007E4D0F">
        <w:tc>
          <w:tcPr>
            <w:tcW w:w="292" w:type="pct"/>
            <w:tcBorders>
              <w:top w:val="single" w:sz="4" w:space="0" w:color="auto"/>
              <w:left w:val="single" w:sz="4" w:space="0" w:color="auto"/>
              <w:bottom w:val="single" w:sz="4" w:space="0" w:color="auto"/>
              <w:right w:val="single" w:sz="4" w:space="0" w:color="auto"/>
            </w:tcBorders>
          </w:tcPr>
          <w:p w14:paraId="0CC9CB3E"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3486D2BB"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Eze</w:t>
            </w:r>
          </w:p>
          <w:p w14:paraId="334F20AC"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(2019)</w:t>
            </w:r>
          </w:p>
        </w:tc>
        <w:tc>
          <w:tcPr>
            <w:tcW w:w="875" w:type="pct"/>
            <w:tcBorders>
              <w:top w:val="single" w:sz="4" w:space="0" w:color="auto"/>
              <w:left w:val="single" w:sz="4" w:space="0" w:color="auto"/>
              <w:bottom w:val="single" w:sz="4" w:space="0" w:color="auto"/>
              <w:right w:val="single" w:sz="4" w:space="0" w:color="auto"/>
            </w:tcBorders>
          </w:tcPr>
          <w:p w14:paraId="7DA52250"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Forensic Accounting and Fraud Detection and Prevention in Imo State Public Sector</w:t>
            </w:r>
          </w:p>
        </w:tc>
        <w:tc>
          <w:tcPr>
            <w:tcW w:w="876" w:type="pct"/>
            <w:tcBorders>
              <w:top w:val="single" w:sz="4" w:space="0" w:color="auto"/>
              <w:left w:val="single" w:sz="4" w:space="0" w:color="auto"/>
              <w:bottom w:val="single" w:sz="4" w:space="0" w:color="auto"/>
              <w:right w:val="single" w:sz="4" w:space="0" w:color="auto"/>
            </w:tcBorders>
          </w:tcPr>
          <w:p w14:paraId="4322459F" w14:textId="77777777" w:rsidR="001D4E30" w:rsidRPr="008B1465" w:rsidRDefault="00094BB0" w:rsidP="007541CB">
            <w:pPr>
              <w:pStyle w:val="NoSpacing"/>
              <w:rPr>
                <w:rFonts w:ascii="Times New Roman" w:eastAsia="Calibri" w:hAnsi="Times New Roman"/>
                <w:sz w:val="24"/>
                <w:szCs w:val="24"/>
              </w:rPr>
            </w:pPr>
            <w:r w:rsidRPr="008B1465">
              <w:rPr>
                <w:rFonts w:ascii="Times New Roman" w:eastAsia="Calibri" w:hAnsi="Times New Roman"/>
                <w:sz w:val="24"/>
                <w:szCs w:val="24"/>
              </w:rPr>
              <w:t>Descriptive statistics were used in the analysis</w:t>
            </w:r>
          </w:p>
        </w:tc>
        <w:tc>
          <w:tcPr>
            <w:tcW w:w="1291" w:type="pct"/>
            <w:tcBorders>
              <w:top w:val="single" w:sz="4" w:space="0" w:color="auto"/>
              <w:left w:val="single" w:sz="4" w:space="0" w:color="auto"/>
              <w:bottom w:val="single" w:sz="4" w:space="0" w:color="auto"/>
              <w:right w:val="single" w:sz="4" w:space="0" w:color="auto"/>
            </w:tcBorders>
          </w:tcPr>
          <w:p w14:paraId="14D5ABDF"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The result revealed a significant relationship between forensic accounting and fraud detection and prevention in the public sector.</w:t>
            </w:r>
          </w:p>
        </w:tc>
        <w:tc>
          <w:tcPr>
            <w:tcW w:w="1000" w:type="pct"/>
            <w:tcBorders>
              <w:top w:val="single" w:sz="4" w:space="0" w:color="auto"/>
              <w:left w:val="single" w:sz="4" w:space="0" w:color="auto"/>
              <w:bottom w:val="single" w:sz="4" w:space="0" w:color="auto"/>
              <w:right w:val="single" w:sz="4" w:space="0" w:color="auto"/>
            </w:tcBorders>
          </w:tcPr>
          <w:p w14:paraId="642F4BF2"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Scope restricted to Imo State Public Sector</w:t>
            </w:r>
          </w:p>
        </w:tc>
      </w:tr>
      <w:tr w:rsidR="000B5622" w:rsidRPr="008B1465" w14:paraId="22128E40" w14:textId="77777777" w:rsidTr="007E4D0F">
        <w:tc>
          <w:tcPr>
            <w:tcW w:w="292" w:type="pct"/>
            <w:tcBorders>
              <w:top w:val="single" w:sz="4" w:space="0" w:color="auto"/>
              <w:left w:val="single" w:sz="4" w:space="0" w:color="auto"/>
              <w:bottom w:val="single" w:sz="4" w:space="0" w:color="auto"/>
              <w:right w:val="single" w:sz="4" w:space="0" w:color="auto"/>
            </w:tcBorders>
          </w:tcPr>
          <w:p w14:paraId="53A9F1EA"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39B28E2D"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Ocansey,</w:t>
            </w:r>
          </w:p>
          <w:p w14:paraId="12052AF8"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(2017)</w:t>
            </w:r>
          </w:p>
        </w:tc>
        <w:tc>
          <w:tcPr>
            <w:tcW w:w="875" w:type="pct"/>
            <w:tcBorders>
              <w:top w:val="single" w:sz="4" w:space="0" w:color="auto"/>
              <w:left w:val="single" w:sz="4" w:space="0" w:color="auto"/>
              <w:bottom w:val="single" w:sz="4" w:space="0" w:color="auto"/>
              <w:right w:val="single" w:sz="4" w:space="0" w:color="auto"/>
            </w:tcBorders>
          </w:tcPr>
          <w:p w14:paraId="6B4E1EAB" w14:textId="77777777" w:rsidR="001D4E30" w:rsidRPr="008B1465" w:rsidRDefault="001D4E30" w:rsidP="007541CB">
            <w:pPr>
              <w:pStyle w:val="NoSpacing"/>
              <w:rPr>
                <w:rFonts w:ascii="Times New Roman" w:eastAsia="Calibri" w:hAnsi="Times New Roman"/>
                <w:sz w:val="24"/>
                <w:szCs w:val="24"/>
              </w:rPr>
            </w:pPr>
            <w:r w:rsidRPr="008B1465">
              <w:rPr>
                <w:rFonts w:ascii="Times New Roman" w:hAnsi="Times New Roman"/>
                <w:sz w:val="24"/>
                <w:szCs w:val="24"/>
                <w:shd w:val="clear" w:color="auto" w:fill="FFFFFF"/>
              </w:rPr>
              <w:t>Forensic accounting and the combating of economic and financial crimes in Ghana</w:t>
            </w:r>
          </w:p>
        </w:tc>
        <w:tc>
          <w:tcPr>
            <w:tcW w:w="876" w:type="pct"/>
            <w:tcBorders>
              <w:top w:val="single" w:sz="4" w:space="0" w:color="auto"/>
              <w:left w:val="single" w:sz="4" w:space="0" w:color="auto"/>
              <w:bottom w:val="single" w:sz="4" w:space="0" w:color="auto"/>
              <w:right w:val="single" w:sz="4" w:space="0" w:color="auto"/>
            </w:tcBorders>
          </w:tcPr>
          <w:p w14:paraId="2EFB7744"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Survey research design and simple linear regression model </w:t>
            </w:r>
          </w:p>
        </w:tc>
        <w:tc>
          <w:tcPr>
            <w:tcW w:w="1291" w:type="pct"/>
            <w:tcBorders>
              <w:top w:val="single" w:sz="4" w:space="0" w:color="auto"/>
              <w:left w:val="single" w:sz="4" w:space="0" w:color="auto"/>
              <w:bottom w:val="single" w:sz="4" w:space="0" w:color="auto"/>
              <w:right w:val="single" w:sz="4" w:space="0" w:color="auto"/>
            </w:tcBorders>
          </w:tcPr>
          <w:p w14:paraId="001B29F9"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The application of forensic accounting technique has significant impact on the combating of economic and financial crimes in Ghana.</w:t>
            </w:r>
          </w:p>
        </w:tc>
        <w:tc>
          <w:tcPr>
            <w:tcW w:w="1000" w:type="pct"/>
            <w:tcBorders>
              <w:top w:val="single" w:sz="4" w:space="0" w:color="auto"/>
              <w:left w:val="single" w:sz="4" w:space="0" w:color="auto"/>
              <w:bottom w:val="single" w:sz="4" w:space="0" w:color="auto"/>
              <w:right w:val="single" w:sz="4" w:space="0" w:color="auto"/>
            </w:tcBorders>
          </w:tcPr>
          <w:p w14:paraId="2D25E6C3"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Scope limited to Ghana</w:t>
            </w:r>
          </w:p>
        </w:tc>
      </w:tr>
      <w:tr w:rsidR="000B5622" w:rsidRPr="008B1465" w14:paraId="488D0040" w14:textId="77777777" w:rsidTr="007E4D0F">
        <w:tc>
          <w:tcPr>
            <w:tcW w:w="292" w:type="pct"/>
            <w:tcBorders>
              <w:top w:val="single" w:sz="4" w:space="0" w:color="auto"/>
              <w:left w:val="single" w:sz="4" w:space="0" w:color="auto"/>
              <w:bottom w:val="single" w:sz="4" w:space="0" w:color="auto"/>
              <w:right w:val="single" w:sz="4" w:space="0" w:color="auto"/>
            </w:tcBorders>
          </w:tcPr>
          <w:p w14:paraId="3CE7F315"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2965518F"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Oyedokun &amp; Akinwunmi, (2018)</w:t>
            </w:r>
          </w:p>
        </w:tc>
        <w:tc>
          <w:tcPr>
            <w:tcW w:w="875" w:type="pct"/>
            <w:tcBorders>
              <w:top w:val="single" w:sz="4" w:space="0" w:color="auto"/>
              <w:left w:val="single" w:sz="4" w:space="0" w:color="auto"/>
              <w:bottom w:val="single" w:sz="4" w:space="0" w:color="auto"/>
              <w:right w:val="single" w:sz="4" w:space="0" w:color="auto"/>
            </w:tcBorders>
          </w:tcPr>
          <w:p w14:paraId="2EF6A820"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Forensic Accounting Skills and Corruption Eradication In Nigeria</w:t>
            </w:r>
          </w:p>
        </w:tc>
        <w:tc>
          <w:tcPr>
            <w:tcW w:w="876" w:type="pct"/>
            <w:tcBorders>
              <w:top w:val="single" w:sz="4" w:space="0" w:color="auto"/>
              <w:left w:val="single" w:sz="4" w:space="0" w:color="auto"/>
              <w:bottom w:val="single" w:sz="4" w:space="0" w:color="auto"/>
              <w:right w:val="single" w:sz="4" w:space="0" w:color="auto"/>
            </w:tcBorders>
          </w:tcPr>
          <w:p w14:paraId="479CB0E9" w14:textId="77777777" w:rsidR="001D4E30" w:rsidRPr="008B1465" w:rsidRDefault="001D4E30" w:rsidP="002F5F7C">
            <w:pPr>
              <w:pStyle w:val="NoSpacing"/>
              <w:rPr>
                <w:rFonts w:ascii="Times New Roman" w:eastAsia="Calibri" w:hAnsi="Times New Roman"/>
                <w:sz w:val="24"/>
                <w:szCs w:val="24"/>
              </w:rPr>
            </w:pPr>
            <w:r w:rsidRPr="008B1465">
              <w:rPr>
                <w:rFonts w:ascii="Times New Roman" w:eastAsia="Calibri" w:hAnsi="Times New Roman"/>
                <w:sz w:val="24"/>
                <w:szCs w:val="24"/>
              </w:rPr>
              <w:t xml:space="preserve">Multiple regression </w:t>
            </w:r>
          </w:p>
        </w:tc>
        <w:tc>
          <w:tcPr>
            <w:tcW w:w="1291" w:type="pct"/>
            <w:tcBorders>
              <w:top w:val="single" w:sz="4" w:space="0" w:color="auto"/>
              <w:left w:val="single" w:sz="4" w:space="0" w:color="auto"/>
              <w:bottom w:val="single" w:sz="4" w:space="0" w:color="auto"/>
              <w:right w:val="single" w:sz="4" w:space="0" w:color="auto"/>
            </w:tcBorders>
          </w:tcPr>
          <w:p w14:paraId="613BB9F4"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Forensic accounting skills which are proxied by forensic accounting training (FAT), forensic accounting techniques skill set (FASS), corruption perception in Nigeria (CPN) and technical and professional skills (TPS) have positive effects on corruption eradication in Nigeria.</w:t>
            </w:r>
          </w:p>
        </w:tc>
        <w:tc>
          <w:tcPr>
            <w:tcW w:w="1000" w:type="pct"/>
            <w:tcBorders>
              <w:top w:val="single" w:sz="4" w:space="0" w:color="auto"/>
              <w:left w:val="single" w:sz="4" w:space="0" w:color="auto"/>
              <w:bottom w:val="single" w:sz="4" w:space="0" w:color="auto"/>
              <w:right w:val="single" w:sz="4" w:space="0" w:color="auto"/>
            </w:tcBorders>
          </w:tcPr>
          <w:p w14:paraId="4B59A147"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Population of 2,500 was used with sample size of 306 used in Nigerian</w:t>
            </w:r>
          </w:p>
        </w:tc>
      </w:tr>
      <w:tr w:rsidR="000B5622" w:rsidRPr="008B1465" w14:paraId="0F7063EE" w14:textId="77777777" w:rsidTr="007E4D0F">
        <w:tc>
          <w:tcPr>
            <w:tcW w:w="292" w:type="pct"/>
            <w:tcBorders>
              <w:top w:val="single" w:sz="4" w:space="0" w:color="auto"/>
              <w:left w:val="single" w:sz="4" w:space="0" w:color="auto"/>
              <w:bottom w:val="single" w:sz="4" w:space="0" w:color="auto"/>
              <w:right w:val="single" w:sz="4" w:space="0" w:color="auto"/>
            </w:tcBorders>
          </w:tcPr>
          <w:p w14:paraId="644F80D2"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590DF5DE" w14:textId="77777777" w:rsidR="001D4E30" w:rsidRPr="008B1465" w:rsidRDefault="001D4E30" w:rsidP="007541CB">
            <w:pPr>
              <w:pStyle w:val="NoSpacing"/>
              <w:rPr>
                <w:rFonts w:ascii="Times New Roman" w:eastAsia="Calibri" w:hAnsi="Times New Roman"/>
                <w:sz w:val="24"/>
                <w:szCs w:val="24"/>
              </w:rPr>
            </w:pPr>
            <w:r w:rsidRPr="008B1465">
              <w:rPr>
                <w:rFonts w:ascii="Times New Roman" w:hAnsi="Times New Roman"/>
                <w:sz w:val="24"/>
                <w:szCs w:val="24"/>
                <w:shd w:val="clear" w:color="auto" w:fill="FFFFFF"/>
              </w:rPr>
              <w:t>Oyedokun &amp; Emmanuel, (2015)</w:t>
            </w:r>
          </w:p>
        </w:tc>
        <w:tc>
          <w:tcPr>
            <w:tcW w:w="875" w:type="pct"/>
            <w:tcBorders>
              <w:top w:val="single" w:sz="4" w:space="0" w:color="auto"/>
              <w:left w:val="single" w:sz="4" w:space="0" w:color="auto"/>
              <w:bottom w:val="single" w:sz="4" w:space="0" w:color="auto"/>
              <w:right w:val="single" w:sz="4" w:space="0" w:color="auto"/>
            </w:tcBorders>
          </w:tcPr>
          <w:p w14:paraId="079E2FFA"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Integrity of Financial Statements and forensic accounting techniques</w:t>
            </w:r>
          </w:p>
        </w:tc>
        <w:tc>
          <w:tcPr>
            <w:tcW w:w="876" w:type="pct"/>
            <w:tcBorders>
              <w:top w:val="single" w:sz="4" w:space="0" w:color="auto"/>
              <w:left w:val="single" w:sz="4" w:space="0" w:color="auto"/>
              <w:bottom w:val="single" w:sz="4" w:space="0" w:color="auto"/>
              <w:right w:val="single" w:sz="4" w:space="0" w:color="auto"/>
            </w:tcBorders>
          </w:tcPr>
          <w:p w14:paraId="5AA333A1" w14:textId="77777777" w:rsidR="001D4E30" w:rsidRPr="008B1465" w:rsidRDefault="00CA0C7F" w:rsidP="007541CB">
            <w:pPr>
              <w:pStyle w:val="NoSpacing"/>
              <w:rPr>
                <w:rFonts w:ascii="Times New Roman" w:eastAsia="Calibri" w:hAnsi="Times New Roman"/>
                <w:sz w:val="24"/>
                <w:szCs w:val="24"/>
              </w:rPr>
            </w:pPr>
            <w:r w:rsidRPr="008B1465">
              <w:rPr>
                <w:rFonts w:ascii="Times New Roman" w:eastAsia="Calibri" w:hAnsi="Times New Roman"/>
                <w:sz w:val="24"/>
                <w:szCs w:val="24"/>
              </w:rPr>
              <w:t>R</w:t>
            </w:r>
            <w:r w:rsidR="001D4E30" w:rsidRPr="008B1465">
              <w:rPr>
                <w:rFonts w:ascii="Times New Roman" w:eastAsia="Calibri" w:hAnsi="Times New Roman"/>
                <w:sz w:val="24"/>
                <w:szCs w:val="24"/>
              </w:rPr>
              <w:t>andom sampling techniques</w:t>
            </w:r>
          </w:p>
        </w:tc>
        <w:tc>
          <w:tcPr>
            <w:tcW w:w="1291" w:type="pct"/>
            <w:tcBorders>
              <w:top w:val="single" w:sz="4" w:space="0" w:color="auto"/>
              <w:left w:val="single" w:sz="4" w:space="0" w:color="auto"/>
              <w:bottom w:val="single" w:sz="4" w:space="0" w:color="auto"/>
              <w:right w:val="single" w:sz="4" w:space="0" w:color="auto"/>
            </w:tcBorders>
          </w:tcPr>
          <w:p w14:paraId="42008EF7"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Forensic accounting has positive influence on the integrity of statements (IFS) of business organizations.</w:t>
            </w:r>
          </w:p>
        </w:tc>
        <w:tc>
          <w:tcPr>
            <w:tcW w:w="1000" w:type="pct"/>
            <w:tcBorders>
              <w:top w:val="single" w:sz="4" w:space="0" w:color="auto"/>
              <w:left w:val="single" w:sz="4" w:space="0" w:color="auto"/>
              <w:bottom w:val="single" w:sz="4" w:space="0" w:color="auto"/>
              <w:right w:val="single" w:sz="4" w:space="0" w:color="auto"/>
            </w:tcBorders>
          </w:tcPr>
          <w:p w14:paraId="2A796DA7"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Professionals (ICAN and ANAN) In Nigeria of 1,000 population with 350 sample size was used</w:t>
            </w:r>
          </w:p>
        </w:tc>
      </w:tr>
      <w:tr w:rsidR="000B5622" w:rsidRPr="008B1465" w14:paraId="7506B937" w14:textId="77777777" w:rsidTr="007E4D0F">
        <w:tc>
          <w:tcPr>
            <w:tcW w:w="292" w:type="pct"/>
            <w:tcBorders>
              <w:top w:val="single" w:sz="4" w:space="0" w:color="auto"/>
              <w:left w:val="single" w:sz="4" w:space="0" w:color="auto"/>
              <w:bottom w:val="single" w:sz="4" w:space="0" w:color="auto"/>
              <w:right w:val="single" w:sz="4" w:space="0" w:color="auto"/>
            </w:tcBorders>
          </w:tcPr>
          <w:p w14:paraId="65B66724"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219FCD6F" w14:textId="77777777" w:rsidR="001D4E30" w:rsidRPr="008B1465" w:rsidRDefault="001D4E30" w:rsidP="007541CB">
            <w:pPr>
              <w:pStyle w:val="NoSpacing"/>
              <w:rPr>
                <w:rFonts w:ascii="Times New Roman" w:eastAsia="Calibri" w:hAnsi="Times New Roman"/>
                <w:sz w:val="24"/>
                <w:szCs w:val="24"/>
              </w:rPr>
            </w:pPr>
            <w:r w:rsidRPr="008B1465">
              <w:rPr>
                <w:rFonts w:ascii="Times New Roman" w:hAnsi="Times New Roman"/>
                <w:sz w:val="24"/>
                <w:szCs w:val="24"/>
                <w:shd w:val="clear" w:color="auto" w:fill="FFFFFF"/>
              </w:rPr>
              <w:t>Sule, Ibrahim &amp; Sani, (2019)</w:t>
            </w:r>
          </w:p>
        </w:tc>
        <w:tc>
          <w:tcPr>
            <w:tcW w:w="875" w:type="pct"/>
            <w:tcBorders>
              <w:top w:val="single" w:sz="4" w:space="0" w:color="auto"/>
              <w:left w:val="single" w:sz="4" w:space="0" w:color="auto"/>
              <w:bottom w:val="single" w:sz="4" w:space="0" w:color="auto"/>
              <w:right w:val="single" w:sz="4" w:space="0" w:color="auto"/>
            </w:tcBorders>
          </w:tcPr>
          <w:p w14:paraId="0A98F0BF"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The Effect of Forensic Accounting Investigation in Detecting Financial Fraud</w:t>
            </w:r>
          </w:p>
        </w:tc>
        <w:tc>
          <w:tcPr>
            <w:tcW w:w="876" w:type="pct"/>
            <w:tcBorders>
              <w:top w:val="single" w:sz="4" w:space="0" w:color="auto"/>
              <w:left w:val="single" w:sz="4" w:space="0" w:color="auto"/>
              <w:bottom w:val="single" w:sz="4" w:space="0" w:color="auto"/>
              <w:right w:val="single" w:sz="4" w:space="0" w:color="auto"/>
            </w:tcBorders>
          </w:tcPr>
          <w:p w14:paraId="28588590"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Literature Review </w:t>
            </w:r>
            <w:r w:rsidR="00BD5047" w:rsidRPr="008B1465">
              <w:rPr>
                <w:rFonts w:ascii="Times New Roman" w:eastAsia="Calibri" w:hAnsi="Times New Roman"/>
                <w:sz w:val="24"/>
                <w:szCs w:val="24"/>
              </w:rPr>
              <w:t>based on secondary d</w:t>
            </w:r>
            <w:r w:rsidRPr="008B1465">
              <w:rPr>
                <w:rFonts w:ascii="Times New Roman" w:eastAsia="Calibri" w:hAnsi="Times New Roman"/>
                <w:sz w:val="24"/>
                <w:szCs w:val="24"/>
              </w:rPr>
              <w:t>ata</w:t>
            </w:r>
          </w:p>
        </w:tc>
        <w:tc>
          <w:tcPr>
            <w:tcW w:w="1291" w:type="pct"/>
            <w:tcBorders>
              <w:top w:val="single" w:sz="4" w:space="0" w:color="auto"/>
              <w:left w:val="single" w:sz="4" w:space="0" w:color="auto"/>
              <w:bottom w:val="single" w:sz="4" w:space="0" w:color="auto"/>
              <w:right w:val="single" w:sz="4" w:space="0" w:color="auto"/>
            </w:tcBorders>
          </w:tcPr>
          <w:p w14:paraId="6708A54D"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Forensic accounting service has a significant effect in detecting financial fraud.</w:t>
            </w:r>
          </w:p>
        </w:tc>
        <w:tc>
          <w:tcPr>
            <w:tcW w:w="1000" w:type="pct"/>
            <w:tcBorders>
              <w:top w:val="single" w:sz="4" w:space="0" w:color="auto"/>
              <w:left w:val="single" w:sz="4" w:space="0" w:color="auto"/>
              <w:bottom w:val="single" w:sz="4" w:space="0" w:color="auto"/>
              <w:right w:val="single" w:sz="4" w:space="0" w:color="auto"/>
            </w:tcBorders>
          </w:tcPr>
          <w:p w14:paraId="51BA5975"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Just literature review</w:t>
            </w:r>
          </w:p>
        </w:tc>
      </w:tr>
      <w:tr w:rsidR="000B5622" w:rsidRPr="008B1465" w14:paraId="2B9D6019" w14:textId="77777777" w:rsidTr="007E4D0F">
        <w:tc>
          <w:tcPr>
            <w:tcW w:w="292" w:type="pct"/>
            <w:tcBorders>
              <w:top w:val="single" w:sz="4" w:space="0" w:color="auto"/>
              <w:left w:val="single" w:sz="4" w:space="0" w:color="auto"/>
              <w:bottom w:val="single" w:sz="4" w:space="0" w:color="auto"/>
              <w:right w:val="single" w:sz="4" w:space="0" w:color="auto"/>
            </w:tcBorders>
          </w:tcPr>
          <w:p w14:paraId="1DFC5969"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74FED04E"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Olaoye &amp; </w:t>
            </w:r>
          </w:p>
          <w:p w14:paraId="6E8A4542"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Olanipekun</w:t>
            </w:r>
          </w:p>
          <w:p w14:paraId="498FD7CF"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(2018)</w:t>
            </w:r>
          </w:p>
        </w:tc>
        <w:tc>
          <w:tcPr>
            <w:tcW w:w="875" w:type="pct"/>
            <w:tcBorders>
              <w:top w:val="single" w:sz="4" w:space="0" w:color="auto"/>
              <w:left w:val="single" w:sz="4" w:space="0" w:color="auto"/>
              <w:bottom w:val="single" w:sz="4" w:space="0" w:color="auto"/>
              <w:right w:val="single" w:sz="4" w:space="0" w:color="auto"/>
            </w:tcBorders>
          </w:tcPr>
          <w:p w14:paraId="2E56EA28"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Impact of Forensic Accounting and Investigation on Corporate Governance in Ekiti State</w:t>
            </w:r>
          </w:p>
        </w:tc>
        <w:tc>
          <w:tcPr>
            <w:tcW w:w="876" w:type="pct"/>
            <w:tcBorders>
              <w:top w:val="single" w:sz="4" w:space="0" w:color="auto"/>
              <w:left w:val="single" w:sz="4" w:space="0" w:color="auto"/>
              <w:bottom w:val="single" w:sz="4" w:space="0" w:color="auto"/>
              <w:right w:val="single" w:sz="4" w:space="0" w:color="auto"/>
            </w:tcBorders>
          </w:tcPr>
          <w:p w14:paraId="5761BEB8" w14:textId="77777777" w:rsidR="001D4E30" w:rsidRPr="008B1465" w:rsidRDefault="00BD5047" w:rsidP="00D8335C">
            <w:pPr>
              <w:pStyle w:val="NoSpacing"/>
              <w:rPr>
                <w:rFonts w:ascii="Times New Roman" w:eastAsia="Calibri" w:hAnsi="Times New Roman"/>
                <w:sz w:val="24"/>
                <w:szCs w:val="24"/>
              </w:rPr>
            </w:pPr>
            <w:r w:rsidRPr="008B1465">
              <w:rPr>
                <w:rFonts w:ascii="Times New Roman" w:eastAsia="Calibri" w:hAnsi="Times New Roman"/>
                <w:sz w:val="24"/>
                <w:szCs w:val="24"/>
              </w:rPr>
              <w:t>B</w:t>
            </w:r>
            <w:r w:rsidR="001D4E30" w:rsidRPr="008B1465">
              <w:rPr>
                <w:rFonts w:ascii="Times New Roman" w:eastAsia="Calibri" w:hAnsi="Times New Roman"/>
                <w:sz w:val="24"/>
                <w:szCs w:val="24"/>
              </w:rPr>
              <w:t xml:space="preserve">inary logistic </w:t>
            </w:r>
            <w:r w:rsidR="00D8335C" w:rsidRPr="008B1465">
              <w:rPr>
                <w:rFonts w:ascii="Times New Roman" w:eastAsia="Calibri" w:hAnsi="Times New Roman"/>
                <w:sz w:val="24"/>
                <w:szCs w:val="24"/>
              </w:rPr>
              <w:t>regression and structured questionnaire</w:t>
            </w:r>
          </w:p>
        </w:tc>
        <w:tc>
          <w:tcPr>
            <w:tcW w:w="1291" w:type="pct"/>
            <w:tcBorders>
              <w:top w:val="single" w:sz="4" w:space="0" w:color="auto"/>
              <w:left w:val="single" w:sz="4" w:space="0" w:color="auto"/>
              <w:bottom w:val="single" w:sz="4" w:space="0" w:color="auto"/>
              <w:right w:val="single" w:sz="4" w:space="0" w:color="auto"/>
            </w:tcBorders>
          </w:tcPr>
          <w:p w14:paraId="5BDE8FE7"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Forensic accounting and Investigation would effectively impact corporate governance by improving the management accountability, internal control system and financial reporting system.</w:t>
            </w:r>
          </w:p>
          <w:p w14:paraId="044382D0"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It will also help in reducing corporate collapse and impoverishment of investors which can influence corporate growth and achievement. </w:t>
            </w:r>
          </w:p>
        </w:tc>
        <w:tc>
          <w:tcPr>
            <w:tcW w:w="1000" w:type="pct"/>
            <w:tcBorders>
              <w:top w:val="single" w:sz="4" w:space="0" w:color="auto"/>
              <w:left w:val="single" w:sz="4" w:space="0" w:color="auto"/>
              <w:bottom w:val="single" w:sz="4" w:space="0" w:color="auto"/>
              <w:right w:val="single" w:sz="4" w:space="0" w:color="auto"/>
            </w:tcBorders>
          </w:tcPr>
          <w:p w14:paraId="2CFE1CA3"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Restricted to Ekiti State and the sample size is 100</w:t>
            </w:r>
          </w:p>
        </w:tc>
      </w:tr>
      <w:tr w:rsidR="000B5622" w:rsidRPr="008B1465" w14:paraId="0C70C41B" w14:textId="77777777" w:rsidTr="007E4D0F">
        <w:tc>
          <w:tcPr>
            <w:tcW w:w="292" w:type="pct"/>
            <w:tcBorders>
              <w:top w:val="single" w:sz="4" w:space="0" w:color="auto"/>
              <w:left w:val="single" w:sz="4" w:space="0" w:color="auto"/>
              <w:bottom w:val="single" w:sz="4" w:space="0" w:color="auto"/>
              <w:right w:val="single" w:sz="4" w:space="0" w:color="auto"/>
            </w:tcBorders>
          </w:tcPr>
          <w:p w14:paraId="4F7C727A"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74409286" w14:textId="77777777" w:rsidR="001D4E30" w:rsidRPr="008B1465" w:rsidRDefault="001D4E30" w:rsidP="007541CB">
            <w:pPr>
              <w:pStyle w:val="NoSpacing"/>
              <w:rPr>
                <w:rFonts w:ascii="Times New Roman" w:eastAsia="Calibri" w:hAnsi="Times New Roman"/>
                <w:sz w:val="24"/>
                <w:szCs w:val="24"/>
              </w:rPr>
            </w:pPr>
            <w:r w:rsidRPr="008B1465">
              <w:rPr>
                <w:rFonts w:ascii="Times New Roman" w:hAnsi="Times New Roman"/>
                <w:sz w:val="24"/>
                <w:szCs w:val="24"/>
                <w:shd w:val="clear" w:color="auto" w:fill="FFFFFF"/>
              </w:rPr>
              <w:t>Nosiri, Abiahu &amp; Uwakwe, (2021).</w:t>
            </w:r>
          </w:p>
        </w:tc>
        <w:tc>
          <w:tcPr>
            <w:tcW w:w="875" w:type="pct"/>
            <w:tcBorders>
              <w:top w:val="single" w:sz="4" w:space="0" w:color="auto"/>
              <w:left w:val="single" w:sz="4" w:space="0" w:color="auto"/>
              <w:bottom w:val="single" w:sz="4" w:space="0" w:color="auto"/>
              <w:right w:val="single" w:sz="4" w:space="0" w:color="auto"/>
            </w:tcBorders>
          </w:tcPr>
          <w:p w14:paraId="6C422792"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Forensic Accounting and Tax Fraud Detection In The Nigerian Public Sector</w:t>
            </w:r>
          </w:p>
        </w:tc>
        <w:tc>
          <w:tcPr>
            <w:tcW w:w="876" w:type="pct"/>
            <w:tcBorders>
              <w:top w:val="single" w:sz="4" w:space="0" w:color="auto"/>
              <w:left w:val="single" w:sz="4" w:space="0" w:color="auto"/>
              <w:bottom w:val="single" w:sz="4" w:space="0" w:color="auto"/>
              <w:right w:val="single" w:sz="4" w:space="0" w:color="auto"/>
            </w:tcBorders>
          </w:tcPr>
          <w:p w14:paraId="40F506D9"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Content Analysis (Secondary sources of Date)</w:t>
            </w:r>
          </w:p>
        </w:tc>
        <w:tc>
          <w:tcPr>
            <w:tcW w:w="1291" w:type="pct"/>
            <w:tcBorders>
              <w:top w:val="single" w:sz="4" w:space="0" w:color="auto"/>
              <w:left w:val="single" w:sz="4" w:space="0" w:color="auto"/>
              <w:bottom w:val="single" w:sz="4" w:space="0" w:color="auto"/>
              <w:right w:val="single" w:sz="4" w:space="0" w:color="auto"/>
            </w:tcBorders>
          </w:tcPr>
          <w:p w14:paraId="13148196"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Forensic accounting reduces the occurrence of tax fraud in the public sector.</w:t>
            </w:r>
          </w:p>
        </w:tc>
        <w:tc>
          <w:tcPr>
            <w:tcW w:w="1000" w:type="pct"/>
            <w:tcBorders>
              <w:top w:val="single" w:sz="4" w:space="0" w:color="auto"/>
              <w:left w:val="single" w:sz="4" w:space="0" w:color="auto"/>
              <w:bottom w:val="single" w:sz="4" w:space="0" w:color="auto"/>
              <w:right w:val="single" w:sz="4" w:space="0" w:color="auto"/>
            </w:tcBorders>
          </w:tcPr>
          <w:p w14:paraId="14BC074D"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Only literature was reviewed</w:t>
            </w:r>
          </w:p>
        </w:tc>
      </w:tr>
      <w:tr w:rsidR="000B5622" w:rsidRPr="008B1465" w14:paraId="0208CC7B" w14:textId="77777777" w:rsidTr="007E4D0F">
        <w:tc>
          <w:tcPr>
            <w:tcW w:w="292" w:type="pct"/>
            <w:tcBorders>
              <w:top w:val="single" w:sz="4" w:space="0" w:color="auto"/>
              <w:left w:val="single" w:sz="4" w:space="0" w:color="auto"/>
              <w:bottom w:val="single" w:sz="4" w:space="0" w:color="auto"/>
              <w:right w:val="single" w:sz="4" w:space="0" w:color="auto"/>
            </w:tcBorders>
          </w:tcPr>
          <w:p w14:paraId="5D1FFCF3"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2F37D882" w14:textId="77777777" w:rsidR="001D4E30" w:rsidRPr="008B1465" w:rsidRDefault="001D4E30" w:rsidP="007541CB">
            <w:pPr>
              <w:pStyle w:val="NoSpacing"/>
              <w:rPr>
                <w:rFonts w:ascii="Times New Roman" w:eastAsia="Calibri" w:hAnsi="Times New Roman"/>
                <w:sz w:val="24"/>
                <w:szCs w:val="24"/>
              </w:rPr>
            </w:pPr>
            <w:r w:rsidRPr="008B1465">
              <w:rPr>
                <w:rFonts w:ascii="Times New Roman" w:hAnsi="Times New Roman"/>
                <w:sz w:val="24"/>
                <w:szCs w:val="24"/>
                <w:shd w:val="clear" w:color="auto" w:fill="FFFFFF"/>
              </w:rPr>
              <w:t>Alshurafat,  Al</w:t>
            </w:r>
            <w:r w:rsidR="000F5054" w:rsidRPr="008B1465">
              <w:rPr>
                <w:rFonts w:ascii="Times New Roman" w:hAnsi="Times New Roman"/>
                <w:sz w:val="24"/>
                <w:szCs w:val="24"/>
                <w:shd w:val="clear" w:color="auto" w:fill="FFFFFF"/>
              </w:rPr>
              <w:t>-</w:t>
            </w:r>
            <w:r w:rsidRPr="008B1465">
              <w:rPr>
                <w:rFonts w:ascii="Times New Roman" w:hAnsi="Times New Roman"/>
                <w:sz w:val="24"/>
                <w:szCs w:val="24"/>
                <w:shd w:val="clear" w:color="auto" w:fill="FFFFFF"/>
              </w:rPr>
              <w:t>Shbail, &amp; Mansour, (2021</w:t>
            </w:r>
          </w:p>
        </w:tc>
        <w:tc>
          <w:tcPr>
            <w:tcW w:w="875" w:type="pct"/>
            <w:tcBorders>
              <w:top w:val="single" w:sz="4" w:space="0" w:color="auto"/>
              <w:left w:val="single" w:sz="4" w:space="0" w:color="auto"/>
              <w:bottom w:val="single" w:sz="4" w:space="0" w:color="auto"/>
              <w:right w:val="single" w:sz="4" w:space="0" w:color="auto"/>
            </w:tcBorders>
          </w:tcPr>
          <w:p w14:paraId="0C79D217"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Strengths and weakness of forensic accounting: An implication on the socio-economic development</w:t>
            </w:r>
          </w:p>
        </w:tc>
        <w:tc>
          <w:tcPr>
            <w:tcW w:w="876" w:type="pct"/>
            <w:tcBorders>
              <w:top w:val="single" w:sz="4" w:space="0" w:color="auto"/>
              <w:left w:val="single" w:sz="4" w:space="0" w:color="auto"/>
              <w:bottom w:val="single" w:sz="4" w:space="0" w:color="auto"/>
              <w:right w:val="single" w:sz="4" w:space="0" w:color="auto"/>
            </w:tcBorders>
          </w:tcPr>
          <w:p w14:paraId="387D6E2F"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Literature review method (a review of forensic accounting journals)</w:t>
            </w:r>
          </w:p>
        </w:tc>
        <w:tc>
          <w:tcPr>
            <w:tcW w:w="1291" w:type="pct"/>
            <w:tcBorders>
              <w:top w:val="single" w:sz="4" w:space="0" w:color="auto"/>
              <w:left w:val="single" w:sz="4" w:space="0" w:color="auto"/>
              <w:bottom w:val="single" w:sz="4" w:space="0" w:color="auto"/>
              <w:right w:val="single" w:sz="4" w:space="0" w:color="auto"/>
            </w:tcBorders>
          </w:tcPr>
          <w:p w14:paraId="3EF8D2E5"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Forensic accounting has a significant impact to deter fraud and reduce he risk of being a fraud victim</w:t>
            </w:r>
          </w:p>
        </w:tc>
        <w:tc>
          <w:tcPr>
            <w:tcW w:w="1000" w:type="pct"/>
            <w:tcBorders>
              <w:top w:val="single" w:sz="4" w:space="0" w:color="auto"/>
              <w:left w:val="single" w:sz="4" w:space="0" w:color="auto"/>
              <w:bottom w:val="single" w:sz="4" w:space="0" w:color="auto"/>
              <w:right w:val="single" w:sz="4" w:space="0" w:color="auto"/>
            </w:tcBorders>
          </w:tcPr>
          <w:p w14:paraId="6ABF8284"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Only literature was reviewed </w:t>
            </w:r>
          </w:p>
          <w:p w14:paraId="4FFEEE4C"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(2004 - 2020)</w:t>
            </w:r>
          </w:p>
        </w:tc>
      </w:tr>
      <w:tr w:rsidR="000B5622" w:rsidRPr="008B1465" w14:paraId="1D0E8A09" w14:textId="77777777" w:rsidTr="007E4D0F">
        <w:tc>
          <w:tcPr>
            <w:tcW w:w="292" w:type="pct"/>
            <w:tcBorders>
              <w:top w:val="single" w:sz="4" w:space="0" w:color="auto"/>
              <w:left w:val="single" w:sz="4" w:space="0" w:color="auto"/>
              <w:bottom w:val="single" w:sz="4" w:space="0" w:color="auto"/>
              <w:right w:val="single" w:sz="4" w:space="0" w:color="auto"/>
            </w:tcBorders>
          </w:tcPr>
          <w:p w14:paraId="26992942"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5CD080A6" w14:textId="77777777" w:rsidR="001D4E30" w:rsidRPr="008B1465" w:rsidRDefault="001D4E30" w:rsidP="007541CB">
            <w:pPr>
              <w:pStyle w:val="NoSpacing"/>
              <w:rPr>
                <w:rFonts w:ascii="Times New Roman" w:eastAsia="Calibri" w:hAnsi="Times New Roman"/>
                <w:sz w:val="24"/>
                <w:szCs w:val="24"/>
              </w:rPr>
            </w:pPr>
            <w:r w:rsidRPr="008B1465">
              <w:rPr>
                <w:rFonts w:ascii="Times New Roman" w:hAnsi="Times New Roman"/>
                <w:sz w:val="24"/>
                <w:szCs w:val="24"/>
                <w:shd w:val="clear" w:color="auto" w:fill="FFFFFF"/>
              </w:rPr>
              <w:t>Henry &amp; Ganiyu, (2017)</w:t>
            </w:r>
          </w:p>
        </w:tc>
        <w:tc>
          <w:tcPr>
            <w:tcW w:w="875" w:type="pct"/>
            <w:tcBorders>
              <w:top w:val="single" w:sz="4" w:space="0" w:color="auto"/>
              <w:left w:val="single" w:sz="4" w:space="0" w:color="auto"/>
              <w:bottom w:val="single" w:sz="4" w:space="0" w:color="auto"/>
              <w:right w:val="single" w:sz="4" w:space="0" w:color="auto"/>
            </w:tcBorders>
          </w:tcPr>
          <w:p w14:paraId="45E44F93"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Effect of Forensic Accounting Services on Fraud Reduction in the Nigerian Banking Industry</w:t>
            </w:r>
          </w:p>
        </w:tc>
        <w:tc>
          <w:tcPr>
            <w:tcW w:w="876" w:type="pct"/>
            <w:tcBorders>
              <w:top w:val="single" w:sz="4" w:space="0" w:color="auto"/>
              <w:left w:val="single" w:sz="4" w:space="0" w:color="auto"/>
              <w:bottom w:val="single" w:sz="4" w:space="0" w:color="auto"/>
              <w:right w:val="single" w:sz="4" w:space="0" w:color="auto"/>
            </w:tcBorders>
          </w:tcPr>
          <w:p w14:paraId="62CD8A20"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Survey research method</w:t>
            </w:r>
          </w:p>
          <w:p w14:paraId="0238D1A9"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Primary Data (Questionnaires)</w:t>
            </w:r>
          </w:p>
          <w:p w14:paraId="58CFE050"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Classical Linear Regrssion Model</w:t>
            </w:r>
          </w:p>
          <w:p w14:paraId="39DD4571"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(CLRM)</w:t>
            </w:r>
          </w:p>
        </w:tc>
        <w:tc>
          <w:tcPr>
            <w:tcW w:w="1291" w:type="pct"/>
            <w:tcBorders>
              <w:top w:val="single" w:sz="4" w:space="0" w:color="auto"/>
              <w:left w:val="single" w:sz="4" w:space="0" w:color="auto"/>
              <w:bottom w:val="single" w:sz="4" w:space="0" w:color="auto"/>
              <w:right w:val="single" w:sz="4" w:space="0" w:color="auto"/>
            </w:tcBorders>
          </w:tcPr>
          <w:p w14:paraId="78BDCB80"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Forensic accounting services have a significant effect in reducing fraud in the Nigerian Banking Industry.</w:t>
            </w:r>
          </w:p>
        </w:tc>
        <w:tc>
          <w:tcPr>
            <w:tcW w:w="1000" w:type="pct"/>
            <w:tcBorders>
              <w:top w:val="single" w:sz="4" w:space="0" w:color="auto"/>
              <w:left w:val="single" w:sz="4" w:space="0" w:color="auto"/>
              <w:bottom w:val="single" w:sz="4" w:space="0" w:color="auto"/>
              <w:right w:val="single" w:sz="4" w:space="0" w:color="auto"/>
            </w:tcBorders>
          </w:tcPr>
          <w:p w14:paraId="2434EA55"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It dwelt on Nigeria banking industry alone.</w:t>
            </w:r>
          </w:p>
        </w:tc>
      </w:tr>
      <w:tr w:rsidR="000B5622" w:rsidRPr="008B1465" w14:paraId="268B9957" w14:textId="77777777" w:rsidTr="007E4D0F">
        <w:tc>
          <w:tcPr>
            <w:tcW w:w="292" w:type="pct"/>
            <w:tcBorders>
              <w:top w:val="single" w:sz="4" w:space="0" w:color="auto"/>
              <w:left w:val="single" w:sz="4" w:space="0" w:color="auto"/>
              <w:bottom w:val="single" w:sz="4" w:space="0" w:color="auto"/>
              <w:right w:val="single" w:sz="4" w:space="0" w:color="auto"/>
            </w:tcBorders>
          </w:tcPr>
          <w:p w14:paraId="51D235DD"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08693AC7" w14:textId="77777777" w:rsidR="001D4E30" w:rsidRPr="008B1465" w:rsidRDefault="001D4E30" w:rsidP="007541CB">
            <w:pPr>
              <w:pStyle w:val="NoSpacing"/>
              <w:rPr>
                <w:rFonts w:ascii="Times New Roman" w:eastAsia="Calibri" w:hAnsi="Times New Roman"/>
                <w:sz w:val="24"/>
                <w:szCs w:val="24"/>
              </w:rPr>
            </w:pPr>
            <w:r w:rsidRPr="008B1465">
              <w:rPr>
                <w:rFonts w:ascii="Times New Roman" w:hAnsi="Times New Roman"/>
                <w:sz w:val="24"/>
                <w:szCs w:val="24"/>
                <w:shd w:val="clear" w:color="auto" w:fill="FFFFFF"/>
              </w:rPr>
              <w:t>Madu-Chimau, Egbunike &amp; Okoro, (2020).</w:t>
            </w:r>
          </w:p>
        </w:tc>
        <w:tc>
          <w:tcPr>
            <w:tcW w:w="875" w:type="pct"/>
            <w:tcBorders>
              <w:top w:val="single" w:sz="4" w:space="0" w:color="auto"/>
              <w:left w:val="single" w:sz="4" w:space="0" w:color="auto"/>
              <w:bottom w:val="single" w:sz="4" w:space="0" w:color="auto"/>
              <w:right w:val="single" w:sz="4" w:space="0" w:color="auto"/>
            </w:tcBorders>
          </w:tcPr>
          <w:p w14:paraId="48008F74"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Forensic Auditing and Fraud </w:t>
            </w:r>
          </w:p>
          <w:p w14:paraId="588C2098"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Detection in Nigeria: Evidence from Publicly Quoted Commercial Banks</w:t>
            </w:r>
          </w:p>
        </w:tc>
        <w:tc>
          <w:tcPr>
            <w:tcW w:w="876" w:type="pct"/>
            <w:tcBorders>
              <w:top w:val="single" w:sz="4" w:space="0" w:color="auto"/>
              <w:left w:val="single" w:sz="4" w:space="0" w:color="auto"/>
              <w:bottom w:val="single" w:sz="4" w:space="0" w:color="auto"/>
              <w:right w:val="single" w:sz="4" w:space="0" w:color="auto"/>
            </w:tcBorders>
          </w:tcPr>
          <w:p w14:paraId="12CB3DB0"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Survey research deign </w:t>
            </w:r>
          </w:p>
          <w:p w14:paraId="1A0A53F2"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Descriptive (mean and standard deviation) and inferential (Lawley’s Correlation)</w:t>
            </w:r>
          </w:p>
        </w:tc>
        <w:tc>
          <w:tcPr>
            <w:tcW w:w="1291" w:type="pct"/>
            <w:tcBorders>
              <w:top w:val="single" w:sz="4" w:space="0" w:color="auto"/>
              <w:left w:val="single" w:sz="4" w:space="0" w:color="auto"/>
              <w:bottom w:val="single" w:sz="4" w:space="0" w:color="auto"/>
              <w:right w:val="single" w:sz="4" w:space="0" w:color="auto"/>
            </w:tcBorders>
          </w:tcPr>
          <w:p w14:paraId="19431793"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Forensic accounting services have a significant effect in reducing fraud in the Nigerian Banking Industry.</w:t>
            </w:r>
          </w:p>
        </w:tc>
        <w:tc>
          <w:tcPr>
            <w:tcW w:w="1000" w:type="pct"/>
            <w:tcBorders>
              <w:top w:val="single" w:sz="4" w:space="0" w:color="auto"/>
              <w:left w:val="single" w:sz="4" w:space="0" w:color="auto"/>
              <w:bottom w:val="single" w:sz="4" w:space="0" w:color="auto"/>
              <w:right w:val="single" w:sz="4" w:space="0" w:color="auto"/>
            </w:tcBorders>
          </w:tcPr>
          <w:p w14:paraId="3DEC1FC5"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It dwelt on Nigeria banking industry alone.</w:t>
            </w:r>
          </w:p>
        </w:tc>
      </w:tr>
      <w:tr w:rsidR="000B5622" w:rsidRPr="008B1465" w14:paraId="7C19DC3D" w14:textId="77777777" w:rsidTr="007E4D0F">
        <w:tc>
          <w:tcPr>
            <w:tcW w:w="292" w:type="pct"/>
            <w:tcBorders>
              <w:top w:val="single" w:sz="4" w:space="0" w:color="auto"/>
              <w:left w:val="single" w:sz="4" w:space="0" w:color="auto"/>
              <w:bottom w:val="single" w:sz="4" w:space="0" w:color="auto"/>
              <w:right w:val="single" w:sz="4" w:space="0" w:color="auto"/>
            </w:tcBorders>
          </w:tcPr>
          <w:p w14:paraId="5486711A"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44ADCBC3" w14:textId="77777777" w:rsidR="001D4E30" w:rsidRPr="008B1465" w:rsidRDefault="001D4E30" w:rsidP="007541CB">
            <w:pPr>
              <w:pStyle w:val="NoSpacing"/>
              <w:rPr>
                <w:rFonts w:ascii="Times New Roman" w:eastAsia="Calibri" w:hAnsi="Times New Roman"/>
                <w:sz w:val="24"/>
                <w:szCs w:val="24"/>
              </w:rPr>
            </w:pPr>
            <w:r w:rsidRPr="008B1465">
              <w:rPr>
                <w:rFonts w:ascii="Times New Roman" w:hAnsi="Times New Roman"/>
                <w:sz w:val="24"/>
                <w:szCs w:val="24"/>
                <w:shd w:val="clear" w:color="auto" w:fill="FFFFFF"/>
              </w:rPr>
              <w:t>Biçer &amp; Issa (2017).</w:t>
            </w:r>
          </w:p>
        </w:tc>
        <w:tc>
          <w:tcPr>
            <w:tcW w:w="875" w:type="pct"/>
            <w:tcBorders>
              <w:top w:val="single" w:sz="4" w:space="0" w:color="auto"/>
              <w:left w:val="single" w:sz="4" w:space="0" w:color="auto"/>
              <w:bottom w:val="single" w:sz="4" w:space="0" w:color="auto"/>
              <w:right w:val="single" w:sz="4" w:space="0" w:color="auto"/>
            </w:tcBorders>
          </w:tcPr>
          <w:p w14:paraId="5A6EBF18" w14:textId="77777777" w:rsidR="001D4E30" w:rsidRPr="008B1465" w:rsidRDefault="001D4E30" w:rsidP="007541CB">
            <w:pPr>
              <w:pStyle w:val="NoSpacing"/>
              <w:rPr>
                <w:rFonts w:ascii="Times New Roman" w:eastAsia="Calibri" w:hAnsi="Times New Roman"/>
                <w:sz w:val="24"/>
                <w:szCs w:val="24"/>
              </w:rPr>
            </w:pPr>
            <w:r w:rsidRPr="008B1465">
              <w:rPr>
                <w:rFonts w:ascii="Times New Roman" w:hAnsi="Times New Roman"/>
                <w:sz w:val="24"/>
                <w:szCs w:val="24"/>
                <w:shd w:val="clear" w:color="auto" w:fill="FFFFFF"/>
              </w:rPr>
              <w:t>Perception of Forensic Accounting Education as a Tool for Anti-Fraud in Libya. </w:t>
            </w:r>
          </w:p>
        </w:tc>
        <w:tc>
          <w:tcPr>
            <w:tcW w:w="876" w:type="pct"/>
            <w:tcBorders>
              <w:top w:val="single" w:sz="4" w:space="0" w:color="auto"/>
              <w:left w:val="single" w:sz="4" w:space="0" w:color="auto"/>
              <w:bottom w:val="single" w:sz="4" w:space="0" w:color="auto"/>
              <w:right w:val="single" w:sz="4" w:space="0" w:color="auto"/>
            </w:tcBorders>
          </w:tcPr>
          <w:p w14:paraId="65A5F1F4"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Statistics Test (Cronbach Alpha)</w:t>
            </w:r>
          </w:p>
        </w:tc>
        <w:tc>
          <w:tcPr>
            <w:tcW w:w="1291" w:type="pct"/>
            <w:tcBorders>
              <w:top w:val="single" w:sz="4" w:space="0" w:color="auto"/>
              <w:left w:val="single" w:sz="4" w:space="0" w:color="auto"/>
              <w:bottom w:val="single" w:sz="4" w:space="0" w:color="auto"/>
              <w:right w:val="single" w:sz="4" w:space="0" w:color="auto"/>
            </w:tcBorders>
          </w:tcPr>
          <w:p w14:paraId="2A400F9C"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There’s was a high demand for and high interest in forensic accounting education and practice in Libya, also they were willing for the proposed forensic accounting topics to be incorporate into accounting curriculum in Lbya.</w:t>
            </w:r>
          </w:p>
        </w:tc>
        <w:tc>
          <w:tcPr>
            <w:tcW w:w="1000" w:type="pct"/>
            <w:tcBorders>
              <w:top w:val="single" w:sz="4" w:space="0" w:color="auto"/>
              <w:left w:val="single" w:sz="4" w:space="0" w:color="auto"/>
              <w:bottom w:val="single" w:sz="4" w:space="0" w:color="auto"/>
              <w:right w:val="single" w:sz="4" w:space="0" w:color="auto"/>
            </w:tcBorders>
          </w:tcPr>
          <w:p w14:paraId="76A391B6" w14:textId="77777777" w:rsidR="001D4E30" w:rsidRPr="008B1465" w:rsidRDefault="00D8335C" w:rsidP="007541CB">
            <w:pPr>
              <w:pStyle w:val="NoSpacing"/>
              <w:rPr>
                <w:rFonts w:ascii="Times New Roman" w:eastAsia="Calibri" w:hAnsi="Times New Roman"/>
                <w:sz w:val="24"/>
                <w:szCs w:val="24"/>
              </w:rPr>
            </w:pPr>
            <w:r w:rsidRPr="008B1465">
              <w:rPr>
                <w:rFonts w:ascii="Times New Roman" w:eastAsia="Calibri" w:hAnsi="Times New Roman"/>
                <w:sz w:val="24"/>
                <w:szCs w:val="24"/>
              </w:rPr>
              <w:t>Study limited to</w:t>
            </w:r>
            <w:r w:rsidR="001B5B97" w:rsidRPr="008B1465">
              <w:rPr>
                <w:rFonts w:ascii="Times New Roman" w:eastAsia="Calibri" w:hAnsi="Times New Roman"/>
                <w:sz w:val="24"/>
                <w:szCs w:val="24"/>
              </w:rPr>
              <w:t xml:space="preserve"> a</w:t>
            </w:r>
            <w:r w:rsidRPr="008B1465">
              <w:rPr>
                <w:rFonts w:ascii="Times New Roman" w:eastAsia="Calibri" w:hAnsi="Times New Roman"/>
                <w:sz w:val="24"/>
                <w:szCs w:val="24"/>
              </w:rPr>
              <w:t xml:space="preserve"> part</w:t>
            </w:r>
            <w:r w:rsidR="00003CA1" w:rsidRPr="008B1465">
              <w:rPr>
                <w:rFonts w:ascii="Times New Roman" w:eastAsia="Calibri" w:hAnsi="Times New Roman"/>
                <w:sz w:val="24"/>
                <w:szCs w:val="24"/>
              </w:rPr>
              <w:t xml:space="preserve"> of</w:t>
            </w:r>
            <w:r w:rsidR="001D4E30" w:rsidRPr="008B1465">
              <w:rPr>
                <w:rFonts w:ascii="Times New Roman" w:eastAsia="Calibri" w:hAnsi="Times New Roman"/>
                <w:sz w:val="24"/>
                <w:szCs w:val="24"/>
              </w:rPr>
              <w:t xml:space="preserve"> Libya</w:t>
            </w:r>
          </w:p>
        </w:tc>
      </w:tr>
      <w:tr w:rsidR="000B5622" w:rsidRPr="008B1465" w14:paraId="1089CDE7" w14:textId="77777777" w:rsidTr="007E4D0F">
        <w:tc>
          <w:tcPr>
            <w:tcW w:w="292" w:type="pct"/>
            <w:tcBorders>
              <w:top w:val="single" w:sz="4" w:space="0" w:color="auto"/>
              <w:left w:val="single" w:sz="4" w:space="0" w:color="auto"/>
              <w:bottom w:val="single" w:sz="4" w:space="0" w:color="auto"/>
              <w:right w:val="single" w:sz="4" w:space="0" w:color="auto"/>
            </w:tcBorders>
          </w:tcPr>
          <w:p w14:paraId="07230A5F"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66519BE0" w14:textId="77777777" w:rsidR="001D4E30" w:rsidRPr="008B1465" w:rsidRDefault="001D4E30" w:rsidP="007541CB">
            <w:pPr>
              <w:pStyle w:val="NoSpacing"/>
              <w:rPr>
                <w:rFonts w:ascii="Times New Roman" w:eastAsia="Calibri" w:hAnsi="Times New Roman"/>
                <w:sz w:val="24"/>
                <w:szCs w:val="24"/>
              </w:rPr>
            </w:pPr>
            <w:r w:rsidRPr="008B1465">
              <w:rPr>
                <w:rFonts w:ascii="Times New Roman" w:hAnsi="Times New Roman"/>
                <w:sz w:val="24"/>
                <w:szCs w:val="24"/>
                <w:shd w:val="clear" w:color="auto" w:fill="FFFFFF"/>
              </w:rPr>
              <w:t>Ukoma (2019)</w:t>
            </w:r>
          </w:p>
        </w:tc>
        <w:tc>
          <w:tcPr>
            <w:tcW w:w="875" w:type="pct"/>
            <w:tcBorders>
              <w:top w:val="single" w:sz="4" w:space="0" w:color="auto"/>
              <w:left w:val="single" w:sz="4" w:space="0" w:color="auto"/>
              <w:bottom w:val="single" w:sz="4" w:space="0" w:color="auto"/>
              <w:right w:val="single" w:sz="4" w:space="0" w:color="auto"/>
            </w:tcBorders>
          </w:tcPr>
          <w:p w14:paraId="63D5D782"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Effect of Forensic Auditing on Reading Fraud Cases In Nigeria Money Deposit Banks</w:t>
            </w:r>
          </w:p>
        </w:tc>
        <w:tc>
          <w:tcPr>
            <w:tcW w:w="876" w:type="pct"/>
            <w:tcBorders>
              <w:top w:val="single" w:sz="4" w:space="0" w:color="auto"/>
              <w:left w:val="single" w:sz="4" w:space="0" w:color="auto"/>
              <w:bottom w:val="single" w:sz="4" w:space="0" w:color="auto"/>
              <w:right w:val="single" w:sz="4" w:space="0" w:color="auto"/>
            </w:tcBorders>
          </w:tcPr>
          <w:p w14:paraId="1DB98F17"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Descriptive and inferential statistical method [Ordinary Least Square (OLS) regression technique].</w:t>
            </w:r>
          </w:p>
        </w:tc>
        <w:tc>
          <w:tcPr>
            <w:tcW w:w="1291" w:type="pct"/>
            <w:tcBorders>
              <w:top w:val="single" w:sz="4" w:space="0" w:color="auto"/>
              <w:left w:val="single" w:sz="4" w:space="0" w:color="auto"/>
              <w:bottom w:val="single" w:sz="4" w:space="0" w:color="auto"/>
              <w:right w:val="single" w:sz="4" w:space="0" w:color="auto"/>
            </w:tcBorders>
          </w:tcPr>
          <w:p w14:paraId="72B3184E"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Forensic auditing services significantly associated with the internal control systems and cash management systems of DMBs but not significantly associated with loan processing and repayment system.</w:t>
            </w:r>
          </w:p>
          <w:p w14:paraId="5BB855F4"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The application of Forensic Auditing will significantly reduce the fraud cases in DMBs in Nigeria.</w:t>
            </w:r>
          </w:p>
        </w:tc>
        <w:tc>
          <w:tcPr>
            <w:tcW w:w="1000" w:type="pct"/>
            <w:tcBorders>
              <w:top w:val="single" w:sz="4" w:space="0" w:color="auto"/>
              <w:left w:val="single" w:sz="4" w:space="0" w:color="auto"/>
              <w:bottom w:val="single" w:sz="4" w:space="0" w:color="auto"/>
              <w:right w:val="single" w:sz="4" w:space="0" w:color="auto"/>
            </w:tcBorders>
          </w:tcPr>
          <w:p w14:paraId="49C667F4"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Limited to Deposit Money Banks in Nigerian.</w:t>
            </w:r>
          </w:p>
          <w:p w14:paraId="5B8ECE36"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16 banks and 48 sample size.</w:t>
            </w:r>
          </w:p>
        </w:tc>
      </w:tr>
      <w:tr w:rsidR="000B5622" w:rsidRPr="008B1465" w14:paraId="0A70FF1F" w14:textId="77777777" w:rsidTr="007E4D0F">
        <w:tc>
          <w:tcPr>
            <w:tcW w:w="292" w:type="pct"/>
            <w:tcBorders>
              <w:top w:val="single" w:sz="4" w:space="0" w:color="auto"/>
              <w:left w:val="single" w:sz="4" w:space="0" w:color="auto"/>
              <w:bottom w:val="single" w:sz="4" w:space="0" w:color="auto"/>
              <w:right w:val="single" w:sz="4" w:space="0" w:color="auto"/>
            </w:tcBorders>
          </w:tcPr>
          <w:p w14:paraId="11ACDA0F"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2F361B56"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Friday &amp;</w:t>
            </w:r>
          </w:p>
          <w:p w14:paraId="49C37A53"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Crumbley</w:t>
            </w:r>
          </w:p>
          <w:p w14:paraId="6B3891F3"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(2021)</w:t>
            </w:r>
          </w:p>
        </w:tc>
        <w:tc>
          <w:tcPr>
            <w:tcW w:w="875" w:type="pct"/>
            <w:tcBorders>
              <w:top w:val="single" w:sz="4" w:space="0" w:color="auto"/>
              <w:left w:val="single" w:sz="4" w:space="0" w:color="auto"/>
              <w:bottom w:val="single" w:sz="4" w:space="0" w:color="auto"/>
              <w:right w:val="single" w:sz="4" w:space="0" w:color="auto"/>
            </w:tcBorders>
          </w:tcPr>
          <w:p w14:paraId="74440246"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Integrating Forensic Accounting Technique for successful investigation and prosecution of economic and financial crime in Nigeria</w:t>
            </w:r>
          </w:p>
        </w:tc>
        <w:tc>
          <w:tcPr>
            <w:tcW w:w="876" w:type="pct"/>
            <w:tcBorders>
              <w:top w:val="single" w:sz="4" w:space="0" w:color="auto"/>
              <w:left w:val="single" w:sz="4" w:space="0" w:color="auto"/>
              <w:bottom w:val="single" w:sz="4" w:space="0" w:color="auto"/>
              <w:right w:val="single" w:sz="4" w:space="0" w:color="auto"/>
            </w:tcBorders>
          </w:tcPr>
          <w:p w14:paraId="70181FF4"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Non-Probability</w:t>
            </w:r>
          </w:p>
          <w:p w14:paraId="688EBC77"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Sampling</w:t>
            </w:r>
            <w:r w:rsidR="00003CA1" w:rsidRPr="008B1465">
              <w:rPr>
                <w:rFonts w:ascii="Times New Roman" w:eastAsia="Calibri" w:hAnsi="Times New Roman"/>
                <w:sz w:val="24"/>
                <w:szCs w:val="24"/>
              </w:rPr>
              <w:t xml:space="preserve"> and </w:t>
            </w:r>
            <w:r w:rsidRPr="008B1465">
              <w:rPr>
                <w:rFonts w:ascii="Times New Roman" w:eastAsia="Calibri" w:hAnsi="Times New Roman"/>
                <w:sz w:val="24"/>
                <w:szCs w:val="24"/>
              </w:rPr>
              <w:t>Chi-square formula</w:t>
            </w:r>
          </w:p>
        </w:tc>
        <w:tc>
          <w:tcPr>
            <w:tcW w:w="1291" w:type="pct"/>
            <w:tcBorders>
              <w:top w:val="single" w:sz="4" w:space="0" w:color="auto"/>
              <w:left w:val="single" w:sz="4" w:space="0" w:color="auto"/>
              <w:bottom w:val="single" w:sz="4" w:space="0" w:color="auto"/>
              <w:right w:val="single" w:sz="4" w:space="0" w:color="auto"/>
            </w:tcBorders>
          </w:tcPr>
          <w:p w14:paraId="46E0FF91"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The application of forensic accounting technique in the prosecution of economic and financial crimes is valuable and appropriate.</w:t>
            </w:r>
          </w:p>
        </w:tc>
        <w:tc>
          <w:tcPr>
            <w:tcW w:w="1000" w:type="pct"/>
            <w:tcBorders>
              <w:top w:val="single" w:sz="4" w:space="0" w:color="auto"/>
              <w:left w:val="single" w:sz="4" w:space="0" w:color="auto"/>
              <w:bottom w:val="single" w:sz="4" w:space="0" w:color="auto"/>
              <w:right w:val="single" w:sz="4" w:space="0" w:color="auto"/>
            </w:tcBorders>
          </w:tcPr>
          <w:p w14:paraId="40B92B74"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Nonprobability method was used without variable. </w:t>
            </w:r>
          </w:p>
          <w:p w14:paraId="1AC4C973"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Only testing of hypothesis was done.</w:t>
            </w:r>
          </w:p>
        </w:tc>
      </w:tr>
      <w:tr w:rsidR="000B5622" w:rsidRPr="008B1465" w14:paraId="43F60741" w14:textId="77777777" w:rsidTr="007E4D0F">
        <w:tc>
          <w:tcPr>
            <w:tcW w:w="292" w:type="pct"/>
            <w:tcBorders>
              <w:top w:val="single" w:sz="4" w:space="0" w:color="auto"/>
              <w:left w:val="single" w:sz="4" w:space="0" w:color="auto"/>
              <w:bottom w:val="single" w:sz="4" w:space="0" w:color="auto"/>
              <w:right w:val="single" w:sz="4" w:space="0" w:color="auto"/>
            </w:tcBorders>
          </w:tcPr>
          <w:p w14:paraId="2BF80089"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64394B0E"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Adegbie,</w:t>
            </w:r>
          </w:p>
          <w:p w14:paraId="05013646"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Dada,</w:t>
            </w:r>
          </w:p>
          <w:p w14:paraId="1A8BDB45"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Owoeye,</w:t>
            </w:r>
          </w:p>
          <w:p w14:paraId="0267B69E"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&amp;</w:t>
            </w:r>
          </w:p>
          <w:p w14:paraId="5FD588FD"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Siyanbola</w:t>
            </w:r>
          </w:p>
          <w:p w14:paraId="1DF53798"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(2020)</w:t>
            </w:r>
          </w:p>
        </w:tc>
        <w:tc>
          <w:tcPr>
            <w:tcW w:w="875" w:type="pct"/>
            <w:tcBorders>
              <w:top w:val="single" w:sz="4" w:space="0" w:color="auto"/>
              <w:left w:val="single" w:sz="4" w:space="0" w:color="auto"/>
              <w:bottom w:val="single" w:sz="4" w:space="0" w:color="auto"/>
              <w:right w:val="single" w:sz="4" w:space="0" w:color="auto"/>
            </w:tcBorders>
          </w:tcPr>
          <w:p w14:paraId="636278FD"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Application of Forensic Accounting Techniques As Antidote For Curbing Fraud In Nigeria Budget Implementation</w:t>
            </w:r>
          </w:p>
        </w:tc>
        <w:tc>
          <w:tcPr>
            <w:tcW w:w="876" w:type="pct"/>
            <w:tcBorders>
              <w:top w:val="single" w:sz="4" w:space="0" w:color="auto"/>
              <w:left w:val="single" w:sz="4" w:space="0" w:color="auto"/>
              <w:bottom w:val="single" w:sz="4" w:space="0" w:color="auto"/>
              <w:right w:val="single" w:sz="4" w:space="0" w:color="auto"/>
            </w:tcBorders>
          </w:tcPr>
          <w:p w14:paraId="53C879A5" w14:textId="06847BAC"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Descriptive and Inferential statistics were used to </w:t>
            </w:r>
            <w:r w:rsidR="003373AE" w:rsidRPr="008B1465">
              <w:rPr>
                <w:rFonts w:ascii="Times New Roman" w:eastAsia="Calibri" w:hAnsi="Times New Roman"/>
                <w:sz w:val="24"/>
                <w:szCs w:val="24"/>
              </w:rPr>
              <w:t>analyze</w:t>
            </w:r>
            <w:r w:rsidRPr="008B1465">
              <w:rPr>
                <w:rFonts w:ascii="Times New Roman" w:eastAsia="Calibri" w:hAnsi="Times New Roman"/>
                <w:sz w:val="24"/>
                <w:szCs w:val="24"/>
              </w:rPr>
              <w:t xml:space="preserve"> the data with the use of Analysis of Variance (ANOVA) to test the hypotheses).</w:t>
            </w:r>
          </w:p>
        </w:tc>
        <w:tc>
          <w:tcPr>
            <w:tcW w:w="1291" w:type="pct"/>
            <w:tcBorders>
              <w:top w:val="single" w:sz="4" w:space="0" w:color="auto"/>
              <w:left w:val="single" w:sz="4" w:space="0" w:color="auto"/>
              <w:bottom w:val="single" w:sz="4" w:space="0" w:color="auto"/>
              <w:right w:val="single" w:sz="4" w:space="0" w:color="auto"/>
            </w:tcBorders>
          </w:tcPr>
          <w:p w14:paraId="4CEF92D2"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The application of forensic accounting techniques has significant effect to curb fraud in the implementation of budget in Nigeria public sector.</w:t>
            </w:r>
          </w:p>
        </w:tc>
        <w:tc>
          <w:tcPr>
            <w:tcW w:w="1000" w:type="pct"/>
            <w:tcBorders>
              <w:top w:val="single" w:sz="4" w:space="0" w:color="auto"/>
              <w:left w:val="single" w:sz="4" w:space="0" w:color="auto"/>
              <w:bottom w:val="single" w:sz="4" w:space="0" w:color="auto"/>
              <w:right w:val="single" w:sz="4" w:space="0" w:color="auto"/>
            </w:tcBorders>
          </w:tcPr>
          <w:p w14:paraId="1DE06100"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Only one department and independent variable were used. Also </w:t>
            </w:r>
            <w:r w:rsidR="00003CA1" w:rsidRPr="008B1465">
              <w:rPr>
                <w:rFonts w:ascii="Times New Roman" w:eastAsia="Calibri" w:hAnsi="Times New Roman"/>
                <w:sz w:val="24"/>
                <w:szCs w:val="24"/>
              </w:rPr>
              <w:t>,</w:t>
            </w:r>
            <w:r w:rsidRPr="008B1465">
              <w:rPr>
                <w:rFonts w:ascii="Times New Roman" w:eastAsia="Calibri" w:hAnsi="Times New Roman"/>
                <w:sz w:val="24"/>
                <w:szCs w:val="24"/>
              </w:rPr>
              <w:t>the study sample size was restricted to 195 staff of federal government establishment connected with budgetary system and fiscal policy</w:t>
            </w:r>
          </w:p>
        </w:tc>
      </w:tr>
      <w:tr w:rsidR="000B5622" w:rsidRPr="008B1465" w14:paraId="3BEFE60A" w14:textId="77777777" w:rsidTr="007E4D0F">
        <w:tc>
          <w:tcPr>
            <w:tcW w:w="292" w:type="pct"/>
            <w:tcBorders>
              <w:top w:val="single" w:sz="4" w:space="0" w:color="auto"/>
              <w:left w:val="single" w:sz="4" w:space="0" w:color="auto"/>
              <w:bottom w:val="single" w:sz="4" w:space="0" w:color="auto"/>
              <w:right w:val="single" w:sz="4" w:space="0" w:color="auto"/>
            </w:tcBorders>
          </w:tcPr>
          <w:p w14:paraId="508122AD"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051C2D6E"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Ogbeide, Aribaba, Fapohunda, &amp; Omoreige (2017)</w:t>
            </w:r>
          </w:p>
        </w:tc>
        <w:tc>
          <w:tcPr>
            <w:tcW w:w="875" w:type="pct"/>
            <w:tcBorders>
              <w:top w:val="single" w:sz="4" w:space="0" w:color="auto"/>
              <w:left w:val="single" w:sz="4" w:space="0" w:color="auto"/>
              <w:bottom w:val="single" w:sz="4" w:space="0" w:color="auto"/>
              <w:right w:val="single" w:sz="4" w:space="0" w:color="auto"/>
            </w:tcBorders>
          </w:tcPr>
          <w:p w14:paraId="25077BA0"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Empirical Assessment of Factors Influencing Intension to use Forensic Accounting Services In Nigeria.</w:t>
            </w:r>
          </w:p>
        </w:tc>
        <w:tc>
          <w:tcPr>
            <w:tcW w:w="876" w:type="pct"/>
            <w:tcBorders>
              <w:top w:val="single" w:sz="4" w:space="0" w:color="auto"/>
              <w:left w:val="single" w:sz="4" w:space="0" w:color="auto"/>
              <w:bottom w:val="single" w:sz="4" w:space="0" w:color="auto"/>
              <w:right w:val="single" w:sz="4" w:space="0" w:color="auto"/>
            </w:tcBorders>
          </w:tcPr>
          <w:p w14:paraId="2B1E787A"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Ordinary least squares multiple regression method</w:t>
            </w:r>
          </w:p>
        </w:tc>
        <w:tc>
          <w:tcPr>
            <w:tcW w:w="1291" w:type="pct"/>
            <w:tcBorders>
              <w:top w:val="single" w:sz="4" w:space="0" w:color="auto"/>
              <w:left w:val="single" w:sz="4" w:space="0" w:color="auto"/>
              <w:bottom w:val="single" w:sz="4" w:space="0" w:color="auto"/>
              <w:right w:val="single" w:sz="4" w:space="0" w:color="auto"/>
            </w:tcBorders>
          </w:tcPr>
          <w:p w14:paraId="4B00A182"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The perceived benefits and perceived risks of using forensic accounting services were largely significant at influencing organizations’ intention to use forensic accounting in fraud detection and prevention in the Nigeria</w:t>
            </w:r>
          </w:p>
        </w:tc>
        <w:tc>
          <w:tcPr>
            <w:tcW w:w="1000" w:type="pct"/>
            <w:tcBorders>
              <w:top w:val="single" w:sz="4" w:space="0" w:color="auto"/>
              <w:left w:val="single" w:sz="4" w:space="0" w:color="auto"/>
              <w:bottom w:val="single" w:sz="4" w:space="0" w:color="auto"/>
              <w:right w:val="single" w:sz="4" w:space="0" w:color="auto"/>
            </w:tcBorders>
          </w:tcPr>
          <w:p w14:paraId="7240D31D"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Two hundred (200) respondents from some selected quoted financial and non-financial companies were randomly selected.</w:t>
            </w:r>
          </w:p>
        </w:tc>
      </w:tr>
      <w:tr w:rsidR="000B5622" w:rsidRPr="008B1465" w14:paraId="734C7905" w14:textId="77777777" w:rsidTr="007E4D0F">
        <w:tc>
          <w:tcPr>
            <w:tcW w:w="292" w:type="pct"/>
            <w:tcBorders>
              <w:top w:val="single" w:sz="4" w:space="0" w:color="auto"/>
              <w:left w:val="single" w:sz="4" w:space="0" w:color="auto"/>
              <w:bottom w:val="single" w:sz="4" w:space="0" w:color="auto"/>
              <w:right w:val="single" w:sz="4" w:space="0" w:color="auto"/>
            </w:tcBorders>
          </w:tcPr>
          <w:p w14:paraId="7D58D3B0"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53BE00C5" w14:textId="77777777" w:rsidR="001D4E30" w:rsidRPr="008B1465" w:rsidRDefault="001D4E30" w:rsidP="007541CB">
            <w:pPr>
              <w:pStyle w:val="NoSpacing"/>
              <w:rPr>
                <w:rFonts w:ascii="Times New Roman" w:eastAsia="Calibri" w:hAnsi="Times New Roman"/>
                <w:sz w:val="24"/>
                <w:szCs w:val="24"/>
              </w:rPr>
            </w:pPr>
            <w:r w:rsidRPr="008B1465">
              <w:rPr>
                <w:rFonts w:ascii="Times New Roman" w:hAnsi="Times New Roman"/>
                <w:sz w:val="24"/>
                <w:szCs w:val="24"/>
                <w:shd w:val="clear" w:color="auto" w:fill="FFFFFF"/>
              </w:rPr>
              <w:t>Hashem (2021)</w:t>
            </w:r>
          </w:p>
        </w:tc>
        <w:tc>
          <w:tcPr>
            <w:tcW w:w="875" w:type="pct"/>
            <w:tcBorders>
              <w:top w:val="single" w:sz="4" w:space="0" w:color="auto"/>
              <w:left w:val="single" w:sz="4" w:space="0" w:color="auto"/>
              <w:bottom w:val="single" w:sz="4" w:space="0" w:color="auto"/>
              <w:right w:val="single" w:sz="4" w:space="0" w:color="auto"/>
            </w:tcBorders>
          </w:tcPr>
          <w:p w14:paraId="3B306CE5"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The Role of Forensic Accounting Techniques in Reducing Cloud Based Accounting Risks in the Jordanian Five Stars Hotels </w:t>
            </w:r>
          </w:p>
        </w:tc>
        <w:tc>
          <w:tcPr>
            <w:tcW w:w="876" w:type="pct"/>
            <w:tcBorders>
              <w:top w:val="single" w:sz="4" w:space="0" w:color="auto"/>
              <w:left w:val="single" w:sz="4" w:space="0" w:color="auto"/>
              <w:bottom w:val="single" w:sz="4" w:space="0" w:color="auto"/>
              <w:right w:val="single" w:sz="4" w:space="0" w:color="auto"/>
            </w:tcBorders>
          </w:tcPr>
          <w:p w14:paraId="4BCE532D"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Descriptive analytical methodology</w:t>
            </w:r>
            <w:r w:rsidR="005E1310" w:rsidRPr="008B1465">
              <w:rPr>
                <w:rFonts w:ascii="Times New Roman" w:eastAsia="Calibri" w:hAnsi="Times New Roman"/>
                <w:sz w:val="24"/>
                <w:szCs w:val="24"/>
              </w:rPr>
              <w:t xml:space="preserve"> and m</w:t>
            </w:r>
            <w:r w:rsidRPr="008B1465">
              <w:rPr>
                <w:rFonts w:ascii="Times New Roman" w:eastAsia="Calibri" w:hAnsi="Times New Roman"/>
                <w:sz w:val="24"/>
                <w:szCs w:val="24"/>
              </w:rPr>
              <w:t>ultiple regression analysis to test the hypotheses of the study.</w:t>
            </w:r>
          </w:p>
        </w:tc>
        <w:tc>
          <w:tcPr>
            <w:tcW w:w="1291" w:type="pct"/>
            <w:tcBorders>
              <w:top w:val="single" w:sz="4" w:space="0" w:color="auto"/>
              <w:left w:val="single" w:sz="4" w:space="0" w:color="auto"/>
              <w:bottom w:val="single" w:sz="4" w:space="0" w:color="auto"/>
              <w:right w:val="single" w:sz="4" w:space="0" w:color="auto"/>
            </w:tcBorders>
          </w:tcPr>
          <w:p w14:paraId="4559B1D9"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There is a statistically significant role of Forensic Accounting Techniques in reducing Cloud Based</w:t>
            </w:r>
            <w:r w:rsidR="005E1310" w:rsidRPr="008B1465">
              <w:rPr>
                <w:rFonts w:ascii="Times New Roman" w:eastAsia="Calibri" w:hAnsi="Times New Roman"/>
                <w:sz w:val="24"/>
                <w:szCs w:val="24"/>
              </w:rPr>
              <w:t xml:space="preserve">, </w:t>
            </w:r>
            <w:r w:rsidRPr="008B1465">
              <w:rPr>
                <w:rFonts w:ascii="Times New Roman" w:eastAsia="Calibri" w:hAnsi="Times New Roman"/>
                <w:sz w:val="24"/>
                <w:szCs w:val="24"/>
              </w:rPr>
              <w:t>Accounting risks in the Jordanian five stars hotels.</w:t>
            </w:r>
          </w:p>
        </w:tc>
        <w:tc>
          <w:tcPr>
            <w:tcW w:w="1000" w:type="pct"/>
            <w:tcBorders>
              <w:top w:val="single" w:sz="4" w:space="0" w:color="auto"/>
              <w:left w:val="single" w:sz="4" w:space="0" w:color="auto"/>
              <w:bottom w:val="single" w:sz="4" w:space="0" w:color="auto"/>
              <w:right w:val="single" w:sz="4" w:space="0" w:color="auto"/>
            </w:tcBorders>
          </w:tcPr>
          <w:p w14:paraId="1D08BD22"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Limited to five stars hotels in Jordan. </w:t>
            </w:r>
          </w:p>
        </w:tc>
      </w:tr>
      <w:tr w:rsidR="000B5622" w:rsidRPr="008B1465" w14:paraId="417D884E" w14:textId="77777777" w:rsidTr="007E4D0F">
        <w:tc>
          <w:tcPr>
            <w:tcW w:w="292" w:type="pct"/>
            <w:tcBorders>
              <w:top w:val="single" w:sz="4" w:space="0" w:color="auto"/>
              <w:left w:val="single" w:sz="4" w:space="0" w:color="auto"/>
              <w:bottom w:val="single" w:sz="4" w:space="0" w:color="auto"/>
              <w:right w:val="single" w:sz="4" w:space="0" w:color="auto"/>
            </w:tcBorders>
          </w:tcPr>
          <w:p w14:paraId="57CBB372"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3CAFF55B"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Ozili, (2015)</w:t>
            </w:r>
          </w:p>
        </w:tc>
        <w:tc>
          <w:tcPr>
            <w:tcW w:w="875" w:type="pct"/>
            <w:tcBorders>
              <w:top w:val="single" w:sz="4" w:space="0" w:color="auto"/>
              <w:left w:val="single" w:sz="4" w:space="0" w:color="auto"/>
              <w:bottom w:val="single" w:sz="4" w:space="0" w:color="auto"/>
              <w:right w:val="single" w:sz="4" w:space="0" w:color="auto"/>
            </w:tcBorders>
          </w:tcPr>
          <w:p w14:paraId="45646ED6"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Forensic Accounting</w:t>
            </w:r>
            <w:r w:rsidR="00E54584" w:rsidRPr="008B1465">
              <w:rPr>
                <w:rFonts w:ascii="Times New Roman" w:eastAsia="Calibri" w:hAnsi="Times New Roman"/>
                <w:sz w:val="24"/>
                <w:szCs w:val="24"/>
              </w:rPr>
              <w:t xml:space="preserve"> a</w:t>
            </w:r>
            <w:r w:rsidRPr="008B1465">
              <w:rPr>
                <w:rFonts w:ascii="Times New Roman" w:eastAsia="Calibri" w:hAnsi="Times New Roman"/>
                <w:sz w:val="24"/>
                <w:szCs w:val="24"/>
              </w:rPr>
              <w:t>nd Fraud</w:t>
            </w:r>
            <w:r w:rsidR="00CB0CE9" w:rsidRPr="008B1465">
              <w:rPr>
                <w:rFonts w:ascii="Times New Roman" w:eastAsia="Calibri" w:hAnsi="Times New Roman"/>
                <w:sz w:val="24"/>
                <w:szCs w:val="24"/>
              </w:rPr>
              <w:t>:</w:t>
            </w:r>
            <w:r w:rsidRPr="008B1465">
              <w:rPr>
                <w:rFonts w:ascii="Times New Roman" w:eastAsia="Calibri" w:hAnsi="Times New Roman"/>
                <w:sz w:val="24"/>
                <w:szCs w:val="24"/>
              </w:rPr>
              <w:t xml:space="preserve"> A Review </w:t>
            </w:r>
            <w:r w:rsidR="00CB0CE9" w:rsidRPr="008B1465">
              <w:rPr>
                <w:rFonts w:ascii="Times New Roman" w:eastAsia="Calibri" w:hAnsi="Times New Roman"/>
                <w:sz w:val="24"/>
                <w:szCs w:val="24"/>
              </w:rPr>
              <w:t>o</w:t>
            </w:r>
            <w:r w:rsidRPr="008B1465">
              <w:rPr>
                <w:rFonts w:ascii="Times New Roman" w:eastAsia="Calibri" w:hAnsi="Times New Roman"/>
                <w:sz w:val="24"/>
                <w:szCs w:val="24"/>
              </w:rPr>
              <w:t xml:space="preserve">f Literature </w:t>
            </w:r>
            <w:r w:rsidR="00CB0CE9" w:rsidRPr="008B1465">
              <w:rPr>
                <w:rFonts w:ascii="Times New Roman" w:eastAsia="Calibri" w:hAnsi="Times New Roman"/>
                <w:sz w:val="24"/>
                <w:szCs w:val="24"/>
              </w:rPr>
              <w:t>a</w:t>
            </w:r>
            <w:r w:rsidRPr="008B1465">
              <w:rPr>
                <w:rFonts w:ascii="Times New Roman" w:eastAsia="Calibri" w:hAnsi="Times New Roman"/>
                <w:sz w:val="24"/>
                <w:szCs w:val="24"/>
              </w:rPr>
              <w:t>nd Policy Implications</w:t>
            </w:r>
          </w:p>
        </w:tc>
        <w:tc>
          <w:tcPr>
            <w:tcW w:w="876" w:type="pct"/>
            <w:tcBorders>
              <w:top w:val="single" w:sz="4" w:space="0" w:color="auto"/>
              <w:left w:val="single" w:sz="4" w:space="0" w:color="auto"/>
              <w:bottom w:val="single" w:sz="4" w:space="0" w:color="auto"/>
              <w:right w:val="single" w:sz="4" w:space="0" w:color="auto"/>
            </w:tcBorders>
          </w:tcPr>
          <w:p w14:paraId="38FCEC39"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Literature review method</w:t>
            </w:r>
          </w:p>
        </w:tc>
        <w:tc>
          <w:tcPr>
            <w:tcW w:w="1291" w:type="pct"/>
            <w:tcBorders>
              <w:top w:val="single" w:sz="4" w:space="0" w:color="auto"/>
              <w:left w:val="single" w:sz="4" w:space="0" w:color="auto"/>
              <w:bottom w:val="single" w:sz="4" w:space="0" w:color="auto"/>
              <w:right w:val="single" w:sz="4" w:space="0" w:color="auto"/>
            </w:tcBorders>
          </w:tcPr>
          <w:p w14:paraId="59FF106F"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This review, examined several issues: the nature of fraud, forensic accounting, core and enhanced skills of the forensic investigators as well as issues with forensic education.</w:t>
            </w:r>
          </w:p>
        </w:tc>
        <w:tc>
          <w:tcPr>
            <w:tcW w:w="1000" w:type="pct"/>
            <w:tcBorders>
              <w:top w:val="single" w:sz="4" w:space="0" w:color="auto"/>
              <w:left w:val="single" w:sz="4" w:space="0" w:color="auto"/>
              <w:bottom w:val="single" w:sz="4" w:space="0" w:color="auto"/>
              <w:right w:val="single" w:sz="4" w:space="0" w:color="auto"/>
            </w:tcBorders>
          </w:tcPr>
          <w:p w14:paraId="29266857"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Research and Policy Gap: why forensic accounting research does not inform policy</w:t>
            </w:r>
          </w:p>
        </w:tc>
      </w:tr>
      <w:tr w:rsidR="000B5622" w:rsidRPr="008B1465" w14:paraId="6D2CC7EF" w14:textId="77777777" w:rsidTr="007E4D0F">
        <w:tc>
          <w:tcPr>
            <w:tcW w:w="292" w:type="pct"/>
            <w:tcBorders>
              <w:top w:val="single" w:sz="4" w:space="0" w:color="auto"/>
              <w:left w:val="single" w:sz="4" w:space="0" w:color="auto"/>
              <w:bottom w:val="single" w:sz="4" w:space="0" w:color="auto"/>
              <w:right w:val="single" w:sz="4" w:space="0" w:color="auto"/>
            </w:tcBorders>
          </w:tcPr>
          <w:p w14:paraId="07E2E2BE"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262154AA"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Muda &amp; Hasibuan (2018)</w:t>
            </w:r>
          </w:p>
        </w:tc>
        <w:tc>
          <w:tcPr>
            <w:tcW w:w="875" w:type="pct"/>
            <w:tcBorders>
              <w:top w:val="single" w:sz="4" w:space="0" w:color="auto"/>
              <w:left w:val="single" w:sz="4" w:space="0" w:color="auto"/>
              <w:bottom w:val="single" w:sz="4" w:space="0" w:color="auto"/>
              <w:right w:val="single" w:sz="4" w:space="0" w:color="auto"/>
            </w:tcBorders>
          </w:tcPr>
          <w:p w14:paraId="67B9B5BA"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Public Discovery of the Concept of Time Value of Money with Economic Value of Time</w:t>
            </w:r>
          </w:p>
        </w:tc>
        <w:tc>
          <w:tcPr>
            <w:tcW w:w="876" w:type="pct"/>
            <w:tcBorders>
              <w:top w:val="single" w:sz="4" w:space="0" w:color="auto"/>
              <w:left w:val="single" w:sz="4" w:space="0" w:color="auto"/>
              <w:bottom w:val="single" w:sz="4" w:space="0" w:color="auto"/>
              <w:right w:val="single" w:sz="4" w:space="0" w:color="auto"/>
            </w:tcBorders>
          </w:tcPr>
          <w:p w14:paraId="5A7D94B5"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Primary Data (Questionnaires) Random Sampling Techniques.</w:t>
            </w:r>
          </w:p>
          <w:p w14:paraId="1EBED26D"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Data Analyses: SEM method with Smart PLS software.</w:t>
            </w:r>
          </w:p>
        </w:tc>
        <w:tc>
          <w:tcPr>
            <w:tcW w:w="1291" w:type="pct"/>
            <w:tcBorders>
              <w:top w:val="single" w:sz="4" w:space="0" w:color="auto"/>
              <w:left w:val="single" w:sz="4" w:space="0" w:color="auto"/>
              <w:bottom w:val="single" w:sz="4" w:space="0" w:color="auto"/>
              <w:right w:val="single" w:sz="4" w:space="0" w:color="auto"/>
            </w:tcBorders>
          </w:tcPr>
          <w:p w14:paraId="199B5DF1"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The results show that the public do not know exactly the application and the concept of “time value of money” and the economic value of time.</w:t>
            </w:r>
          </w:p>
        </w:tc>
        <w:tc>
          <w:tcPr>
            <w:tcW w:w="1000" w:type="pct"/>
            <w:tcBorders>
              <w:top w:val="single" w:sz="4" w:space="0" w:color="auto"/>
              <w:left w:val="single" w:sz="4" w:space="0" w:color="auto"/>
              <w:bottom w:val="single" w:sz="4" w:space="0" w:color="auto"/>
              <w:right w:val="single" w:sz="4" w:space="0" w:color="auto"/>
            </w:tcBorders>
          </w:tcPr>
          <w:p w14:paraId="786F9ED2"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The limitation of this study is that it was conducted on heterogeneous Medan city samples and did not extend to other cities in North Sumatra with large samples. The study has implications on the socialization of the community’s understanding of the concept of time value of money with the economic value of time.</w:t>
            </w:r>
          </w:p>
        </w:tc>
      </w:tr>
      <w:tr w:rsidR="000B5622" w:rsidRPr="008B1465" w14:paraId="08069943" w14:textId="77777777" w:rsidTr="007E4D0F">
        <w:tc>
          <w:tcPr>
            <w:tcW w:w="292" w:type="pct"/>
            <w:tcBorders>
              <w:top w:val="single" w:sz="4" w:space="0" w:color="auto"/>
              <w:left w:val="single" w:sz="4" w:space="0" w:color="auto"/>
              <w:bottom w:val="single" w:sz="4" w:space="0" w:color="auto"/>
              <w:right w:val="single" w:sz="4" w:space="0" w:color="auto"/>
            </w:tcBorders>
          </w:tcPr>
          <w:p w14:paraId="69FF2085"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7B8F8287" w14:textId="77777777" w:rsidR="001D4E30" w:rsidRPr="008B1465" w:rsidRDefault="001D4E30" w:rsidP="007541CB">
            <w:pPr>
              <w:pStyle w:val="NoSpacing"/>
              <w:rPr>
                <w:rFonts w:ascii="Times New Roman" w:eastAsia="Calibri" w:hAnsi="Times New Roman"/>
                <w:sz w:val="24"/>
                <w:szCs w:val="24"/>
              </w:rPr>
            </w:pPr>
            <w:r w:rsidRPr="008B1465">
              <w:rPr>
                <w:rFonts w:ascii="Times New Roman" w:hAnsi="Times New Roman"/>
                <w:sz w:val="24"/>
                <w:szCs w:val="24"/>
                <w:shd w:val="clear" w:color="auto" w:fill="FFFFFF"/>
              </w:rPr>
              <w:t>Kurnaz, Köksal &amp; Ulusoy (2019)</w:t>
            </w:r>
          </w:p>
        </w:tc>
        <w:tc>
          <w:tcPr>
            <w:tcW w:w="875" w:type="pct"/>
            <w:tcBorders>
              <w:top w:val="single" w:sz="4" w:space="0" w:color="auto"/>
              <w:left w:val="single" w:sz="4" w:space="0" w:color="auto"/>
              <w:bottom w:val="single" w:sz="4" w:space="0" w:color="auto"/>
              <w:right w:val="single" w:sz="4" w:space="0" w:color="auto"/>
            </w:tcBorders>
          </w:tcPr>
          <w:p w14:paraId="4B8F6AAE"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shd w:val="clear" w:color="auto" w:fill="FFFFFF"/>
              </w:rPr>
              <w:t>Forensic Accounting In Financial Fraud Control In Digital Environment: A Research On Independent Auditors</w:t>
            </w:r>
          </w:p>
        </w:tc>
        <w:tc>
          <w:tcPr>
            <w:tcW w:w="876" w:type="pct"/>
            <w:tcBorders>
              <w:top w:val="single" w:sz="4" w:space="0" w:color="auto"/>
              <w:left w:val="single" w:sz="4" w:space="0" w:color="auto"/>
              <w:bottom w:val="single" w:sz="4" w:space="0" w:color="auto"/>
              <w:right w:val="single" w:sz="4" w:space="0" w:color="auto"/>
            </w:tcBorders>
          </w:tcPr>
          <w:p w14:paraId="57FC75F1"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Survey research design </w:t>
            </w:r>
            <w:r w:rsidR="00617E76" w:rsidRPr="008B1465">
              <w:rPr>
                <w:rFonts w:ascii="Times New Roman" w:eastAsia="Calibri" w:hAnsi="Times New Roman"/>
                <w:sz w:val="24"/>
                <w:szCs w:val="24"/>
              </w:rPr>
              <w:t>based on primary data</w:t>
            </w:r>
          </w:p>
        </w:tc>
        <w:tc>
          <w:tcPr>
            <w:tcW w:w="1291" w:type="pct"/>
            <w:tcBorders>
              <w:top w:val="single" w:sz="4" w:space="0" w:color="auto"/>
              <w:left w:val="single" w:sz="4" w:space="0" w:color="auto"/>
              <w:bottom w:val="single" w:sz="4" w:space="0" w:color="auto"/>
              <w:right w:val="single" w:sz="4" w:space="0" w:color="auto"/>
            </w:tcBorders>
          </w:tcPr>
          <w:p w14:paraId="0B458B80"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In Turkey, there are no researches on the control of financial frauds in digital environment and improvement of internal controls, within the scope of core-competencies and characteristics of forensic accountants.</w:t>
            </w:r>
          </w:p>
          <w:p w14:paraId="06056507"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 </w:t>
            </w:r>
          </w:p>
        </w:tc>
        <w:tc>
          <w:tcPr>
            <w:tcW w:w="1000" w:type="pct"/>
            <w:tcBorders>
              <w:top w:val="single" w:sz="4" w:space="0" w:color="auto"/>
              <w:left w:val="single" w:sz="4" w:space="0" w:color="auto"/>
              <w:bottom w:val="single" w:sz="4" w:space="0" w:color="auto"/>
              <w:right w:val="single" w:sz="4" w:space="0" w:color="auto"/>
            </w:tcBorders>
          </w:tcPr>
          <w:p w14:paraId="18016183"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Forensic accounting profession has not yet accelerated in Turkey, the development of forensic accounting profession was not at a significant size and there was not any fraud control software for financial frauds in digital environment, and that the needs were satisfied by traditional methods. </w:t>
            </w:r>
          </w:p>
        </w:tc>
      </w:tr>
      <w:tr w:rsidR="000B5622" w:rsidRPr="008B1465" w14:paraId="5BA79AA7" w14:textId="77777777" w:rsidTr="007E4D0F">
        <w:tc>
          <w:tcPr>
            <w:tcW w:w="292" w:type="pct"/>
            <w:tcBorders>
              <w:top w:val="single" w:sz="4" w:space="0" w:color="auto"/>
              <w:left w:val="single" w:sz="4" w:space="0" w:color="auto"/>
              <w:bottom w:val="single" w:sz="4" w:space="0" w:color="auto"/>
              <w:right w:val="single" w:sz="4" w:space="0" w:color="auto"/>
            </w:tcBorders>
          </w:tcPr>
          <w:p w14:paraId="00325B70"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26EA7EBA"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eastAsia="Calibri" w:hAnsi="Times New Roman"/>
                <w:sz w:val="24"/>
                <w:szCs w:val="24"/>
                <w:shd w:val="clear" w:color="auto" w:fill="FFFFFF"/>
              </w:rPr>
              <w:t>Asare, &amp; Prempeh</w:t>
            </w:r>
          </w:p>
          <w:p w14:paraId="0D0C7167"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eastAsia="Calibri" w:hAnsi="Times New Roman"/>
                <w:sz w:val="24"/>
                <w:szCs w:val="24"/>
                <w:shd w:val="clear" w:color="auto" w:fill="FFFFFF"/>
              </w:rPr>
              <w:t>(2016)</w:t>
            </w:r>
          </w:p>
        </w:tc>
        <w:tc>
          <w:tcPr>
            <w:tcW w:w="875" w:type="pct"/>
            <w:tcBorders>
              <w:top w:val="single" w:sz="4" w:space="0" w:color="auto"/>
              <w:left w:val="single" w:sz="4" w:space="0" w:color="auto"/>
              <w:bottom w:val="single" w:sz="4" w:space="0" w:color="auto"/>
              <w:right w:val="single" w:sz="4" w:space="0" w:color="auto"/>
            </w:tcBorders>
          </w:tcPr>
          <w:p w14:paraId="31673763"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eastAsia="Calibri" w:hAnsi="Times New Roman"/>
                <w:sz w:val="24"/>
                <w:szCs w:val="24"/>
                <w:shd w:val="clear" w:color="auto" w:fill="FFFFFF"/>
              </w:rPr>
              <w:t xml:space="preserve">Measures of Ensuring Value for Money in Public Procurement: A Case of Selected Polytechnics in Ghana </w:t>
            </w:r>
          </w:p>
        </w:tc>
        <w:tc>
          <w:tcPr>
            <w:tcW w:w="876" w:type="pct"/>
            <w:tcBorders>
              <w:top w:val="single" w:sz="4" w:space="0" w:color="auto"/>
              <w:left w:val="single" w:sz="4" w:space="0" w:color="auto"/>
              <w:bottom w:val="single" w:sz="4" w:space="0" w:color="auto"/>
              <w:right w:val="single" w:sz="4" w:space="0" w:color="auto"/>
            </w:tcBorders>
          </w:tcPr>
          <w:p w14:paraId="5FC4A8EE"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Data collection instrument: structured questionnaire. </w:t>
            </w:r>
          </w:p>
          <w:p w14:paraId="169195BE"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The study employed the purposive and stratified sampling technique</w:t>
            </w:r>
          </w:p>
        </w:tc>
        <w:tc>
          <w:tcPr>
            <w:tcW w:w="1291" w:type="pct"/>
            <w:tcBorders>
              <w:top w:val="single" w:sz="4" w:space="0" w:color="auto"/>
              <w:left w:val="single" w:sz="4" w:space="0" w:color="auto"/>
              <w:bottom w:val="single" w:sz="4" w:space="0" w:color="auto"/>
              <w:right w:val="single" w:sz="4" w:space="0" w:color="auto"/>
            </w:tcBorders>
          </w:tcPr>
          <w:p w14:paraId="6A2A6759"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It was revealed that inadequate skilled personnel in the procurement sector and inadequate measures for monitoring and evaluation of the procurement policy to ensure VFM are major challenges in the public procurement</w:t>
            </w:r>
          </w:p>
        </w:tc>
        <w:tc>
          <w:tcPr>
            <w:tcW w:w="1000" w:type="pct"/>
            <w:tcBorders>
              <w:top w:val="single" w:sz="4" w:space="0" w:color="auto"/>
              <w:left w:val="single" w:sz="4" w:space="0" w:color="auto"/>
              <w:bottom w:val="single" w:sz="4" w:space="0" w:color="auto"/>
              <w:right w:val="single" w:sz="4" w:space="0" w:color="auto"/>
            </w:tcBorders>
          </w:tcPr>
          <w:p w14:paraId="77CBAC8D"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The study was limited to Ghana</w:t>
            </w:r>
          </w:p>
        </w:tc>
      </w:tr>
      <w:tr w:rsidR="000B5622" w:rsidRPr="008B1465" w14:paraId="7DDFE14C" w14:textId="77777777" w:rsidTr="007E4D0F">
        <w:tc>
          <w:tcPr>
            <w:tcW w:w="292" w:type="pct"/>
            <w:tcBorders>
              <w:top w:val="single" w:sz="4" w:space="0" w:color="auto"/>
              <w:left w:val="single" w:sz="4" w:space="0" w:color="auto"/>
              <w:bottom w:val="single" w:sz="4" w:space="0" w:color="auto"/>
              <w:right w:val="single" w:sz="4" w:space="0" w:color="auto"/>
            </w:tcBorders>
          </w:tcPr>
          <w:p w14:paraId="47E4D534"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30D4123E" w14:textId="77777777" w:rsidR="001D4E30" w:rsidRPr="008B1465" w:rsidRDefault="00BD48F0" w:rsidP="007541CB">
            <w:pPr>
              <w:pStyle w:val="NoSpacing"/>
              <w:rPr>
                <w:rFonts w:ascii="Times New Roman" w:eastAsia="Calibri" w:hAnsi="Times New Roman"/>
                <w:sz w:val="24"/>
                <w:szCs w:val="24"/>
                <w:shd w:val="clear" w:color="auto" w:fill="FFFFFF"/>
              </w:rPr>
            </w:pPr>
            <w:r w:rsidRPr="008B1465">
              <w:rPr>
                <w:rFonts w:ascii="Times New Roman" w:eastAsia="Calibri" w:hAnsi="Times New Roman"/>
                <w:sz w:val="24"/>
                <w:szCs w:val="24"/>
                <w:shd w:val="clear" w:color="auto" w:fill="FFFFFF"/>
              </w:rPr>
              <w:t>Al-Sharairi (2018)</w:t>
            </w:r>
          </w:p>
        </w:tc>
        <w:tc>
          <w:tcPr>
            <w:tcW w:w="875" w:type="pct"/>
            <w:tcBorders>
              <w:top w:val="single" w:sz="4" w:space="0" w:color="auto"/>
              <w:left w:val="single" w:sz="4" w:space="0" w:color="auto"/>
              <w:bottom w:val="single" w:sz="4" w:space="0" w:color="auto"/>
              <w:right w:val="single" w:sz="4" w:space="0" w:color="auto"/>
            </w:tcBorders>
          </w:tcPr>
          <w:p w14:paraId="52CCB302"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eastAsia="Calibri" w:hAnsi="Times New Roman"/>
                <w:sz w:val="24"/>
                <w:szCs w:val="24"/>
                <w:shd w:val="clear" w:color="auto" w:fill="FFFFFF"/>
              </w:rPr>
              <w:t>The Role of Forensic Accounting in Limiting Tax Evasion in the Forensic Public Industrial Shareholding Companies through the Respectively of Jordanian Auditors</w:t>
            </w:r>
          </w:p>
        </w:tc>
        <w:tc>
          <w:tcPr>
            <w:tcW w:w="876" w:type="pct"/>
            <w:tcBorders>
              <w:top w:val="single" w:sz="4" w:space="0" w:color="auto"/>
              <w:left w:val="single" w:sz="4" w:space="0" w:color="auto"/>
              <w:bottom w:val="single" w:sz="4" w:space="0" w:color="auto"/>
              <w:right w:val="single" w:sz="4" w:space="0" w:color="auto"/>
            </w:tcBorders>
          </w:tcPr>
          <w:p w14:paraId="11FC2F71"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Descriptive and Analytical approach </w:t>
            </w:r>
          </w:p>
        </w:tc>
        <w:tc>
          <w:tcPr>
            <w:tcW w:w="1291" w:type="pct"/>
            <w:tcBorders>
              <w:top w:val="single" w:sz="4" w:space="0" w:color="auto"/>
              <w:left w:val="single" w:sz="4" w:space="0" w:color="auto"/>
              <w:bottom w:val="single" w:sz="4" w:space="0" w:color="auto"/>
              <w:right w:val="single" w:sz="4" w:space="0" w:color="auto"/>
            </w:tcBorders>
          </w:tcPr>
          <w:p w14:paraId="12B4C21E"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There is no statistically significant role of the forensic accounting in limiting the acquisition method of accounting and the misuse of materially as methods of tax evasion followed in the Jordanian Industrial companies.</w:t>
            </w:r>
          </w:p>
          <w:p w14:paraId="3B87B7FD"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While there is a statistically significant role of the forensic accounting in limiting the use of accounting estimates and revenue recognition as methods of tax evasion followed by Jordanian Industrial Company</w:t>
            </w:r>
          </w:p>
        </w:tc>
        <w:tc>
          <w:tcPr>
            <w:tcW w:w="1000" w:type="pct"/>
            <w:tcBorders>
              <w:top w:val="single" w:sz="4" w:space="0" w:color="auto"/>
              <w:left w:val="single" w:sz="4" w:space="0" w:color="auto"/>
              <w:bottom w:val="single" w:sz="4" w:space="0" w:color="auto"/>
              <w:right w:val="single" w:sz="4" w:space="0" w:color="auto"/>
            </w:tcBorders>
          </w:tcPr>
          <w:p w14:paraId="60AA3C80" w14:textId="77777777" w:rsidR="001D4E30" w:rsidRPr="008B1465" w:rsidRDefault="001D4E30" w:rsidP="007541CB">
            <w:pPr>
              <w:pStyle w:val="NoSpacing"/>
              <w:rPr>
                <w:rFonts w:ascii="Times New Roman" w:eastAsia="Calibri" w:hAnsi="Times New Roman"/>
                <w:sz w:val="24"/>
                <w:szCs w:val="24"/>
              </w:rPr>
            </w:pPr>
          </w:p>
        </w:tc>
      </w:tr>
      <w:tr w:rsidR="000B5622" w:rsidRPr="008B1465" w14:paraId="43601285" w14:textId="77777777" w:rsidTr="007E4D0F">
        <w:tc>
          <w:tcPr>
            <w:tcW w:w="292" w:type="pct"/>
            <w:tcBorders>
              <w:top w:val="single" w:sz="4" w:space="0" w:color="auto"/>
              <w:left w:val="single" w:sz="4" w:space="0" w:color="auto"/>
              <w:bottom w:val="single" w:sz="4" w:space="0" w:color="auto"/>
              <w:right w:val="single" w:sz="4" w:space="0" w:color="auto"/>
            </w:tcBorders>
          </w:tcPr>
          <w:p w14:paraId="10D328E8"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0FD50F58"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eastAsia="Calibri" w:hAnsi="Times New Roman"/>
                <w:sz w:val="24"/>
                <w:szCs w:val="24"/>
                <w:shd w:val="clear" w:color="auto" w:fill="FFFFFF"/>
              </w:rPr>
              <w:t>Olaniyan, Ekundayo, Oluwadare, &amp; Bamisaye (2021)</w:t>
            </w:r>
          </w:p>
        </w:tc>
        <w:tc>
          <w:tcPr>
            <w:tcW w:w="875" w:type="pct"/>
            <w:tcBorders>
              <w:top w:val="single" w:sz="4" w:space="0" w:color="auto"/>
              <w:left w:val="single" w:sz="4" w:space="0" w:color="auto"/>
              <w:bottom w:val="single" w:sz="4" w:space="0" w:color="auto"/>
              <w:right w:val="single" w:sz="4" w:space="0" w:color="auto"/>
            </w:tcBorders>
          </w:tcPr>
          <w:p w14:paraId="7BBA6C3F" w14:textId="77777777" w:rsidR="001D4E30" w:rsidRPr="008B1465" w:rsidRDefault="001D4E30" w:rsidP="007541CB">
            <w:pPr>
              <w:pStyle w:val="NoSpacing"/>
              <w:rPr>
                <w:rFonts w:ascii="Times New Roman" w:eastAsia="Calibri" w:hAnsi="Times New Roman"/>
                <w:sz w:val="24"/>
                <w:szCs w:val="24"/>
                <w:shd w:val="clear" w:color="auto" w:fill="FFFFFF"/>
              </w:rPr>
            </w:pPr>
            <w:bookmarkStart w:id="74" w:name="_Hlk122785804"/>
            <w:r w:rsidRPr="008B1465">
              <w:rPr>
                <w:rFonts w:ascii="Times New Roman" w:eastAsia="Calibri" w:hAnsi="Times New Roman"/>
                <w:sz w:val="24"/>
                <w:szCs w:val="24"/>
                <w:shd w:val="clear" w:color="auto" w:fill="FFFFFF"/>
              </w:rPr>
              <w:t>Forensic Accounting as an instrument for fraud detection and prevention in the public sector:</w:t>
            </w:r>
          </w:p>
          <w:p w14:paraId="39D79F74"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eastAsia="Calibri" w:hAnsi="Times New Roman"/>
                <w:sz w:val="24"/>
                <w:szCs w:val="24"/>
                <w:shd w:val="clear" w:color="auto" w:fill="FFFFFF"/>
              </w:rPr>
              <w:t>Modering on ministries, department and agencies in Nigeria.</w:t>
            </w:r>
            <w:bookmarkEnd w:id="74"/>
          </w:p>
        </w:tc>
        <w:tc>
          <w:tcPr>
            <w:tcW w:w="876" w:type="pct"/>
            <w:tcBorders>
              <w:top w:val="single" w:sz="4" w:space="0" w:color="auto"/>
              <w:left w:val="single" w:sz="4" w:space="0" w:color="auto"/>
              <w:bottom w:val="single" w:sz="4" w:space="0" w:color="auto"/>
              <w:right w:val="single" w:sz="4" w:space="0" w:color="auto"/>
            </w:tcBorders>
          </w:tcPr>
          <w:p w14:paraId="200CF4A4"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Cross sectional Survey design</w:t>
            </w:r>
            <w:r w:rsidR="00082486" w:rsidRPr="008B1465">
              <w:rPr>
                <w:rFonts w:ascii="Times New Roman" w:eastAsia="Calibri" w:hAnsi="Times New Roman"/>
                <w:sz w:val="24"/>
                <w:szCs w:val="24"/>
              </w:rPr>
              <w:t xml:space="preserve"> and d</w:t>
            </w:r>
            <w:r w:rsidRPr="008B1465">
              <w:rPr>
                <w:rFonts w:ascii="Times New Roman" w:eastAsia="Calibri" w:hAnsi="Times New Roman"/>
                <w:sz w:val="24"/>
                <w:szCs w:val="24"/>
              </w:rPr>
              <w:t>escriptive statistics, Ordinary Least Square and Regression Analysis</w:t>
            </w:r>
          </w:p>
        </w:tc>
        <w:tc>
          <w:tcPr>
            <w:tcW w:w="1291" w:type="pct"/>
            <w:tcBorders>
              <w:top w:val="single" w:sz="4" w:space="0" w:color="auto"/>
              <w:left w:val="single" w:sz="4" w:space="0" w:color="auto"/>
              <w:bottom w:val="single" w:sz="4" w:space="0" w:color="auto"/>
              <w:right w:val="single" w:sz="4" w:space="0" w:color="auto"/>
            </w:tcBorders>
          </w:tcPr>
          <w:p w14:paraId="2C1206B4"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Forensic Accounting and litigation supports do not have significant effect on fraud detection in Nigerian companies.  </w:t>
            </w:r>
          </w:p>
        </w:tc>
        <w:tc>
          <w:tcPr>
            <w:tcW w:w="1000" w:type="pct"/>
            <w:tcBorders>
              <w:top w:val="single" w:sz="4" w:space="0" w:color="auto"/>
              <w:left w:val="single" w:sz="4" w:space="0" w:color="auto"/>
              <w:bottom w:val="single" w:sz="4" w:space="0" w:color="auto"/>
              <w:right w:val="single" w:sz="4" w:space="0" w:color="auto"/>
            </w:tcBorders>
          </w:tcPr>
          <w:p w14:paraId="4A97FA09"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The scope was limited to employees of  Zenith Bank Nigeria Plc and Union Bank Nigeria Plc in Calabar Cross River State. Population of 120 and 60 respondents used.</w:t>
            </w:r>
          </w:p>
        </w:tc>
      </w:tr>
      <w:tr w:rsidR="000B5622" w:rsidRPr="008B1465" w14:paraId="30CB59A4" w14:textId="77777777" w:rsidTr="007E4D0F">
        <w:tc>
          <w:tcPr>
            <w:tcW w:w="292" w:type="pct"/>
            <w:tcBorders>
              <w:top w:val="single" w:sz="4" w:space="0" w:color="auto"/>
              <w:left w:val="single" w:sz="4" w:space="0" w:color="auto"/>
              <w:bottom w:val="single" w:sz="4" w:space="0" w:color="auto"/>
              <w:right w:val="single" w:sz="4" w:space="0" w:color="auto"/>
            </w:tcBorders>
          </w:tcPr>
          <w:p w14:paraId="57B35DB1"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171E464A"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eastAsia="Calibri" w:hAnsi="Times New Roman"/>
                <w:sz w:val="24"/>
                <w:szCs w:val="24"/>
                <w:shd w:val="clear" w:color="auto" w:fill="FFFFFF"/>
              </w:rPr>
              <w:t>Bassey,</w:t>
            </w:r>
          </w:p>
          <w:p w14:paraId="7F7B4970"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eastAsia="Calibri" w:hAnsi="Times New Roman"/>
                <w:sz w:val="24"/>
                <w:szCs w:val="24"/>
                <w:shd w:val="clear" w:color="auto" w:fill="FFFFFF"/>
              </w:rPr>
              <w:t>Ahonkhai, Ohimai &amp;</w:t>
            </w:r>
          </w:p>
          <w:p w14:paraId="37BD559C"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eastAsia="Calibri" w:hAnsi="Times New Roman"/>
                <w:sz w:val="24"/>
                <w:szCs w:val="24"/>
                <w:shd w:val="clear" w:color="auto" w:fill="FFFFFF"/>
              </w:rPr>
              <w:t>Ebahi</w:t>
            </w:r>
          </w:p>
          <w:p w14:paraId="758A0854"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eastAsia="Calibri" w:hAnsi="Times New Roman"/>
                <w:sz w:val="24"/>
                <w:szCs w:val="24"/>
                <w:shd w:val="clear" w:color="auto" w:fill="FFFFFF"/>
              </w:rPr>
              <w:t xml:space="preserve">(2017) </w:t>
            </w:r>
          </w:p>
        </w:tc>
        <w:tc>
          <w:tcPr>
            <w:tcW w:w="875" w:type="pct"/>
            <w:tcBorders>
              <w:top w:val="single" w:sz="4" w:space="0" w:color="auto"/>
              <w:left w:val="single" w:sz="4" w:space="0" w:color="auto"/>
              <w:bottom w:val="single" w:sz="4" w:space="0" w:color="auto"/>
              <w:right w:val="single" w:sz="4" w:space="0" w:color="auto"/>
            </w:tcBorders>
          </w:tcPr>
          <w:p w14:paraId="4B6E635E"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eastAsia="Calibri" w:hAnsi="Times New Roman"/>
                <w:sz w:val="24"/>
                <w:szCs w:val="24"/>
                <w:shd w:val="clear" w:color="auto" w:fill="FFFFFF"/>
              </w:rPr>
              <w:t xml:space="preserve">Effect of Forensic Accounting and Litigation Support on Fraud Detection of Banks in Nigeria </w:t>
            </w:r>
          </w:p>
        </w:tc>
        <w:tc>
          <w:tcPr>
            <w:tcW w:w="876" w:type="pct"/>
            <w:tcBorders>
              <w:top w:val="single" w:sz="4" w:space="0" w:color="auto"/>
              <w:left w:val="single" w:sz="4" w:space="0" w:color="auto"/>
              <w:bottom w:val="single" w:sz="4" w:space="0" w:color="auto"/>
              <w:right w:val="single" w:sz="4" w:space="0" w:color="auto"/>
            </w:tcBorders>
          </w:tcPr>
          <w:p w14:paraId="64E6F9DE"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Primary data 5-point likert scale structured questionnaires) inferential statistics using Analysis of Variance (ANOVA)</w:t>
            </w:r>
          </w:p>
        </w:tc>
        <w:tc>
          <w:tcPr>
            <w:tcW w:w="1291" w:type="pct"/>
            <w:tcBorders>
              <w:top w:val="single" w:sz="4" w:space="0" w:color="auto"/>
              <w:left w:val="single" w:sz="4" w:space="0" w:color="auto"/>
              <w:bottom w:val="single" w:sz="4" w:space="0" w:color="auto"/>
              <w:right w:val="single" w:sz="4" w:space="0" w:color="auto"/>
            </w:tcBorders>
          </w:tcPr>
          <w:p w14:paraId="0C0CA8FF"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Forensic accounting and litigation supports do not have significant effect on fraud detection in Nigeria companies  </w:t>
            </w:r>
          </w:p>
        </w:tc>
        <w:tc>
          <w:tcPr>
            <w:tcW w:w="1000" w:type="pct"/>
            <w:tcBorders>
              <w:top w:val="single" w:sz="4" w:space="0" w:color="auto"/>
              <w:left w:val="single" w:sz="4" w:space="0" w:color="auto"/>
              <w:bottom w:val="single" w:sz="4" w:space="0" w:color="auto"/>
              <w:right w:val="single" w:sz="4" w:space="0" w:color="auto"/>
            </w:tcBorders>
          </w:tcPr>
          <w:p w14:paraId="5CBBEEF7"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The scope was limited in employed of Zenith Bank Nigeria Plc and Union Bank Nigeria Plc in Calabar Cross River State. Population of 120 and 60 respondents used.  </w:t>
            </w:r>
          </w:p>
        </w:tc>
      </w:tr>
      <w:tr w:rsidR="000B5622" w:rsidRPr="008B1465" w14:paraId="045DCD28" w14:textId="77777777" w:rsidTr="007E4D0F">
        <w:tc>
          <w:tcPr>
            <w:tcW w:w="292" w:type="pct"/>
            <w:tcBorders>
              <w:top w:val="single" w:sz="4" w:space="0" w:color="auto"/>
              <w:left w:val="single" w:sz="4" w:space="0" w:color="auto"/>
              <w:bottom w:val="single" w:sz="4" w:space="0" w:color="auto"/>
              <w:right w:val="single" w:sz="4" w:space="0" w:color="auto"/>
            </w:tcBorders>
          </w:tcPr>
          <w:p w14:paraId="043AAF3D"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5A6175A6"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eastAsia="Calibri" w:hAnsi="Times New Roman"/>
                <w:sz w:val="24"/>
                <w:szCs w:val="24"/>
                <w:shd w:val="clear" w:color="auto" w:fill="FFFFFF"/>
              </w:rPr>
              <w:t>Oseni (2017)</w:t>
            </w:r>
          </w:p>
        </w:tc>
        <w:tc>
          <w:tcPr>
            <w:tcW w:w="875" w:type="pct"/>
            <w:tcBorders>
              <w:top w:val="single" w:sz="4" w:space="0" w:color="auto"/>
              <w:left w:val="single" w:sz="4" w:space="0" w:color="auto"/>
              <w:bottom w:val="single" w:sz="4" w:space="0" w:color="auto"/>
              <w:right w:val="single" w:sz="4" w:space="0" w:color="auto"/>
            </w:tcBorders>
          </w:tcPr>
          <w:p w14:paraId="67EB4DE0"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eastAsia="Calibri" w:hAnsi="Times New Roman"/>
                <w:sz w:val="24"/>
                <w:szCs w:val="24"/>
                <w:shd w:val="clear" w:color="auto" w:fill="FFFFFF"/>
              </w:rPr>
              <w:t>Forensic Accounting and Financial Fraud in Nigeria: Problems and Prospects</w:t>
            </w:r>
          </w:p>
        </w:tc>
        <w:tc>
          <w:tcPr>
            <w:tcW w:w="876" w:type="pct"/>
            <w:tcBorders>
              <w:top w:val="single" w:sz="4" w:space="0" w:color="auto"/>
              <w:left w:val="single" w:sz="4" w:space="0" w:color="auto"/>
              <w:bottom w:val="single" w:sz="4" w:space="0" w:color="auto"/>
              <w:right w:val="single" w:sz="4" w:space="0" w:color="auto"/>
            </w:tcBorders>
          </w:tcPr>
          <w:p w14:paraId="49176BC8"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Empirical and Descriptive Analysis</w:t>
            </w:r>
          </w:p>
        </w:tc>
        <w:tc>
          <w:tcPr>
            <w:tcW w:w="1291" w:type="pct"/>
            <w:tcBorders>
              <w:top w:val="single" w:sz="4" w:space="0" w:color="auto"/>
              <w:left w:val="single" w:sz="4" w:space="0" w:color="auto"/>
              <w:bottom w:val="single" w:sz="4" w:space="0" w:color="auto"/>
              <w:right w:val="single" w:sz="4" w:space="0" w:color="auto"/>
            </w:tcBorders>
          </w:tcPr>
          <w:p w14:paraId="228EB698"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Financial crimes and fraud have serious negative effect on human capital and infrastructural development in developing economies, especially countries like Nigeria.</w:t>
            </w:r>
          </w:p>
        </w:tc>
        <w:tc>
          <w:tcPr>
            <w:tcW w:w="1000" w:type="pct"/>
            <w:tcBorders>
              <w:top w:val="single" w:sz="4" w:space="0" w:color="auto"/>
              <w:left w:val="single" w:sz="4" w:space="0" w:color="auto"/>
              <w:bottom w:val="single" w:sz="4" w:space="0" w:color="auto"/>
              <w:right w:val="single" w:sz="4" w:space="0" w:color="auto"/>
            </w:tcBorders>
          </w:tcPr>
          <w:p w14:paraId="57FF9E03"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Sample size of 160 was used and restricted to Edo State.</w:t>
            </w:r>
          </w:p>
        </w:tc>
      </w:tr>
      <w:tr w:rsidR="000B5622" w:rsidRPr="008B1465" w14:paraId="11B14959" w14:textId="77777777" w:rsidTr="007E4D0F">
        <w:tc>
          <w:tcPr>
            <w:tcW w:w="292" w:type="pct"/>
            <w:tcBorders>
              <w:top w:val="single" w:sz="4" w:space="0" w:color="auto"/>
              <w:left w:val="single" w:sz="4" w:space="0" w:color="auto"/>
              <w:bottom w:val="single" w:sz="4" w:space="0" w:color="auto"/>
              <w:right w:val="single" w:sz="4" w:space="0" w:color="auto"/>
            </w:tcBorders>
          </w:tcPr>
          <w:p w14:paraId="1D9438DF"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5A568579"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eastAsia="Calibri" w:hAnsi="Times New Roman"/>
                <w:sz w:val="24"/>
                <w:szCs w:val="24"/>
                <w:shd w:val="clear" w:color="auto" w:fill="FFFFFF"/>
              </w:rPr>
              <w:t>Abdulrahma</w:t>
            </w:r>
          </w:p>
          <w:p w14:paraId="444B5138"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eastAsia="Calibri" w:hAnsi="Times New Roman"/>
                <w:sz w:val="24"/>
                <w:szCs w:val="24"/>
                <w:shd w:val="clear" w:color="auto" w:fill="FFFFFF"/>
              </w:rPr>
              <w:t xml:space="preserve">(2019) </w:t>
            </w:r>
          </w:p>
        </w:tc>
        <w:tc>
          <w:tcPr>
            <w:tcW w:w="875" w:type="pct"/>
            <w:tcBorders>
              <w:top w:val="single" w:sz="4" w:space="0" w:color="auto"/>
              <w:left w:val="single" w:sz="4" w:space="0" w:color="auto"/>
              <w:bottom w:val="single" w:sz="4" w:space="0" w:color="auto"/>
              <w:right w:val="single" w:sz="4" w:space="0" w:color="auto"/>
            </w:tcBorders>
          </w:tcPr>
          <w:p w14:paraId="18779827"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eastAsia="Calibri" w:hAnsi="Times New Roman"/>
                <w:sz w:val="24"/>
                <w:szCs w:val="24"/>
                <w:shd w:val="clear" w:color="auto" w:fill="FFFFFF"/>
              </w:rPr>
              <w:t xml:space="preserve">Forensic Accounting and Fraud Prevention in Nigeria Public Sector, A Conceptual Paper </w:t>
            </w:r>
          </w:p>
        </w:tc>
        <w:tc>
          <w:tcPr>
            <w:tcW w:w="876" w:type="pct"/>
            <w:tcBorders>
              <w:top w:val="single" w:sz="4" w:space="0" w:color="auto"/>
              <w:left w:val="single" w:sz="4" w:space="0" w:color="auto"/>
              <w:bottom w:val="single" w:sz="4" w:space="0" w:color="auto"/>
              <w:right w:val="single" w:sz="4" w:space="0" w:color="auto"/>
            </w:tcBorders>
          </w:tcPr>
          <w:p w14:paraId="3F14DC98"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Content Analysis (Secondary data) Descriptive research</w:t>
            </w:r>
          </w:p>
        </w:tc>
        <w:tc>
          <w:tcPr>
            <w:tcW w:w="1291" w:type="pct"/>
            <w:tcBorders>
              <w:top w:val="single" w:sz="4" w:space="0" w:color="auto"/>
              <w:left w:val="single" w:sz="4" w:space="0" w:color="auto"/>
              <w:bottom w:val="single" w:sz="4" w:space="0" w:color="auto"/>
              <w:right w:val="single" w:sz="4" w:space="0" w:color="auto"/>
            </w:tcBorders>
          </w:tcPr>
          <w:p w14:paraId="1E5F978D"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A significant positive influence exists between forensic accounting techniques and fraud prevention</w:t>
            </w:r>
          </w:p>
        </w:tc>
        <w:tc>
          <w:tcPr>
            <w:tcW w:w="1000" w:type="pct"/>
            <w:tcBorders>
              <w:top w:val="single" w:sz="4" w:space="0" w:color="auto"/>
              <w:left w:val="single" w:sz="4" w:space="0" w:color="auto"/>
              <w:bottom w:val="single" w:sz="4" w:space="0" w:color="auto"/>
              <w:right w:val="single" w:sz="4" w:space="0" w:color="auto"/>
            </w:tcBorders>
          </w:tcPr>
          <w:p w14:paraId="5445B804" w14:textId="77777777" w:rsidR="001D4E30" w:rsidRPr="008B1465" w:rsidRDefault="001D4E30" w:rsidP="007541CB">
            <w:pPr>
              <w:pStyle w:val="NoSpacing"/>
              <w:rPr>
                <w:rFonts w:ascii="Times New Roman" w:eastAsia="Calibri" w:hAnsi="Times New Roman"/>
                <w:sz w:val="24"/>
                <w:szCs w:val="24"/>
              </w:rPr>
            </w:pPr>
          </w:p>
        </w:tc>
      </w:tr>
      <w:tr w:rsidR="000B5622" w:rsidRPr="008B1465" w14:paraId="7AE65972" w14:textId="77777777" w:rsidTr="007E4D0F">
        <w:tc>
          <w:tcPr>
            <w:tcW w:w="292" w:type="pct"/>
            <w:tcBorders>
              <w:top w:val="single" w:sz="4" w:space="0" w:color="auto"/>
              <w:left w:val="single" w:sz="4" w:space="0" w:color="auto"/>
              <w:bottom w:val="single" w:sz="4" w:space="0" w:color="auto"/>
              <w:right w:val="single" w:sz="4" w:space="0" w:color="auto"/>
            </w:tcBorders>
          </w:tcPr>
          <w:p w14:paraId="59579147"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0F6D489B"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hAnsi="Times New Roman"/>
                <w:sz w:val="24"/>
                <w:szCs w:val="24"/>
                <w:shd w:val="clear" w:color="auto" w:fill="FFFFFF"/>
              </w:rPr>
              <w:t>Gangwani</w:t>
            </w:r>
            <w:r w:rsidRPr="008B1465">
              <w:rPr>
                <w:rFonts w:ascii="Times New Roman" w:eastAsia="Calibri" w:hAnsi="Times New Roman"/>
                <w:sz w:val="24"/>
                <w:szCs w:val="24"/>
                <w:shd w:val="clear" w:color="auto" w:fill="FFFFFF"/>
              </w:rPr>
              <w:t xml:space="preserve"> (2020)</w:t>
            </w:r>
          </w:p>
        </w:tc>
        <w:tc>
          <w:tcPr>
            <w:tcW w:w="875" w:type="pct"/>
            <w:tcBorders>
              <w:top w:val="single" w:sz="4" w:space="0" w:color="auto"/>
              <w:left w:val="single" w:sz="4" w:space="0" w:color="auto"/>
              <w:bottom w:val="single" w:sz="4" w:space="0" w:color="auto"/>
              <w:right w:val="single" w:sz="4" w:space="0" w:color="auto"/>
            </w:tcBorders>
          </w:tcPr>
          <w:p w14:paraId="6E8726CA"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eastAsia="Calibri" w:hAnsi="Times New Roman"/>
                <w:sz w:val="24"/>
                <w:szCs w:val="24"/>
                <w:shd w:val="clear" w:color="auto" w:fill="FFFFFF"/>
              </w:rPr>
              <w:t>Suitability of Forensic Accounting in uncovering bank frauds in India:</w:t>
            </w:r>
            <w:r w:rsidR="007F1279" w:rsidRPr="008B1465">
              <w:rPr>
                <w:rFonts w:ascii="Times New Roman" w:eastAsia="Calibri" w:hAnsi="Times New Roman"/>
                <w:sz w:val="24"/>
                <w:szCs w:val="24"/>
                <w:shd w:val="clear" w:color="auto" w:fill="FFFFFF"/>
              </w:rPr>
              <w:t xml:space="preserve"> </w:t>
            </w:r>
            <w:r w:rsidRPr="008B1465">
              <w:rPr>
                <w:rFonts w:ascii="Times New Roman" w:eastAsia="Calibri" w:hAnsi="Times New Roman"/>
                <w:sz w:val="24"/>
                <w:szCs w:val="24"/>
                <w:shd w:val="clear" w:color="auto" w:fill="FFFFFF"/>
              </w:rPr>
              <w:t>An opinion survey</w:t>
            </w:r>
          </w:p>
        </w:tc>
        <w:tc>
          <w:tcPr>
            <w:tcW w:w="876" w:type="pct"/>
            <w:tcBorders>
              <w:top w:val="single" w:sz="4" w:space="0" w:color="auto"/>
              <w:left w:val="single" w:sz="4" w:space="0" w:color="auto"/>
              <w:bottom w:val="single" w:sz="4" w:space="0" w:color="auto"/>
              <w:right w:val="single" w:sz="4" w:space="0" w:color="auto"/>
            </w:tcBorders>
          </w:tcPr>
          <w:p w14:paraId="51E81455"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Exploratory research design Primary Data (Likert scale questionnaire) Secondary Data Non-parametric test </w:t>
            </w:r>
          </w:p>
        </w:tc>
        <w:tc>
          <w:tcPr>
            <w:tcW w:w="1291" w:type="pct"/>
            <w:tcBorders>
              <w:top w:val="single" w:sz="4" w:space="0" w:color="auto"/>
              <w:left w:val="single" w:sz="4" w:space="0" w:color="auto"/>
              <w:bottom w:val="single" w:sz="4" w:space="0" w:color="auto"/>
              <w:right w:val="single" w:sz="4" w:space="0" w:color="auto"/>
            </w:tcBorders>
          </w:tcPr>
          <w:p w14:paraId="4F60F1F2"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“forensic accounting” has a proactive approach in identifying and preventing bank’s fraudulent activities and being an expert solution in fraud investigation are the two most importance benefits of using forensic accounting </w:t>
            </w:r>
          </w:p>
        </w:tc>
        <w:tc>
          <w:tcPr>
            <w:tcW w:w="1000" w:type="pct"/>
            <w:tcBorders>
              <w:top w:val="single" w:sz="4" w:space="0" w:color="auto"/>
              <w:left w:val="single" w:sz="4" w:space="0" w:color="auto"/>
              <w:bottom w:val="single" w:sz="4" w:space="0" w:color="auto"/>
              <w:right w:val="single" w:sz="4" w:space="0" w:color="auto"/>
            </w:tcBorders>
          </w:tcPr>
          <w:p w14:paraId="552EAE6C"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Limited to India</w:t>
            </w:r>
          </w:p>
        </w:tc>
      </w:tr>
      <w:tr w:rsidR="000B5622" w:rsidRPr="008B1465" w14:paraId="5DC55914" w14:textId="77777777" w:rsidTr="007E4D0F">
        <w:tc>
          <w:tcPr>
            <w:tcW w:w="292" w:type="pct"/>
            <w:tcBorders>
              <w:top w:val="single" w:sz="4" w:space="0" w:color="auto"/>
              <w:left w:val="single" w:sz="4" w:space="0" w:color="auto"/>
              <w:bottom w:val="single" w:sz="4" w:space="0" w:color="auto"/>
              <w:right w:val="single" w:sz="4" w:space="0" w:color="auto"/>
            </w:tcBorders>
          </w:tcPr>
          <w:p w14:paraId="7202600C"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602BB374"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eastAsia="Calibri" w:hAnsi="Times New Roman"/>
                <w:sz w:val="24"/>
                <w:szCs w:val="24"/>
                <w:shd w:val="clear" w:color="auto" w:fill="FFFFFF"/>
              </w:rPr>
              <w:t>Suleiman &amp; Othman (2021)</w:t>
            </w:r>
          </w:p>
        </w:tc>
        <w:tc>
          <w:tcPr>
            <w:tcW w:w="875" w:type="pct"/>
            <w:tcBorders>
              <w:top w:val="single" w:sz="4" w:space="0" w:color="auto"/>
              <w:left w:val="single" w:sz="4" w:space="0" w:color="auto"/>
              <w:bottom w:val="single" w:sz="4" w:space="0" w:color="auto"/>
              <w:right w:val="single" w:sz="4" w:space="0" w:color="auto"/>
            </w:tcBorders>
          </w:tcPr>
          <w:p w14:paraId="0790562A"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eastAsia="Calibri" w:hAnsi="Times New Roman"/>
                <w:sz w:val="24"/>
                <w:szCs w:val="24"/>
                <w:shd w:val="clear" w:color="auto" w:fill="FFFFFF"/>
              </w:rPr>
              <w:t xml:space="preserve">Forensic Accounting Investigation of Public Sector Corruption in Forensic Accounting Investigation of Public Sector Corruption in Nigeria: The Gioia Methodology </w:t>
            </w:r>
          </w:p>
        </w:tc>
        <w:tc>
          <w:tcPr>
            <w:tcW w:w="876" w:type="pct"/>
            <w:tcBorders>
              <w:top w:val="single" w:sz="4" w:space="0" w:color="auto"/>
              <w:left w:val="single" w:sz="4" w:space="0" w:color="auto"/>
              <w:bottom w:val="single" w:sz="4" w:space="0" w:color="auto"/>
              <w:right w:val="single" w:sz="4" w:space="0" w:color="auto"/>
            </w:tcBorders>
          </w:tcPr>
          <w:p w14:paraId="474647BF"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Ordinary Least Square Regression</w:t>
            </w:r>
          </w:p>
        </w:tc>
        <w:tc>
          <w:tcPr>
            <w:tcW w:w="1291" w:type="pct"/>
            <w:tcBorders>
              <w:top w:val="single" w:sz="4" w:space="0" w:color="auto"/>
              <w:left w:val="single" w:sz="4" w:space="0" w:color="auto"/>
              <w:bottom w:val="single" w:sz="4" w:space="0" w:color="auto"/>
              <w:right w:val="single" w:sz="4" w:space="0" w:color="auto"/>
            </w:tcBorders>
          </w:tcPr>
          <w:p w14:paraId="6E3B56F5"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There’s significant positive relationship between the forensic accounting, internal audit quality and corporate fraud prevention of the listed deposit money banks in Nigeria.</w:t>
            </w:r>
          </w:p>
        </w:tc>
        <w:tc>
          <w:tcPr>
            <w:tcW w:w="1000" w:type="pct"/>
            <w:tcBorders>
              <w:top w:val="single" w:sz="4" w:space="0" w:color="auto"/>
              <w:left w:val="single" w:sz="4" w:space="0" w:color="auto"/>
              <w:bottom w:val="single" w:sz="4" w:space="0" w:color="auto"/>
              <w:right w:val="single" w:sz="4" w:space="0" w:color="auto"/>
            </w:tcBorders>
          </w:tcPr>
          <w:p w14:paraId="7583D668"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The study considered the Nigeria listed deposit (DMB). The population of this study consists of all the quoted DMBs on the Nigeria stock exchange as at 2015</w:t>
            </w:r>
          </w:p>
        </w:tc>
      </w:tr>
      <w:tr w:rsidR="000B5622" w:rsidRPr="008B1465" w14:paraId="428E129D" w14:textId="77777777" w:rsidTr="007E4D0F">
        <w:tc>
          <w:tcPr>
            <w:tcW w:w="292" w:type="pct"/>
            <w:tcBorders>
              <w:top w:val="single" w:sz="4" w:space="0" w:color="auto"/>
              <w:left w:val="single" w:sz="4" w:space="0" w:color="auto"/>
              <w:bottom w:val="single" w:sz="4" w:space="0" w:color="auto"/>
              <w:right w:val="single" w:sz="4" w:space="0" w:color="auto"/>
            </w:tcBorders>
          </w:tcPr>
          <w:p w14:paraId="76F7337F"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047F8A2C"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hAnsi="Times New Roman"/>
                <w:sz w:val="24"/>
                <w:szCs w:val="24"/>
                <w:shd w:val="clear" w:color="auto" w:fill="FFFFFF"/>
              </w:rPr>
              <w:t>Yahaya, Abba &amp; Suleiman (2018).</w:t>
            </w:r>
          </w:p>
        </w:tc>
        <w:tc>
          <w:tcPr>
            <w:tcW w:w="875" w:type="pct"/>
            <w:tcBorders>
              <w:top w:val="single" w:sz="4" w:space="0" w:color="auto"/>
              <w:left w:val="single" w:sz="4" w:space="0" w:color="auto"/>
              <w:bottom w:val="single" w:sz="4" w:space="0" w:color="auto"/>
              <w:right w:val="single" w:sz="4" w:space="0" w:color="auto"/>
            </w:tcBorders>
          </w:tcPr>
          <w:p w14:paraId="2BE4775A"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eastAsia="Calibri" w:hAnsi="Times New Roman"/>
                <w:sz w:val="24"/>
                <w:szCs w:val="24"/>
                <w:shd w:val="clear" w:color="auto" w:fill="FFFFFF"/>
              </w:rPr>
              <w:t xml:space="preserve">Influence of Forensic Accounting Practices on Fraud Prevention among Listed Companies in Nigeria </w:t>
            </w:r>
          </w:p>
        </w:tc>
        <w:tc>
          <w:tcPr>
            <w:tcW w:w="876" w:type="pct"/>
            <w:tcBorders>
              <w:top w:val="single" w:sz="4" w:space="0" w:color="auto"/>
              <w:left w:val="single" w:sz="4" w:space="0" w:color="auto"/>
              <w:bottom w:val="single" w:sz="4" w:space="0" w:color="auto"/>
              <w:right w:val="single" w:sz="4" w:space="0" w:color="auto"/>
            </w:tcBorders>
          </w:tcPr>
          <w:p w14:paraId="76C38877"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Survey Method Multiple Regression Model </w:t>
            </w:r>
          </w:p>
        </w:tc>
        <w:tc>
          <w:tcPr>
            <w:tcW w:w="1291" w:type="pct"/>
            <w:tcBorders>
              <w:top w:val="single" w:sz="4" w:space="0" w:color="auto"/>
              <w:left w:val="single" w:sz="4" w:space="0" w:color="auto"/>
              <w:bottom w:val="single" w:sz="4" w:space="0" w:color="auto"/>
              <w:right w:val="single" w:sz="4" w:space="0" w:color="auto"/>
            </w:tcBorders>
          </w:tcPr>
          <w:p w14:paraId="46573617"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Forensic Accounting knowledge and complexity are significantly related with fraud prevention</w:t>
            </w:r>
          </w:p>
        </w:tc>
        <w:tc>
          <w:tcPr>
            <w:tcW w:w="1000" w:type="pct"/>
            <w:tcBorders>
              <w:top w:val="single" w:sz="4" w:space="0" w:color="auto"/>
              <w:left w:val="single" w:sz="4" w:space="0" w:color="auto"/>
              <w:bottom w:val="single" w:sz="4" w:space="0" w:color="auto"/>
              <w:right w:val="single" w:sz="4" w:space="0" w:color="auto"/>
            </w:tcBorders>
          </w:tcPr>
          <w:p w14:paraId="1AC2E9BF"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The study considered listed companies ianuolamn Nigeria sample size was 177 Auditors of the listed companies out of which 105 auditors responded.</w:t>
            </w:r>
          </w:p>
        </w:tc>
      </w:tr>
      <w:tr w:rsidR="000B5622" w:rsidRPr="008B1465" w14:paraId="22BB2B4A" w14:textId="77777777" w:rsidTr="007E4D0F">
        <w:tc>
          <w:tcPr>
            <w:tcW w:w="292" w:type="pct"/>
            <w:tcBorders>
              <w:top w:val="single" w:sz="4" w:space="0" w:color="auto"/>
              <w:left w:val="single" w:sz="4" w:space="0" w:color="auto"/>
              <w:bottom w:val="single" w:sz="4" w:space="0" w:color="auto"/>
              <w:right w:val="single" w:sz="4" w:space="0" w:color="auto"/>
            </w:tcBorders>
          </w:tcPr>
          <w:p w14:paraId="5F6CDCC9"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6E5EFD5C"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eastAsia="Calibri" w:hAnsi="Times New Roman"/>
                <w:sz w:val="24"/>
                <w:szCs w:val="24"/>
                <w:shd w:val="clear" w:color="auto" w:fill="FFFFFF"/>
              </w:rPr>
              <w:t>Anuolam, Onyema &amp; Ekeke (2017)</w:t>
            </w:r>
          </w:p>
        </w:tc>
        <w:tc>
          <w:tcPr>
            <w:tcW w:w="875" w:type="pct"/>
            <w:tcBorders>
              <w:top w:val="single" w:sz="4" w:space="0" w:color="auto"/>
              <w:left w:val="single" w:sz="4" w:space="0" w:color="auto"/>
              <w:bottom w:val="single" w:sz="4" w:space="0" w:color="auto"/>
              <w:right w:val="single" w:sz="4" w:space="0" w:color="auto"/>
            </w:tcBorders>
          </w:tcPr>
          <w:p w14:paraId="4D2A934E"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eastAsia="Calibri" w:hAnsi="Times New Roman"/>
                <w:sz w:val="24"/>
                <w:szCs w:val="24"/>
                <w:shd w:val="clear" w:color="auto" w:fill="FFFFFF"/>
              </w:rPr>
              <w:t>Forensic Accounting and Financial Crisis In Nigeria</w:t>
            </w:r>
          </w:p>
        </w:tc>
        <w:tc>
          <w:tcPr>
            <w:tcW w:w="876" w:type="pct"/>
            <w:tcBorders>
              <w:top w:val="single" w:sz="4" w:space="0" w:color="auto"/>
              <w:left w:val="single" w:sz="4" w:space="0" w:color="auto"/>
              <w:bottom w:val="single" w:sz="4" w:space="0" w:color="auto"/>
              <w:right w:val="single" w:sz="4" w:space="0" w:color="auto"/>
            </w:tcBorders>
          </w:tcPr>
          <w:p w14:paraId="7561EBED"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Survey Research Design,</w:t>
            </w:r>
          </w:p>
        </w:tc>
        <w:tc>
          <w:tcPr>
            <w:tcW w:w="1291" w:type="pct"/>
            <w:tcBorders>
              <w:top w:val="single" w:sz="4" w:space="0" w:color="auto"/>
              <w:left w:val="single" w:sz="4" w:space="0" w:color="auto"/>
              <w:bottom w:val="single" w:sz="4" w:space="0" w:color="auto"/>
              <w:right w:val="single" w:sz="4" w:space="0" w:color="auto"/>
            </w:tcBorders>
          </w:tcPr>
          <w:p w14:paraId="48A4E612"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Forensic Accounting is significant in the face of the increasing fraudulent practices in Nigeria</w:t>
            </w:r>
          </w:p>
        </w:tc>
        <w:tc>
          <w:tcPr>
            <w:tcW w:w="1000" w:type="pct"/>
            <w:tcBorders>
              <w:top w:val="single" w:sz="4" w:space="0" w:color="auto"/>
              <w:left w:val="single" w:sz="4" w:space="0" w:color="auto"/>
              <w:bottom w:val="single" w:sz="4" w:space="0" w:color="auto"/>
              <w:right w:val="single" w:sz="4" w:space="0" w:color="auto"/>
            </w:tcBorders>
          </w:tcPr>
          <w:p w14:paraId="791B2DDB"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Population of 140 too small for generalization.</w:t>
            </w:r>
          </w:p>
        </w:tc>
      </w:tr>
      <w:tr w:rsidR="000B5622" w:rsidRPr="008B1465" w14:paraId="6E85DE45" w14:textId="77777777" w:rsidTr="007E4D0F">
        <w:tc>
          <w:tcPr>
            <w:tcW w:w="292" w:type="pct"/>
            <w:tcBorders>
              <w:top w:val="single" w:sz="4" w:space="0" w:color="auto"/>
              <w:left w:val="single" w:sz="4" w:space="0" w:color="auto"/>
              <w:bottom w:val="single" w:sz="4" w:space="0" w:color="auto"/>
              <w:right w:val="single" w:sz="4" w:space="0" w:color="auto"/>
            </w:tcBorders>
          </w:tcPr>
          <w:p w14:paraId="01786BC3"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03CABBF6"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eastAsia="Calibri" w:hAnsi="Times New Roman"/>
                <w:sz w:val="24"/>
                <w:szCs w:val="24"/>
                <w:shd w:val="clear" w:color="auto" w:fill="FFFFFF"/>
              </w:rPr>
              <w:t xml:space="preserve">Akinadewo (2020) </w:t>
            </w:r>
          </w:p>
        </w:tc>
        <w:tc>
          <w:tcPr>
            <w:tcW w:w="875" w:type="pct"/>
            <w:tcBorders>
              <w:top w:val="single" w:sz="4" w:space="0" w:color="auto"/>
              <w:left w:val="single" w:sz="4" w:space="0" w:color="auto"/>
              <w:bottom w:val="single" w:sz="4" w:space="0" w:color="auto"/>
              <w:right w:val="single" w:sz="4" w:space="0" w:color="auto"/>
            </w:tcBorders>
          </w:tcPr>
          <w:p w14:paraId="13996E9D"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eastAsia="Calibri" w:hAnsi="Times New Roman"/>
                <w:sz w:val="24"/>
                <w:szCs w:val="24"/>
                <w:shd w:val="clear" w:color="auto" w:fill="FFFFFF"/>
              </w:rPr>
              <w:t xml:space="preserve">Application of forensic accounting and domestic, debt management on government revenue in Nigeria  </w:t>
            </w:r>
          </w:p>
        </w:tc>
        <w:tc>
          <w:tcPr>
            <w:tcW w:w="876" w:type="pct"/>
            <w:tcBorders>
              <w:top w:val="single" w:sz="4" w:space="0" w:color="auto"/>
              <w:left w:val="single" w:sz="4" w:space="0" w:color="auto"/>
              <w:bottom w:val="single" w:sz="4" w:space="0" w:color="auto"/>
              <w:right w:val="single" w:sz="4" w:space="0" w:color="auto"/>
            </w:tcBorders>
          </w:tcPr>
          <w:p w14:paraId="00353C63"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Primary data (Questionnaire) Descriptive Statistics Multiple regression analysis </w:t>
            </w:r>
          </w:p>
        </w:tc>
        <w:tc>
          <w:tcPr>
            <w:tcW w:w="1291" w:type="pct"/>
            <w:tcBorders>
              <w:top w:val="single" w:sz="4" w:space="0" w:color="auto"/>
              <w:left w:val="single" w:sz="4" w:space="0" w:color="auto"/>
              <w:bottom w:val="single" w:sz="4" w:space="0" w:color="auto"/>
              <w:right w:val="single" w:sz="4" w:space="0" w:color="auto"/>
            </w:tcBorders>
          </w:tcPr>
          <w:p w14:paraId="155A50C7"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Forensic accounting and domestic debt management have a significant positive nexus with government revenue. </w:t>
            </w:r>
          </w:p>
        </w:tc>
        <w:tc>
          <w:tcPr>
            <w:tcW w:w="1000" w:type="pct"/>
            <w:tcBorders>
              <w:top w:val="single" w:sz="4" w:space="0" w:color="auto"/>
              <w:left w:val="single" w:sz="4" w:space="0" w:color="auto"/>
              <w:bottom w:val="single" w:sz="4" w:space="0" w:color="auto"/>
              <w:right w:val="single" w:sz="4" w:space="0" w:color="auto"/>
            </w:tcBorders>
          </w:tcPr>
          <w:p w14:paraId="44D9B1C6" w14:textId="6776698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Centred on chartered </w:t>
            </w:r>
            <w:r w:rsidR="00FB475F" w:rsidRPr="008B1465">
              <w:rPr>
                <w:rFonts w:ascii="Times New Roman" w:eastAsia="Calibri" w:hAnsi="Times New Roman"/>
                <w:sz w:val="24"/>
                <w:szCs w:val="24"/>
              </w:rPr>
              <w:t>accountants’</w:t>
            </w:r>
            <w:r w:rsidRPr="008B1465">
              <w:rPr>
                <w:rFonts w:ascii="Times New Roman" w:eastAsia="Calibri" w:hAnsi="Times New Roman"/>
                <w:sz w:val="24"/>
                <w:szCs w:val="24"/>
              </w:rPr>
              <w:t xml:space="preserve"> of 1500 population and 306 sample size </w:t>
            </w:r>
          </w:p>
        </w:tc>
      </w:tr>
      <w:tr w:rsidR="000B5622" w:rsidRPr="008B1465" w14:paraId="24FBA1EA" w14:textId="77777777" w:rsidTr="007E4D0F">
        <w:tc>
          <w:tcPr>
            <w:tcW w:w="292" w:type="pct"/>
            <w:tcBorders>
              <w:top w:val="single" w:sz="4" w:space="0" w:color="auto"/>
              <w:left w:val="single" w:sz="4" w:space="0" w:color="auto"/>
              <w:bottom w:val="single" w:sz="4" w:space="0" w:color="auto"/>
              <w:right w:val="single" w:sz="4" w:space="0" w:color="auto"/>
            </w:tcBorders>
          </w:tcPr>
          <w:p w14:paraId="20ACDD6D"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22B768DB"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hAnsi="Times New Roman"/>
                <w:sz w:val="24"/>
                <w:szCs w:val="24"/>
                <w:shd w:val="clear" w:color="auto" w:fill="FFFFFF"/>
              </w:rPr>
              <w:t>Lawal, Yinusa, Lawal, yetunji &amp; Adekoya (2020).</w:t>
            </w:r>
          </w:p>
        </w:tc>
        <w:tc>
          <w:tcPr>
            <w:tcW w:w="875" w:type="pct"/>
            <w:tcBorders>
              <w:top w:val="single" w:sz="4" w:space="0" w:color="auto"/>
              <w:left w:val="single" w:sz="4" w:space="0" w:color="auto"/>
              <w:bottom w:val="single" w:sz="4" w:space="0" w:color="auto"/>
              <w:right w:val="single" w:sz="4" w:space="0" w:color="auto"/>
            </w:tcBorders>
          </w:tcPr>
          <w:p w14:paraId="713E4D42"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eastAsia="Calibri" w:hAnsi="Times New Roman"/>
                <w:sz w:val="24"/>
                <w:szCs w:val="24"/>
                <w:shd w:val="clear" w:color="auto" w:fill="FFFFFF"/>
              </w:rPr>
              <w:t xml:space="preserve">Forensic Accounting And Fraud Detection: Evidence From Manufacturing Industry in Nigeria    </w:t>
            </w:r>
          </w:p>
        </w:tc>
        <w:tc>
          <w:tcPr>
            <w:tcW w:w="876" w:type="pct"/>
            <w:tcBorders>
              <w:top w:val="single" w:sz="4" w:space="0" w:color="auto"/>
              <w:left w:val="single" w:sz="4" w:space="0" w:color="auto"/>
              <w:bottom w:val="single" w:sz="4" w:space="0" w:color="auto"/>
              <w:right w:val="single" w:sz="4" w:space="0" w:color="auto"/>
            </w:tcBorders>
          </w:tcPr>
          <w:p w14:paraId="7E26C38D"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Descriptive research design</w:t>
            </w:r>
          </w:p>
        </w:tc>
        <w:tc>
          <w:tcPr>
            <w:tcW w:w="1291" w:type="pct"/>
            <w:tcBorders>
              <w:top w:val="single" w:sz="4" w:space="0" w:color="auto"/>
              <w:left w:val="single" w:sz="4" w:space="0" w:color="auto"/>
              <w:bottom w:val="single" w:sz="4" w:space="0" w:color="auto"/>
              <w:right w:val="single" w:sz="4" w:space="0" w:color="auto"/>
            </w:tcBorders>
          </w:tcPr>
          <w:p w14:paraId="3028EBB0"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There is significant effect of forensic accounting on fraud detection </w:t>
            </w:r>
          </w:p>
        </w:tc>
        <w:tc>
          <w:tcPr>
            <w:tcW w:w="1000" w:type="pct"/>
            <w:tcBorders>
              <w:top w:val="single" w:sz="4" w:space="0" w:color="auto"/>
              <w:left w:val="single" w:sz="4" w:space="0" w:color="auto"/>
              <w:bottom w:val="single" w:sz="4" w:space="0" w:color="auto"/>
              <w:right w:val="single" w:sz="4" w:space="0" w:color="auto"/>
            </w:tcBorders>
          </w:tcPr>
          <w:p w14:paraId="2CE69555"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The study was limited manufacturing companies in Nigeria and PZ account department as the population of the study </w:t>
            </w:r>
          </w:p>
        </w:tc>
      </w:tr>
      <w:tr w:rsidR="000B5622" w:rsidRPr="008B1465" w14:paraId="08BB580E" w14:textId="77777777" w:rsidTr="007E4D0F">
        <w:tc>
          <w:tcPr>
            <w:tcW w:w="292" w:type="pct"/>
            <w:tcBorders>
              <w:top w:val="single" w:sz="4" w:space="0" w:color="auto"/>
              <w:left w:val="single" w:sz="4" w:space="0" w:color="auto"/>
              <w:bottom w:val="single" w:sz="4" w:space="0" w:color="auto"/>
              <w:right w:val="single" w:sz="4" w:space="0" w:color="auto"/>
            </w:tcBorders>
          </w:tcPr>
          <w:p w14:paraId="647F6526"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0658462A"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hAnsi="Times New Roman"/>
                <w:sz w:val="24"/>
                <w:szCs w:val="24"/>
                <w:shd w:val="clear" w:color="auto" w:fill="FFFFFF"/>
              </w:rPr>
              <w:t>Azman &amp; Vaicondam, (2020).</w:t>
            </w:r>
          </w:p>
        </w:tc>
        <w:tc>
          <w:tcPr>
            <w:tcW w:w="875" w:type="pct"/>
            <w:tcBorders>
              <w:top w:val="single" w:sz="4" w:space="0" w:color="auto"/>
              <w:left w:val="single" w:sz="4" w:space="0" w:color="auto"/>
              <w:bottom w:val="single" w:sz="4" w:space="0" w:color="auto"/>
              <w:right w:val="single" w:sz="4" w:space="0" w:color="auto"/>
            </w:tcBorders>
          </w:tcPr>
          <w:p w14:paraId="03886731"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eastAsia="Calibri" w:hAnsi="Times New Roman"/>
                <w:sz w:val="24"/>
                <w:szCs w:val="24"/>
                <w:shd w:val="clear" w:color="auto" w:fill="FFFFFF"/>
              </w:rPr>
              <w:t>Behavioural Intention in Forensic Accounting Services</w:t>
            </w:r>
          </w:p>
        </w:tc>
        <w:tc>
          <w:tcPr>
            <w:tcW w:w="876" w:type="pct"/>
            <w:tcBorders>
              <w:top w:val="single" w:sz="4" w:space="0" w:color="auto"/>
              <w:left w:val="single" w:sz="4" w:space="0" w:color="auto"/>
              <w:bottom w:val="single" w:sz="4" w:space="0" w:color="auto"/>
              <w:right w:val="single" w:sz="4" w:space="0" w:color="auto"/>
            </w:tcBorders>
          </w:tcPr>
          <w:p w14:paraId="22EB838A"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Causal comparative research design Protection Motivation Theory (PMT) </w:t>
            </w:r>
          </w:p>
          <w:p w14:paraId="40221C93"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Theory planned of Behavior (TPB)</w:t>
            </w:r>
          </w:p>
        </w:tc>
        <w:tc>
          <w:tcPr>
            <w:tcW w:w="1291" w:type="pct"/>
            <w:tcBorders>
              <w:top w:val="single" w:sz="4" w:space="0" w:color="auto"/>
              <w:left w:val="single" w:sz="4" w:space="0" w:color="auto"/>
              <w:bottom w:val="single" w:sz="4" w:space="0" w:color="auto"/>
              <w:right w:val="single" w:sz="4" w:space="0" w:color="auto"/>
            </w:tcBorders>
          </w:tcPr>
          <w:p w14:paraId="77AF0C44"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This study is expected to contribute to generating the best model on the development of behavioral intention in FAS by making FAS as one of the frequently used tools in fraud prevention and detection, especially among listed firms in Malaysia.</w:t>
            </w:r>
          </w:p>
        </w:tc>
        <w:tc>
          <w:tcPr>
            <w:tcW w:w="1000" w:type="pct"/>
            <w:tcBorders>
              <w:top w:val="single" w:sz="4" w:space="0" w:color="auto"/>
              <w:left w:val="single" w:sz="4" w:space="0" w:color="auto"/>
              <w:bottom w:val="single" w:sz="4" w:space="0" w:color="auto"/>
              <w:right w:val="single" w:sz="4" w:space="0" w:color="auto"/>
            </w:tcBorders>
          </w:tcPr>
          <w:p w14:paraId="117676E1"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Sample size of 260 used in Malaysia listed firms.</w:t>
            </w:r>
          </w:p>
        </w:tc>
      </w:tr>
      <w:tr w:rsidR="000B5622" w:rsidRPr="008B1465" w14:paraId="5C1D8719" w14:textId="77777777" w:rsidTr="007E4D0F">
        <w:tc>
          <w:tcPr>
            <w:tcW w:w="292" w:type="pct"/>
            <w:tcBorders>
              <w:top w:val="single" w:sz="4" w:space="0" w:color="auto"/>
              <w:left w:val="single" w:sz="4" w:space="0" w:color="auto"/>
              <w:bottom w:val="single" w:sz="4" w:space="0" w:color="auto"/>
              <w:right w:val="single" w:sz="4" w:space="0" w:color="auto"/>
            </w:tcBorders>
          </w:tcPr>
          <w:p w14:paraId="162DBB0C"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736D8A68"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hAnsi="Times New Roman"/>
                <w:sz w:val="24"/>
                <w:szCs w:val="24"/>
                <w:shd w:val="clear" w:color="auto" w:fill="FFFFFF"/>
              </w:rPr>
              <w:t xml:space="preserve">Oyebisi, Wisdom, Olusogo &amp; Ifeoluwa (2018). </w:t>
            </w:r>
          </w:p>
        </w:tc>
        <w:tc>
          <w:tcPr>
            <w:tcW w:w="875" w:type="pct"/>
            <w:tcBorders>
              <w:top w:val="single" w:sz="4" w:space="0" w:color="auto"/>
              <w:left w:val="single" w:sz="4" w:space="0" w:color="auto"/>
              <w:bottom w:val="single" w:sz="4" w:space="0" w:color="auto"/>
              <w:right w:val="single" w:sz="4" w:space="0" w:color="auto"/>
            </w:tcBorders>
          </w:tcPr>
          <w:p w14:paraId="4C63A9D2"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eastAsia="Calibri" w:hAnsi="Times New Roman"/>
                <w:sz w:val="24"/>
                <w:szCs w:val="24"/>
                <w:shd w:val="clear" w:color="auto" w:fill="FFFFFF"/>
              </w:rPr>
              <w:t>Forensic Accounting and Fraud Prevention and Detection in Nigerian Banking Industry</w:t>
            </w:r>
          </w:p>
        </w:tc>
        <w:tc>
          <w:tcPr>
            <w:tcW w:w="876" w:type="pct"/>
            <w:tcBorders>
              <w:top w:val="single" w:sz="4" w:space="0" w:color="auto"/>
              <w:left w:val="single" w:sz="4" w:space="0" w:color="auto"/>
              <w:bottom w:val="single" w:sz="4" w:space="0" w:color="auto"/>
              <w:right w:val="single" w:sz="4" w:space="0" w:color="auto"/>
            </w:tcBorders>
          </w:tcPr>
          <w:p w14:paraId="2676C8D0"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Survey research design </w:t>
            </w:r>
          </w:p>
        </w:tc>
        <w:tc>
          <w:tcPr>
            <w:tcW w:w="1291" w:type="pct"/>
            <w:tcBorders>
              <w:top w:val="single" w:sz="4" w:space="0" w:color="auto"/>
              <w:left w:val="single" w:sz="4" w:space="0" w:color="auto"/>
              <w:bottom w:val="single" w:sz="4" w:space="0" w:color="auto"/>
              <w:right w:val="single" w:sz="4" w:space="0" w:color="auto"/>
            </w:tcBorders>
          </w:tcPr>
          <w:p w14:paraId="3602A024"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Forensic accounting has a significant impact of Fraud prevention detection </w:t>
            </w:r>
          </w:p>
        </w:tc>
        <w:tc>
          <w:tcPr>
            <w:tcW w:w="1000" w:type="pct"/>
            <w:tcBorders>
              <w:top w:val="single" w:sz="4" w:space="0" w:color="auto"/>
              <w:left w:val="single" w:sz="4" w:space="0" w:color="auto"/>
              <w:bottom w:val="single" w:sz="4" w:space="0" w:color="auto"/>
              <w:right w:val="single" w:sz="4" w:space="0" w:color="auto"/>
            </w:tcBorders>
          </w:tcPr>
          <w:p w14:paraId="1DC650FC"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Centred on 21 deposits money bank in Nigeria as the population 4 banks chosen as sample size with 100 questionnaires </w:t>
            </w:r>
          </w:p>
        </w:tc>
      </w:tr>
      <w:tr w:rsidR="000B5622" w:rsidRPr="008B1465" w14:paraId="5658768F" w14:textId="77777777" w:rsidTr="007E4D0F">
        <w:tc>
          <w:tcPr>
            <w:tcW w:w="292" w:type="pct"/>
            <w:tcBorders>
              <w:top w:val="single" w:sz="4" w:space="0" w:color="auto"/>
              <w:left w:val="single" w:sz="4" w:space="0" w:color="auto"/>
              <w:bottom w:val="single" w:sz="4" w:space="0" w:color="auto"/>
              <w:right w:val="single" w:sz="4" w:space="0" w:color="auto"/>
            </w:tcBorders>
          </w:tcPr>
          <w:p w14:paraId="73D4A2B8"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3F73687A"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hAnsi="Times New Roman"/>
                <w:sz w:val="24"/>
                <w:szCs w:val="24"/>
                <w:shd w:val="clear" w:color="auto" w:fill="FFFFFF"/>
              </w:rPr>
              <w:t>Utomwen &amp; Danjuma (2015).</w:t>
            </w:r>
          </w:p>
        </w:tc>
        <w:tc>
          <w:tcPr>
            <w:tcW w:w="875" w:type="pct"/>
            <w:tcBorders>
              <w:top w:val="single" w:sz="4" w:space="0" w:color="auto"/>
              <w:left w:val="single" w:sz="4" w:space="0" w:color="auto"/>
              <w:bottom w:val="single" w:sz="4" w:space="0" w:color="auto"/>
              <w:right w:val="single" w:sz="4" w:space="0" w:color="auto"/>
            </w:tcBorders>
          </w:tcPr>
          <w:p w14:paraId="497BDF12"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eastAsia="Calibri" w:hAnsi="Times New Roman"/>
                <w:sz w:val="24"/>
                <w:szCs w:val="24"/>
                <w:shd w:val="clear" w:color="auto" w:fill="FFFFFF"/>
              </w:rPr>
              <w:t xml:space="preserve">The Role of Forensic Accounting in Mitigating Financial Crimes </w:t>
            </w:r>
          </w:p>
        </w:tc>
        <w:tc>
          <w:tcPr>
            <w:tcW w:w="876" w:type="pct"/>
            <w:tcBorders>
              <w:top w:val="single" w:sz="4" w:space="0" w:color="auto"/>
              <w:left w:val="single" w:sz="4" w:space="0" w:color="auto"/>
              <w:bottom w:val="single" w:sz="4" w:space="0" w:color="auto"/>
              <w:right w:val="single" w:sz="4" w:space="0" w:color="auto"/>
            </w:tcBorders>
          </w:tcPr>
          <w:p w14:paraId="30298BB5"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Survey Research Design and Multiple OLS regression techniques </w:t>
            </w:r>
          </w:p>
        </w:tc>
        <w:tc>
          <w:tcPr>
            <w:tcW w:w="1291" w:type="pct"/>
            <w:tcBorders>
              <w:top w:val="single" w:sz="4" w:space="0" w:color="auto"/>
              <w:left w:val="single" w:sz="4" w:space="0" w:color="auto"/>
              <w:bottom w:val="single" w:sz="4" w:space="0" w:color="auto"/>
              <w:right w:val="single" w:sz="4" w:space="0" w:color="auto"/>
            </w:tcBorders>
          </w:tcPr>
          <w:p w14:paraId="44E1743F"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Focus on financial crime in banking system</w:t>
            </w:r>
          </w:p>
        </w:tc>
        <w:tc>
          <w:tcPr>
            <w:tcW w:w="1000" w:type="pct"/>
            <w:tcBorders>
              <w:top w:val="single" w:sz="4" w:space="0" w:color="auto"/>
              <w:left w:val="single" w:sz="4" w:space="0" w:color="auto"/>
              <w:bottom w:val="single" w:sz="4" w:space="0" w:color="auto"/>
              <w:right w:val="single" w:sz="4" w:space="0" w:color="auto"/>
            </w:tcBorders>
          </w:tcPr>
          <w:p w14:paraId="18357865"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There is a need for forensic accountants in the Nigerian banking System</w:t>
            </w:r>
          </w:p>
        </w:tc>
      </w:tr>
      <w:tr w:rsidR="000B5622" w:rsidRPr="008B1465" w14:paraId="0891E311" w14:textId="77777777" w:rsidTr="007E4D0F">
        <w:tc>
          <w:tcPr>
            <w:tcW w:w="292" w:type="pct"/>
            <w:tcBorders>
              <w:top w:val="single" w:sz="4" w:space="0" w:color="auto"/>
              <w:left w:val="single" w:sz="4" w:space="0" w:color="auto"/>
              <w:bottom w:val="single" w:sz="4" w:space="0" w:color="auto"/>
              <w:right w:val="single" w:sz="4" w:space="0" w:color="auto"/>
            </w:tcBorders>
          </w:tcPr>
          <w:p w14:paraId="1AC92AD0"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327C1F64"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eastAsia="Calibri" w:hAnsi="Times New Roman"/>
                <w:sz w:val="24"/>
                <w:szCs w:val="24"/>
                <w:shd w:val="clear" w:color="auto" w:fill="FFFFFF"/>
              </w:rPr>
              <w:t>Moses (2019)</w:t>
            </w:r>
          </w:p>
        </w:tc>
        <w:tc>
          <w:tcPr>
            <w:tcW w:w="875" w:type="pct"/>
            <w:tcBorders>
              <w:top w:val="single" w:sz="4" w:space="0" w:color="auto"/>
              <w:left w:val="single" w:sz="4" w:space="0" w:color="auto"/>
              <w:bottom w:val="single" w:sz="4" w:space="0" w:color="auto"/>
              <w:right w:val="single" w:sz="4" w:space="0" w:color="auto"/>
            </w:tcBorders>
          </w:tcPr>
          <w:p w14:paraId="5ECD1126" w14:textId="77777777" w:rsidR="001D4E30" w:rsidRPr="008B1465" w:rsidRDefault="001D4E30" w:rsidP="007541CB">
            <w:pPr>
              <w:pStyle w:val="NoSpacing"/>
              <w:rPr>
                <w:rFonts w:ascii="Times New Roman" w:eastAsia="Calibri" w:hAnsi="Times New Roman"/>
                <w:sz w:val="24"/>
                <w:szCs w:val="24"/>
                <w:shd w:val="clear" w:color="auto" w:fill="FFFFFF"/>
              </w:rPr>
            </w:pPr>
            <w:r w:rsidRPr="008B1465">
              <w:rPr>
                <w:rFonts w:ascii="Times New Roman" w:eastAsia="Calibri" w:hAnsi="Times New Roman"/>
                <w:sz w:val="24"/>
                <w:szCs w:val="24"/>
                <w:shd w:val="clear" w:color="auto" w:fill="FFFFFF"/>
              </w:rPr>
              <w:t xml:space="preserve">Empirical Analysis of Forensic Accounting Techniques in Curbing Creative Accounting in Nigeria  </w:t>
            </w:r>
          </w:p>
        </w:tc>
        <w:tc>
          <w:tcPr>
            <w:tcW w:w="876" w:type="pct"/>
            <w:tcBorders>
              <w:top w:val="single" w:sz="4" w:space="0" w:color="auto"/>
              <w:left w:val="single" w:sz="4" w:space="0" w:color="auto"/>
              <w:bottom w:val="single" w:sz="4" w:space="0" w:color="auto"/>
              <w:right w:val="single" w:sz="4" w:space="0" w:color="auto"/>
            </w:tcBorders>
          </w:tcPr>
          <w:p w14:paraId="7C17C621"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Primary and Secondary Data Primary Data: Questionnaire Secondary Data: Analysis of Variance (ANOVA)</w:t>
            </w:r>
          </w:p>
        </w:tc>
        <w:tc>
          <w:tcPr>
            <w:tcW w:w="1291" w:type="pct"/>
            <w:tcBorders>
              <w:top w:val="single" w:sz="4" w:space="0" w:color="auto"/>
              <w:left w:val="single" w:sz="4" w:space="0" w:color="auto"/>
              <w:bottom w:val="single" w:sz="4" w:space="0" w:color="auto"/>
              <w:right w:val="single" w:sz="4" w:space="0" w:color="auto"/>
            </w:tcBorders>
          </w:tcPr>
          <w:p w14:paraId="3718CC56"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Concentrated on empirical analysis in curbing creative accounting </w:t>
            </w:r>
          </w:p>
        </w:tc>
        <w:tc>
          <w:tcPr>
            <w:tcW w:w="1000" w:type="pct"/>
            <w:tcBorders>
              <w:top w:val="single" w:sz="4" w:space="0" w:color="auto"/>
              <w:left w:val="single" w:sz="4" w:space="0" w:color="auto"/>
              <w:bottom w:val="single" w:sz="4" w:space="0" w:color="auto"/>
              <w:right w:val="single" w:sz="4" w:space="0" w:color="auto"/>
            </w:tcBorders>
          </w:tcPr>
          <w:p w14:paraId="4D63CBE5" w14:textId="77777777" w:rsidR="001D4E30" w:rsidRPr="008B1465" w:rsidRDefault="001D4E30" w:rsidP="007541CB">
            <w:pPr>
              <w:pStyle w:val="NoSpacing"/>
              <w:rPr>
                <w:rFonts w:ascii="Times New Roman" w:eastAsia="Calibri" w:hAnsi="Times New Roman"/>
                <w:sz w:val="24"/>
                <w:szCs w:val="24"/>
              </w:rPr>
            </w:pPr>
            <w:r w:rsidRPr="008B1465">
              <w:rPr>
                <w:rFonts w:ascii="Times New Roman" w:eastAsia="Calibri" w:hAnsi="Times New Roman"/>
                <w:sz w:val="24"/>
                <w:szCs w:val="24"/>
              </w:rPr>
              <w:t xml:space="preserve">The techniques used by forensic accountants can helped in curbing creative accounting. The emergence of forensic accountants can restored confidence in credibility of corporate firms and their report. </w:t>
            </w:r>
          </w:p>
        </w:tc>
      </w:tr>
      <w:tr w:rsidR="000B5622" w:rsidRPr="008B1465" w14:paraId="4D7BE368" w14:textId="77777777" w:rsidTr="007E4D0F">
        <w:tc>
          <w:tcPr>
            <w:tcW w:w="292" w:type="pct"/>
            <w:tcBorders>
              <w:top w:val="single" w:sz="4" w:space="0" w:color="auto"/>
              <w:left w:val="single" w:sz="4" w:space="0" w:color="auto"/>
              <w:bottom w:val="single" w:sz="4" w:space="0" w:color="auto"/>
              <w:right w:val="single" w:sz="4" w:space="0" w:color="auto"/>
            </w:tcBorders>
          </w:tcPr>
          <w:p w14:paraId="5FC0B29B"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7E90BD52" w14:textId="77777777" w:rsidR="001D4E30" w:rsidRPr="008B1465" w:rsidRDefault="001D4E30" w:rsidP="007541CB">
            <w:pPr>
              <w:pStyle w:val="ListParagraph"/>
              <w:spacing w:after="0" w:line="240" w:lineRule="auto"/>
              <w:ind w:left="0"/>
              <w:jc w:val="both"/>
              <w:rPr>
                <w:rFonts w:ascii="Times New Roman" w:hAnsi="Times New Roman"/>
                <w:sz w:val="24"/>
                <w:szCs w:val="24"/>
              </w:rPr>
            </w:pPr>
            <w:r w:rsidRPr="008B1465">
              <w:rPr>
                <w:rFonts w:ascii="Times New Roman" w:hAnsi="Times New Roman"/>
                <w:sz w:val="24"/>
                <w:szCs w:val="24"/>
              </w:rPr>
              <w:t>Ijeoma, (2015)</w:t>
            </w:r>
          </w:p>
        </w:tc>
        <w:tc>
          <w:tcPr>
            <w:tcW w:w="875" w:type="pct"/>
            <w:tcBorders>
              <w:top w:val="single" w:sz="4" w:space="0" w:color="auto"/>
              <w:left w:val="single" w:sz="4" w:space="0" w:color="auto"/>
              <w:bottom w:val="single" w:sz="4" w:space="0" w:color="auto"/>
              <w:right w:val="single" w:sz="4" w:space="0" w:color="auto"/>
            </w:tcBorders>
          </w:tcPr>
          <w:p w14:paraId="11BBEAE7" w14:textId="77777777" w:rsidR="001D4E30"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Empirical analysis on the use of forensic Accounting techniques in curbing</w:t>
            </w:r>
            <w:r w:rsidR="00926E81" w:rsidRPr="008B1465">
              <w:rPr>
                <w:rFonts w:ascii="Times New Roman" w:hAnsi="Times New Roman"/>
                <w:sz w:val="24"/>
                <w:szCs w:val="24"/>
              </w:rPr>
              <w:t xml:space="preserve"> c</w:t>
            </w:r>
            <w:r w:rsidRPr="008B1465">
              <w:rPr>
                <w:rFonts w:ascii="Times New Roman" w:hAnsi="Times New Roman"/>
                <w:sz w:val="24"/>
                <w:szCs w:val="24"/>
              </w:rPr>
              <w:t>reative accounting</w:t>
            </w:r>
          </w:p>
          <w:p w14:paraId="712F59FC" w14:textId="77777777" w:rsidR="001D4E30" w:rsidRPr="008B1465" w:rsidRDefault="001D4E30" w:rsidP="007541CB">
            <w:pPr>
              <w:pStyle w:val="ListParagraph"/>
              <w:spacing w:after="0" w:line="240" w:lineRule="auto"/>
              <w:ind w:left="0"/>
              <w:jc w:val="both"/>
              <w:rPr>
                <w:rFonts w:ascii="Times New Roman" w:hAnsi="Times New Roman"/>
                <w:sz w:val="24"/>
                <w:szCs w:val="24"/>
              </w:rPr>
            </w:pPr>
          </w:p>
        </w:tc>
        <w:tc>
          <w:tcPr>
            <w:tcW w:w="876" w:type="pct"/>
            <w:tcBorders>
              <w:top w:val="single" w:sz="4" w:space="0" w:color="auto"/>
              <w:left w:val="single" w:sz="4" w:space="0" w:color="auto"/>
              <w:bottom w:val="single" w:sz="4" w:space="0" w:color="auto"/>
              <w:right w:val="single" w:sz="4" w:space="0" w:color="auto"/>
            </w:tcBorders>
          </w:tcPr>
          <w:p w14:paraId="409C0FFC" w14:textId="77777777" w:rsidR="001D4E30"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Primary source of data collection was employed and the statistical tools used in analyzing the data include: Kruskal-Wallis test Mean rank and percentage distribution.</w:t>
            </w:r>
          </w:p>
        </w:tc>
        <w:tc>
          <w:tcPr>
            <w:tcW w:w="1291" w:type="pct"/>
            <w:tcBorders>
              <w:top w:val="single" w:sz="4" w:space="0" w:color="auto"/>
              <w:left w:val="single" w:sz="4" w:space="0" w:color="auto"/>
              <w:bottom w:val="single" w:sz="4" w:space="0" w:color="auto"/>
              <w:right w:val="single" w:sz="4" w:space="0" w:color="auto"/>
            </w:tcBorders>
          </w:tcPr>
          <w:p w14:paraId="3E1DFEB4" w14:textId="77777777" w:rsidR="001D4E30" w:rsidRPr="008B1465" w:rsidRDefault="001D4E30" w:rsidP="00E3778B">
            <w:pPr>
              <w:spacing w:after="0" w:line="240" w:lineRule="auto"/>
              <w:rPr>
                <w:rFonts w:ascii="Times New Roman" w:hAnsi="Times New Roman"/>
                <w:sz w:val="24"/>
                <w:szCs w:val="24"/>
              </w:rPr>
            </w:pPr>
            <w:r w:rsidRPr="008B1465">
              <w:rPr>
                <w:rFonts w:ascii="Times New Roman" w:hAnsi="Times New Roman"/>
                <w:sz w:val="24"/>
                <w:szCs w:val="24"/>
              </w:rPr>
              <w:t>It was revealed that strong evidence exists on the effectiveness of techniques used by forensic accountants in helping to curb the problem of creative accounting. The result further revealed the existence of strong evidence that forensic accountants have</w:t>
            </w:r>
            <w:r w:rsidR="00926E81" w:rsidRPr="008B1465">
              <w:rPr>
                <w:rFonts w:ascii="Times New Roman" w:hAnsi="Times New Roman"/>
                <w:sz w:val="24"/>
                <w:szCs w:val="24"/>
              </w:rPr>
              <w:t xml:space="preserve"> </w:t>
            </w:r>
            <w:r w:rsidRPr="008B1465">
              <w:rPr>
                <w:rFonts w:ascii="Times New Roman" w:hAnsi="Times New Roman"/>
                <w:sz w:val="24"/>
                <w:szCs w:val="24"/>
              </w:rPr>
              <w:t>enhanced their efficiency overtime. Emergence of forensic accountants has restored confidence in the credibility of corporate firms and their report</w:t>
            </w:r>
          </w:p>
        </w:tc>
        <w:tc>
          <w:tcPr>
            <w:tcW w:w="1000" w:type="pct"/>
            <w:tcBorders>
              <w:top w:val="single" w:sz="4" w:space="0" w:color="auto"/>
              <w:left w:val="single" w:sz="4" w:space="0" w:color="auto"/>
              <w:bottom w:val="single" w:sz="4" w:space="0" w:color="auto"/>
              <w:right w:val="single" w:sz="4" w:space="0" w:color="auto"/>
            </w:tcBorders>
          </w:tcPr>
          <w:p w14:paraId="1FC11629" w14:textId="77777777" w:rsidR="001D4E30"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Forensic accountants must possess solid</w:t>
            </w:r>
            <w:r w:rsidR="00926E81" w:rsidRPr="008B1465">
              <w:rPr>
                <w:rFonts w:ascii="Times New Roman" w:hAnsi="Times New Roman"/>
                <w:sz w:val="24"/>
                <w:szCs w:val="24"/>
              </w:rPr>
              <w:t xml:space="preserve"> </w:t>
            </w:r>
            <w:r w:rsidRPr="008B1465">
              <w:rPr>
                <w:rFonts w:ascii="Times New Roman" w:hAnsi="Times New Roman"/>
                <w:sz w:val="24"/>
                <w:szCs w:val="24"/>
              </w:rPr>
              <w:t>knowledge and skills in the area of accounting and auditing.</w:t>
            </w:r>
          </w:p>
        </w:tc>
      </w:tr>
      <w:tr w:rsidR="000B5622" w:rsidRPr="008B1465" w14:paraId="40443F32" w14:textId="77777777" w:rsidTr="007E4D0F">
        <w:tc>
          <w:tcPr>
            <w:tcW w:w="292" w:type="pct"/>
            <w:tcBorders>
              <w:top w:val="single" w:sz="4" w:space="0" w:color="auto"/>
              <w:left w:val="single" w:sz="4" w:space="0" w:color="auto"/>
              <w:bottom w:val="single" w:sz="4" w:space="0" w:color="auto"/>
              <w:right w:val="single" w:sz="4" w:space="0" w:color="auto"/>
            </w:tcBorders>
          </w:tcPr>
          <w:p w14:paraId="24CFF5AF"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5910F970" w14:textId="77777777" w:rsidR="001D4E30" w:rsidRPr="008B1465" w:rsidRDefault="001D4E30" w:rsidP="007541CB">
            <w:pPr>
              <w:pStyle w:val="ListParagraph"/>
              <w:spacing w:after="0" w:line="240" w:lineRule="auto"/>
              <w:ind w:left="0"/>
              <w:jc w:val="both"/>
              <w:rPr>
                <w:rFonts w:ascii="Times New Roman" w:hAnsi="Times New Roman"/>
                <w:sz w:val="24"/>
                <w:szCs w:val="24"/>
              </w:rPr>
            </w:pPr>
            <w:r w:rsidRPr="008B1465">
              <w:rPr>
                <w:rFonts w:ascii="Times New Roman" w:hAnsi="Times New Roman"/>
                <w:sz w:val="24"/>
                <w:szCs w:val="24"/>
              </w:rPr>
              <w:t>Özcan, (2019)</w:t>
            </w:r>
          </w:p>
        </w:tc>
        <w:tc>
          <w:tcPr>
            <w:tcW w:w="875" w:type="pct"/>
            <w:tcBorders>
              <w:top w:val="single" w:sz="4" w:space="0" w:color="auto"/>
              <w:left w:val="single" w:sz="4" w:space="0" w:color="auto"/>
              <w:bottom w:val="single" w:sz="4" w:space="0" w:color="auto"/>
              <w:right w:val="single" w:sz="4" w:space="0" w:color="auto"/>
            </w:tcBorders>
          </w:tcPr>
          <w:p w14:paraId="7B3E26BC" w14:textId="77777777" w:rsidR="001D4E30"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 xml:space="preserve">Analyzing the impact of forensic accounting on the detection </w:t>
            </w:r>
            <w:r w:rsidR="00926E81" w:rsidRPr="008B1465">
              <w:rPr>
                <w:rFonts w:ascii="Times New Roman" w:hAnsi="Times New Roman"/>
                <w:sz w:val="24"/>
                <w:szCs w:val="24"/>
              </w:rPr>
              <w:t>o</w:t>
            </w:r>
            <w:r w:rsidRPr="008B1465">
              <w:rPr>
                <w:rFonts w:ascii="Times New Roman" w:hAnsi="Times New Roman"/>
                <w:sz w:val="24"/>
                <w:szCs w:val="24"/>
              </w:rPr>
              <w:t>f financial information manipulation1</w:t>
            </w:r>
          </w:p>
        </w:tc>
        <w:tc>
          <w:tcPr>
            <w:tcW w:w="876" w:type="pct"/>
            <w:tcBorders>
              <w:top w:val="single" w:sz="4" w:space="0" w:color="auto"/>
              <w:left w:val="single" w:sz="4" w:space="0" w:color="auto"/>
              <w:bottom w:val="single" w:sz="4" w:space="0" w:color="auto"/>
              <w:right w:val="single" w:sz="4" w:space="0" w:color="auto"/>
            </w:tcBorders>
          </w:tcPr>
          <w:p w14:paraId="1A60ED77" w14:textId="77777777" w:rsidR="001D4E30"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Mann-Whitney U test is employed to test differences</w:t>
            </w:r>
            <w:r w:rsidR="00926E81" w:rsidRPr="008B1465">
              <w:rPr>
                <w:rFonts w:ascii="Times New Roman" w:hAnsi="Times New Roman"/>
                <w:sz w:val="24"/>
                <w:szCs w:val="24"/>
              </w:rPr>
              <w:t xml:space="preserve"> </w:t>
            </w:r>
            <w:r w:rsidRPr="008B1465">
              <w:rPr>
                <w:rFonts w:ascii="Times New Roman" w:hAnsi="Times New Roman"/>
                <w:sz w:val="24"/>
                <w:szCs w:val="24"/>
              </w:rPr>
              <w:t xml:space="preserve">between financial statement variables of non-manipulator and manipulator firms. </w:t>
            </w:r>
          </w:p>
          <w:p w14:paraId="1382A8C1" w14:textId="77777777" w:rsidR="001D4E30" w:rsidRPr="008B1465" w:rsidRDefault="001D4E30" w:rsidP="007541CB">
            <w:pPr>
              <w:pStyle w:val="ListParagraph"/>
              <w:spacing w:after="0" w:line="240" w:lineRule="auto"/>
              <w:ind w:left="0"/>
              <w:jc w:val="both"/>
              <w:rPr>
                <w:rFonts w:ascii="Times New Roman" w:hAnsi="Times New Roman"/>
                <w:sz w:val="24"/>
                <w:szCs w:val="24"/>
              </w:rPr>
            </w:pPr>
          </w:p>
        </w:tc>
        <w:tc>
          <w:tcPr>
            <w:tcW w:w="1291" w:type="pct"/>
            <w:tcBorders>
              <w:top w:val="single" w:sz="4" w:space="0" w:color="auto"/>
              <w:left w:val="single" w:sz="4" w:space="0" w:color="auto"/>
              <w:bottom w:val="single" w:sz="4" w:space="0" w:color="auto"/>
              <w:right w:val="single" w:sz="4" w:space="0" w:color="auto"/>
            </w:tcBorders>
          </w:tcPr>
          <w:p w14:paraId="1690A246" w14:textId="77777777" w:rsidR="001D4E30"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The results of Mann-Whitney U test reveal that current ratio, net working capital, return on assets, return on</w:t>
            </w:r>
            <w:r w:rsidR="00926E81" w:rsidRPr="008B1465">
              <w:rPr>
                <w:rFonts w:ascii="Times New Roman" w:hAnsi="Times New Roman"/>
                <w:sz w:val="24"/>
                <w:szCs w:val="24"/>
              </w:rPr>
              <w:t xml:space="preserve"> </w:t>
            </w:r>
            <w:r w:rsidRPr="008B1465">
              <w:rPr>
                <w:rFonts w:ascii="Times New Roman" w:hAnsi="Times New Roman"/>
                <w:sz w:val="24"/>
                <w:szCs w:val="24"/>
              </w:rPr>
              <w:t>equity, profit margin, and size of non-manipulator firms is higher than those of manipulator firms.</w:t>
            </w:r>
          </w:p>
        </w:tc>
        <w:tc>
          <w:tcPr>
            <w:tcW w:w="1000" w:type="pct"/>
            <w:tcBorders>
              <w:top w:val="single" w:sz="4" w:space="0" w:color="auto"/>
              <w:left w:val="single" w:sz="4" w:space="0" w:color="auto"/>
              <w:bottom w:val="single" w:sz="4" w:space="0" w:color="auto"/>
              <w:right w:val="single" w:sz="4" w:space="0" w:color="auto"/>
            </w:tcBorders>
          </w:tcPr>
          <w:p w14:paraId="45AE06B6" w14:textId="77777777" w:rsidR="001D4E30" w:rsidRPr="008B1465" w:rsidRDefault="001D4E30" w:rsidP="007541CB">
            <w:pPr>
              <w:pStyle w:val="ListParagraph"/>
              <w:spacing w:after="0" w:line="240" w:lineRule="auto"/>
              <w:ind w:left="0"/>
              <w:rPr>
                <w:rFonts w:ascii="Times New Roman" w:hAnsi="Times New Roman"/>
                <w:sz w:val="24"/>
                <w:szCs w:val="24"/>
              </w:rPr>
            </w:pPr>
            <w:r w:rsidRPr="008B1465">
              <w:rPr>
                <w:rFonts w:ascii="Times New Roman" w:hAnsi="Times New Roman"/>
                <w:sz w:val="24"/>
                <w:szCs w:val="24"/>
              </w:rPr>
              <w:t>The dynamics of forensic accounting are discussed. The methods used by forensic accountants to detect financial information manipulation are presented.</w:t>
            </w:r>
          </w:p>
        </w:tc>
      </w:tr>
      <w:tr w:rsidR="000B5622" w:rsidRPr="008B1465" w14:paraId="28091BA8" w14:textId="77777777" w:rsidTr="007E4D0F">
        <w:tc>
          <w:tcPr>
            <w:tcW w:w="292" w:type="pct"/>
            <w:tcBorders>
              <w:top w:val="single" w:sz="4" w:space="0" w:color="auto"/>
              <w:left w:val="single" w:sz="4" w:space="0" w:color="auto"/>
              <w:bottom w:val="single" w:sz="4" w:space="0" w:color="auto"/>
              <w:right w:val="single" w:sz="4" w:space="0" w:color="auto"/>
            </w:tcBorders>
          </w:tcPr>
          <w:p w14:paraId="15393B28"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4F9F26C7" w14:textId="77777777" w:rsidR="001D4E30" w:rsidRPr="008B1465" w:rsidRDefault="001D4E30" w:rsidP="007541CB">
            <w:pPr>
              <w:pStyle w:val="ListParagraph"/>
              <w:spacing w:after="0" w:line="240" w:lineRule="auto"/>
              <w:ind w:left="0"/>
              <w:jc w:val="both"/>
              <w:rPr>
                <w:rFonts w:ascii="Times New Roman" w:hAnsi="Times New Roman"/>
                <w:sz w:val="24"/>
                <w:szCs w:val="24"/>
              </w:rPr>
            </w:pPr>
            <w:r w:rsidRPr="008B1465">
              <w:rPr>
                <w:rFonts w:ascii="Times New Roman" w:hAnsi="Times New Roman"/>
                <w:sz w:val="24"/>
                <w:szCs w:val="24"/>
              </w:rPr>
              <w:t>Muda &amp; Hasibuan (2017)</w:t>
            </w:r>
          </w:p>
        </w:tc>
        <w:tc>
          <w:tcPr>
            <w:tcW w:w="875" w:type="pct"/>
            <w:tcBorders>
              <w:top w:val="single" w:sz="4" w:space="0" w:color="auto"/>
              <w:left w:val="single" w:sz="4" w:space="0" w:color="auto"/>
              <w:bottom w:val="single" w:sz="4" w:space="0" w:color="auto"/>
              <w:right w:val="single" w:sz="4" w:space="0" w:color="auto"/>
            </w:tcBorders>
          </w:tcPr>
          <w:p w14:paraId="279F7171" w14:textId="77777777" w:rsidR="001D4E30"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 xml:space="preserve">Public </w:t>
            </w:r>
            <w:r w:rsidR="00926E81" w:rsidRPr="008B1465">
              <w:rPr>
                <w:rFonts w:ascii="Times New Roman" w:hAnsi="Times New Roman"/>
                <w:sz w:val="24"/>
                <w:szCs w:val="24"/>
              </w:rPr>
              <w:t>d</w:t>
            </w:r>
            <w:r w:rsidRPr="008B1465">
              <w:rPr>
                <w:rFonts w:ascii="Times New Roman" w:hAnsi="Times New Roman"/>
                <w:sz w:val="24"/>
                <w:szCs w:val="24"/>
              </w:rPr>
              <w:t xml:space="preserve">iscovery of the </w:t>
            </w:r>
            <w:r w:rsidR="00926E81" w:rsidRPr="008B1465">
              <w:rPr>
                <w:rFonts w:ascii="Times New Roman" w:hAnsi="Times New Roman"/>
                <w:sz w:val="24"/>
                <w:szCs w:val="24"/>
              </w:rPr>
              <w:t>c</w:t>
            </w:r>
            <w:r w:rsidRPr="008B1465">
              <w:rPr>
                <w:rFonts w:ascii="Times New Roman" w:hAnsi="Times New Roman"/>
                <w:sz w:val="24"/>
                <w:szCs w:val="24"/>
              </w:rPr>
              <w:t xml:space="preserve">oncept </w:t>
            </w:r>
            <w:r w:rsidR="00926E81" w:rsidRPr="008B1465">
              <w:rPr>
                <w:rFonts w:ascii="Times New Roman" w:hAnsi="Times New Roman"/>
                <w:sz w:val="24"/>
                <w:szCs w:val="24"/>
              </w:rPr>
              <w:t>o</w:t>
            </w:r>
            <w:r w:rsidRPr="008B1465">
              <w:rPr>
                <w:rFonts w:ascii="Times New Roman" w:hAnsi="Times New Roman"/>
                <w:sz w:val="24"/>
                <w:szCs w:val="24"/>
              </w:rPr>
              <w:t xml:space="preserve">f </w:t>
            </w:r>
            <w:r w:rsidR="00926E81" w:rsidRPr="008B1465">
              <w:rPr>
                <w:rFonts w:ascii="Times New Roman" w:hAnsi="Times New Roman"/>
                <w:sz w:val="24"/>
                <w:szCs w:val="24"/>
              </w:rPr>
              <w:t>time value of mone</w:t>
            </w:r>
            <w:r w:rsidRPr="008B1465">
              <w:rPr>
                <w:rFonts w:ascii="Times New Roman" w:hAnsi="Times New Roman"/>
                <w:sz w:val="24"/>
                <w:szCs w:val="24"/>
              </w:rPr>
              <w:t xml:space="preserve">y with </w:t>
            </w:r>
            <w:r w:rsidR="00926E81" w:rsidRPr="008B1465">
              <w:rPr>
                <w:rFonts w:ascii="Times New Roman" w:hAnsi="Times New Roman"/>
                <w:sz w:val="24"/>
                <w:szCs w:val="24"/>
              </w:rPr>
              <w:t>economic value of time</w:t>
            </w:r>
          </w:p>
        </w:tc>
        <w:tc>
          <w:tcPr>
            <w:tcW w:w="876" w:type="pct"/>
            <w:tcBorders>
              <w:top w:val="single" w:sz="4" w:space="0" w:color="auto"/>
              <w:left w:val="single" w:sz="4" w:space="0" w:color="auto"/>
              <w:bottom w:val="single" w:sz="4" w:space="0" w:color="auto"/>
              <w:right w:val="single" w:sz="4" w:space="0" w:color="auto"/>
            </w:tcBorders>
          </w:tcPr>
          <w:p w14:paraId="2ACFCB07" w14:textId="77777777" w:rsidR="001D4E30"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The data used are primary data sourced from questionnaires distributed to 112 random respondents. Data were analyzed using the SEM method with Smart PLS software.</w:t>
            </w:r>
          </w:p>
        </w:tc>
        <w:tc>
          <w:tcPr>
            <w:tcW w:w="1291" w:type="pct"/>
            <w:tcBorders>
              <w:top w:val="single" w:sz="4" w:space="0" w:color="auto"/>
              <w:left w:val="single" w:sz="4" w:space="0" w:color="auto"/>
              <w:bottom w:val="single" w:sz="4" w:space="0" w:color="auto"/>
              <w:right w:val="single" w:sz="4" w:space="0" w:color="auto"/>
            </w:tcBorders>
          </w:tcPr>
          <w:p w14:paraId="00AC9042" w14:textId="77777777" w:rsidR="001D4E30" w:rsidRPr="008B1465" w:rsidRDefault="001D4E30" w:rsidP="007541CB">
            <w:pPr>
              <w:spacing w:after="0" w:line="240" w:lineRule="auto"/>
              <w:jc w:val="both"/>
              <w:rPr>
                <w:rFonts w:ascii="Times New Roman" w:hAnsi="Times New Roman"/>
                <w:sz w:val="24"/>
                <w:szCs w:val="24"/>
              </w:rPr>
            </w:pPr>
            <w:r w:rsidRPr="008B1465">
              <w:rPr>
                <w:rFonts w:ascii="Times New Roman" w:hAnsi="Times New Roman"/>
                <w:sz w:val="24"/>
                <w:szCs w:val="24"/>
              </w:rPr>
              <w:t>The results show that the public do not know exactly the application and the concept of “time</w:t>
            </w:r>
            <w:r w:rsidR="00926E81" w:rsidRPr="008B1465">
              <w:rPr>
                <w:rFonts w:ascii="Times New Roman" w:hAnsi="Times New Roman"/>
                <w:sz w:val="24"/>
                <w:szCs w:val="24"/>
              </w:rPr>
              <w:t xml:space="preserve"> </w:t>
            </w:r>
            <w:r w:rsidRPr="008B1465">
              <w:rPr>
                <w:rFonts w:ascii="Times New Roman" w:hAnsi="Times New Roman"/>
                <w:sz w:val="24"/>
                <w:szCs w:val="24"/>
              </w:rPr>
              <w:t>value of money” and the economic value of time.</w:t>
            </w:r>
          </w:p>
        </w:tc>
        <w:tc>
          <w:tcPr>
            <w:tcW w:w="1000" w:type="pct"/>
            <w:tcBorders>
              <w:top w:val="single" w:sz="4" w:space="0" w:color="auto"/>
              <w:left w:val="single" w:sz="4" w:space="0" w:color="auto"/>
              <w:bottom w:val="single" w:sz="4" w:space="0" w:color="auto"/>
              <w:right w:val="single" w:sz="4" w:space="0" w:color="auto"/>
            </w:tcBorders>
          </w:tcPr>
          <w:p w14:paraId="7726D6BE" w14:textId="77777777" w:rsidR="001D4E30"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The study compares the understanding of the society over th</w:t>
            </w:r>
            <w:r w:rsidR="00926E81" w:rsidRPr="008B1465">
              <w:rPr>
                <w:rFonts w:ascii="Times New Roman" w:hAnsi="Times New Roman"/>
                <w:sz w:val="24"/>
                <w:szCs w:val="24"/>
              </w:rPr>
              <w:t xml:space="preserve">e </w:t>
            </w:r>
            <w:r w:rsidRPr="008B1465">
              <w:rPr>
                <w:rFonts w:ascii="Times New Roman" w:hAnsi="Times New Roman"/>
                <w:sz w:val="24"/>
                <w:szCs w:val="24"/>
              </w:rPr>
              <w:t>concept model of time value of money and the economic value of time.</w:t>
            </w:r>
          </w:p>
        </w:tc>
      </w:tr>
      <w:tr w:rsidR="000B5622" w:rsidRPr="008B1465" w14:paraId="79660E2A" w14:textId="77777777" w:rsidTr="007E4D0F">
        <w:tc>
          <w:tcPr>
            <w:tcW w:w="292" w:type="pct"/>
            <w:tcBorders>
              <w:top w:val="single" w:sz="4" w:space="0" w:color="auto"/>
              <w:left w:val="single" w:sz="4" w:space="0" w:color="auto"/>
              <w:bottom w:val="single" w:sz="4" w:space="0" w:color="auto"/>
              <w:right w:val="single" w:sz="4" w:space="0" w:color="auto"/>
            </w:tcBorders>
          </w:tcPr>
          <w:p w14:paraId="0076B8F4"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65A20F9A" w14:textId="77777777" w:rsidR="001D4E30" w:rsidRPr="008B1465" w:rsidRDefault="001D4E30" w:rsidP="007541CB">
            <w:pPr>
              <w:pStyle w:val="ListParagraph"/>
              <w:spacing w:after="0" w:line="240" w:lineRule="auto"/>
              <w:ind w:left="0"/>
              <w:rPr>
                <w:rFonts w:ascii="Times New Roman" w:hAnsi="Times New Roman"/>
                <w:sz w:val="24"/>
                <w:szCs w:val="24"/>
              </w:rPr>
            </w:pPr>
            <w:r w:rsidRPr="008B1465">
              <w:rPr>
                <w:rFonts w:ascii="Times New Roman" w:hAnsi="Times New Roman"/>
                <w:sz w:val="24"/>
                <w:szCs w:val="24"/>
              </w:rPr>
              <w:t>Taiya, Jugu, and Ojaide (2021)</w:t>
            </w:r>
          </w:p>
        </w:tc>
        <w:tc>
          <w:tcPr>
            <w:tcW w:w="875" w:type="pct"/>
            <w:tcBorders>
              <w:top w:val="single" w:sz="4" w:space="0" w:color="auto"/>
              <w:left w:val="single" w:sz="4" w:space="0" w:color="auto"/>
              <w:bottom w:val="single" w:sz="4" w:space="0" w:color="auto"/>
              <w:right w:val="single" w:sz="4" w:space="0" w:color="auto"/>
            </w:tcBorders>
          </w:tcPr>
          <w:p w14:paraId="153D722C" w14:textId="77777777" w:rsidR="001D4E30" w:rsidRPr="008B1465" w:rsidRDefault="001D4E30" w:rsidP="007541CB">
            <w:pPr>
              <w:pStyle w:val="ListParagraph"/>
              <w:spacing w:after="0" w:line="240" w:lineRule="auto"/>
              <w:ind w:left="0"/>
              <w:jc w:val="both"/>
              <w:rPr>
                <w:rFonts w:ascii="Times New Roman" w:hAnsi="Times New Roman"/>
                <w:sz w:val="24"/>
                <w:szCs w:val="24"/>
              </w:rPr>
            </w:pPr>
            <w:r w:rsidRPr="008B1465">
              <w:rPr>
                <w:rFonts w:ascii="Times New Roman" w:hAnsi="Times New Roman"/>
                <w:sz w:val="24"/>
                <w:szCs w:val="24"/>
              </w:rPr>
              <w:t>An assessment of forensic accounting techniques in the prevention of revenue leakages in Nigerian Federal Universities</w:t>
            </w:r>
          </w:p>
        </w:tc>
        <w:tc>
          <w:tcPr>
            <w:tcW w:w="876" w:type="pct"/>
            <w:tcBorders>
              <w:top w:val="single" w:sz="4" w:space="0" w:color="auto"/>
              <w:left w:val="single" w:sz="4" w:space="0" w:color="auto"/>
              <w:bottom w:val="single" w:sz="4" w:space="0" w:color="auto"/>
              <w:right w:val="single" w:sz="4" w:space="0" w:color="auto"/>
            </w:tcBorders>
          </w:tcPr>
          <w:p w14:paraId="7151BE26" w14:textId="77777777" w:rsidR="001D4E30"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Primary data were collected with the aid of research questionnaire and used in this study. The sample size of 238 respondents was determined from a census of targeted EFCC, internal audit staff of selected Nigerian Federal Universities.</w:t>
            </w:r>
          </w:p>
        </w:tc>
        <w:tc>
          <w:tcPr>
            <w:tcW w:w="1291" w:type="pct"/>
            <w:tcBorders>
              <w:top w:val="single" w:sz="4" w:space="0" w:color="auto"/>
              <w:left w:val="single" w:sz="4" w:space="0" w:color="auto"/>
              <w:bottom w:val="single" w:sz="4" w:space="0" w:color="auto"/>
              <w:right w:val="single" w:sz="4" w:space="0" w:color="auto"/>
            </w:tcBorders>
          </w:tcPr>
          <w:p w14:paraId="67F8B289" w14:textId="77777777" w:rsidR="001D4E30"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Forensic accounting data analysis techniques have positive effects on revenue leakages in Nigerian Federal Universities. This implies that a forensic data analysis technique can help in uncovering leakages of revenue in Nigerian Federal</w:t>
            </w:r>
            <w:r w:rsidR="00926E81" w:rsidRPr="008B1465">
              <w:rPr>
                <w:rFonts w:ascii="Times New Roman" w:hAnsi="Times New Roman"/>
                <w:sz w:val="24"/>
                <w:szCs w:val="24"/>
              </w:rPr>
              <w:t xml:space="preserve"> </w:t>
            </w:r>
            <w:r w:rsidRPr="008B1465">
              <w:rPr>
                <w:rFonts w:ascii="Times New Roman" w:hAnsi="Times New Roman"/>
                <w:sz w:val="24"/>
                <w:szCs w:val="24"/>
              </w:rPr>
              <w:t>Universities.</w:t>
            </w:r>
          </w:p>
        </w:tc>
        <w:tc>
          <w:tcPr>
            <w:tcW w:w="1000" w:type="pct"/>
            <w:tcBorders>
              <w:top w:val="single" w:sz="4" w:space="0" w:color="auto"/>
              <w:left w:val="single" w:sz="4" w:space="0" w:color="auto"/>
              <w:bottom w:val="single" w:sz="4" w:space="0" w:color="auto"/>
              <w:right w:val="single" w:sz="4" w:space="0" w:color="auto"/>
            </w:tcBorders>
          </w:tcPr>
          <w:p w14:paraId="4AE61FFD" w14:textId="77777777" w:rsidR="001D4E30"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It was concluded that the application of forensic accounting techniques will help in preventing revenue leakages in Nigerian Federal</w:t>
            </w:r>
            <w:r w:rsidR="00926E81" w:rsidRPr="008B1465">
              <w:rPr>
                <w:rFonts w:ascii="Times New Roman" w:hAnsi="Times New Roman"/>
                <w:sz w:val="24"/>
                <w:szCs w:val="24"/>
              </w:rPr>
              <w:t xml:space="preserve"> </w:t>
            </w:r>
            <w:r w:rsidRPr="008B1465">
              <w:rPr>
                <w:rFonts w:ascii="Times New Roman" w:hAnsi="Times New Roman"/>
                <w:sz w:val="24"/>
                <w:szCs w:val="24"/>
              </w:rPr>
              <w:t>Universities. It was recommended that forensic accounting data analysis and technology techniques should be employed in Nigerian Federal Universities to help them curb revenue leakages in the system. That will help to discover and analy</w:t>
            </w:r>
            <w:r w:rsidR="00926E81" w:rsidRPr="008B1465">
              <w:rPr>
                <w:rFonts w:ascii="Times New Roman" w:hAnsi="Times New Roman"/>
                <w:sz w:val="24"/>
                <w:szCs w:val="24"/>
              </w:rPr>
              <w:t>z</w:t>
            </w:r>
            <w:r w:rsidRPr="008B1465">
              <w:rPr>
                <w:rFonts w:ascii="Times New Roman" w:hAnsi="Times New Roman"/>
                <w:sz w:val="24"/>
                <w:szCs w:val="24"/>
              </w:rPr>
              <w:t>e patterns of fraudulent activities and develop sorts of digital tools that would be found helpful in fighting economic and financial crimes within the system.</w:t>
            </w:r>
          </w:p>
        </w:tc>
      </w:tr>
      <w:tr w:rsidR="000B5622" w:rsidRPr="008B1465" w14:paraId="3ADFDD31" w14:textId="77777777" w:rsidTr="007E4D0F">
        <w:tc>
          <w:tcPr>
            <w:tcW w:w="292" w:type="pct"/>
            <w:tcBorders>
              <w:top w:val="single" w:sz="4" w:space="0" w:color="auto"/>
              <w:left w:val="single" w:sz="4" w:space="0" w:color="auto"/>
              <w:bottom w:val="single" w:sz="4" w:space="0" w:color="auto"/>
              <w:right w:val="single" w:sz="4" w:space="0" w:color="auto"/>
            </w:tcBorders>
          </w:tcPr>
          <w:p w14:paraId="5B3A589E"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68668CDF" w14:textId="77777777" w:rsidR="001D4E30" w:rsidRPr="008B1465" w:rsidRDefault="001D4E30" w:rsidP="007541CB">
            <w:pPr>
              <w:pStyle w:val="ListParagraph"/>
              <w:spacing w:after="0" w:line="240" w:lineRule="auto"/>
              <w:ind w:left="0"/>
              <w:jc w:val="both"/>
              <w:rPr>
                <w:rFonts w:ascii="Times New Roman" w:hAnsi="Times New Roman"/>
                <w:sz w:val="24"/>
                <w:szCs w:val="24"/>
              </w:rPr>
            </w:pPr>
            <w:r w:rsidRPr="008B1465">
              <w:rPr>
                <w:rFonts w:ascii="Times New Roman" w:hAnsi="Times New Roman"/>
                <w:sz w:val="24"/>
                <w:szCs w:val="24"/>
              </w:rPr>
              <w:t>Akinbowale, (2018)</w:t>
            </w:r>
          </w:p>
        </w:tc>
        <w:tc>
          <w:tcPr>
            <w:tcW w:w="875" w:type="pct"/>
            <w:tcBorders>
              <w:top w:val="single" w:sz="4" w:space="0" w:color="auto"/>
              <w:left w:val="single" w:sz="4" w:space="0" w:color="auto"/>
              <w:bottom w:val="single" w:sz="4" w:space="0" w:color="auto"/>
              <w:right w:val="single" w:sz="4" w:space="0" w:color="auto"/>
            </w:tcBorders>
          </w:tcPr>
          <w:p w14:paraId="4137414C" w14:textId="77777777" w:rsidR="001D4E30" w:rsidRPr="008B1465" w:rsidRDefault="001D4E30" w:rsidP="007541CB">
            <w:pPr>
              <w:pStyle w:val="ListParagraph"/>
              <w:spacing w:after="0" w:line="240" w:lineRule="auto"/>
              <w:ind w:left="0"/>
              <w:rPr>
                <w:rFonts w:ascii="Times New Roman" w:hAnsi="Times New Roman"/>
                <w:sz w:val="24"/>
                <w:szCs w:val="24"/>
              </w:rPr>
            </w:pPr>
            <w:r w:rsidRPr="008B1465">
              <w:rPr>
                <w:rFonts w:ascii="Times New Roman" w:hAnsi="Times New Roman"/>
                <w:sz w:val="24"/>
                <w:szCs w:val="24"/>
              </w:rPr>
              <w:t>Information communication technology and forensic accounting in Nigeria,</w:t>
            </w:r>
          </w:p>
        </w:tc>
        <w:tc>
          <w:tcPr>
            <w:tcW w:w="876" w:type="pct"/>
            <w:tcBorders>
              <w:top w:val="single" w:sz="4" w:space="0" w:color="auto"/>
              <w:left w:val="single" w:sz="4" w:space="0" w:color="auto"/>
              <w:bottom w:val="single" w:sz="4" w:space="0" w:color="auto"/>
              <w:right w:val="single" w:sz="4" w:space="0" w:color="auto"/>
            </w:tcBorders>
          </w:tcPr>
          <w:p w14:paraId="7FD0C4DE" w14:textId="77777777" w:rsidR="001D4E30"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A survey was designed and carried out using a</w:t>
            </w:r>
            <w:r w:rsidR="00926E81" w:rsidRPr="008B1465">
              <w:rPr>
                <w:rFonts w:ascii="Times New Roman" w:hAnsi="Times New Roman"/>
                <w:sz w:val="24"/>
                <w:szCs w:val="24"/>
              </w:rPr>
              <w:t xml:space="preserve"> </w:t>
            </w:r>
            <w:r w:rsidRPr="008B1465">
              <w:rPr>
                <w:rFonts w:ascii="Times New Roman" w:hAnsi="Times New Roman"/>
                <w:sz w:val="24"/>
                <w:szCs w:val="24"/>
              </w:rPr>
              <w:t>questionnaire and the data obtained were analyzed using Kolmogorov-Smirnov (K-S) test, percentage analysis and reliability statistics.</w:t>
            </w:r>
          </w:p>
        </w:tc>
        <w:tc>
          <w:tcPr>
            <w:tcW w:w="1291" w:type="pct"/>
            <w:tcBorders>
              <w:top w:val="single" w:sz="4" w:space="0" w:color="auto"/>
              <w:left w:val="single" w:sz="4" w:space="0" w:color="auto"/>
              <w:bottom w:val="single" w:sz="4" w:space="0" w:color="auto"/>
              <w:right w:val="single" w:sz="4" w:space="0" w:color="auto"/>
            </w:tcBorders>
          </w:tcPr>
          <w:p w14:paraId="071D64B3" w14:textId="77777777" w:rsidR="001D4E30"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The outcome of the analysis revealed that information technology (IT) based forensic accounting has significant agreement with the speed of detecting fraud with other financial crimes in the process of forensic investigation.</w:t>
            </w:r>
          </w:p>
        </w:tc>
        <w:tc>
          <w:tcPr>
            <w:tcW w:w="1000" w:type="pct"/>
            <w:tcBorders>
              <w:top w:val="single" w:sz="4" w:space="0" w:color="auto"/>
              <w:left w:val="single" w:sz="4" w:space="0" w:color="auto"/>
              <w:bottom w:val="single" w:sz="4" w:space="0" w:color="auto"/>
              <w:right w:val="single" w:sz="4" w:space="0" w:color="auto"/>
            </w:tcBorders>
            <w:vAlign w:val="center"/>
          </w:tcPr>
          <w:p w14:paraId="0DACD7CF" w14:textId="77777777" w:rsidR="001D4E30"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It was concluded that IT based forensic accounting would minimize time spent while performing forensic investigation and also bring about accurate evidence as regard financial reporting and other suspected criminal case investigations.</w:t>
            </w:r>
          </w:p>
        </w:tc>
      </w:tr>
      <w:tr w:rsidR="000B5622" w:rsidRPr="008B1465" w14:paraId="08E5B6D6" w14:textId="77777777" w:rsidTr="007E4D0F">
        <w:tc>
          <w:tcPr>
            <w:tcW w:w="292" w:type="pct"/>
            <w:tcBorders>
              <w:top w:val="single" w:sz="4" w:space="0" w:color="auto"/>
              <w:left w:val="single" w:sz="4" w:space="0" w:color="auto"/>
              <w:bottom w:val="single" w:sz="4" w:space="0" w:color="auto"/>
              <w:right w:val="single" w:sz="4" w:space="0" w:color="auto"/>
            </w:tcBorders>
          </w:tcPr>
          <w:p w14:paraId="39357519"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52DA00D2" w14:textId="77777777" w:rsidR="001D4E30" w:rsidRPr="008B1465" w:rsidRDefault="001D4E30" w:rsidP="007541CB">
            <w:pPr>
              <w:pStyle w:val="ListParagraph"/>
              <w:spacing w:after="0" w:line="240" w:lineRule="auto"/>
              <w:ind w:left="0"/>
              <w:jc w:val="both"/>
              <w:rPr>
                <w:rFonts w:ascii="Times New Roman" w:hAnsi="Times New Roman"/>
                <w:sz w:val="24"/>
                <w:szCs w:val="24"/>
              </w:rPr>
            </w:pPr>
            <w:r w:rsidRPr="008B1465">
              <w:rPr>
                <w:rFonts w:ascii="Times New Roman" w:hAnsi="Times New Roman"/>
                <w:sz w:val="24"/>
                <w:szCs w:val="24"/>
              </w:rPr>
              <w:t>Hegazy, Sangster, &amp; Kotb, (2017)</w:t>
            </w:r>
          </w:p>
        </w:tc>
        <w:tc>
          <w:tcPr>
            <w:tcW w:w="875" w:type="pct"/>
            <w:tcBorders>
              <w:top w:val="single" w:sz="4" w:space="0" w:color="auto"/>
              <w:left w:val="single" w:sz="4" w:space="0" w:color="auto"/>
              <w:bottom w:val="single" w:sz="4" w:space="0" w:color="auto"/>
              <w:right w:val="single" w:sz="4" w:space="0" w:color="auto"/>
            </w:tcBorders>
          </w:tcPr>
          <w:p w14:paraId="105E4FBC" w14:textId="77777777" w:rsidR="001D4E30" w:rsidRPr="008B1465" w:rsidRDefault="001D4E30" w:rsidP="007541CB">
            <w:pPr>
              <w:pStyle w:val="ListParagraph"/>
              <w:spacing w:after="0" w:line="240" w:lineRule="auto"/>
              <w:ind w:left="0"/>
              <w:rPr>
                <w:rFonts w:ascii="Times New Roman" w:hAnsi="Times New Roman"/>
                <w:sz w:val="24"/>
                <w:szCs w:val="24"/>
              </w:rPr>
            </w:pPr>
            <w:r w:rsidRPr="008B1465">
              <w:rPr>
                <w:rFonts w:ascii="Times New Roman" w:hAnsi="Times New Roman"/>
                <w:sz w:val="24"/>
                <w:szCs w:val="24"/>
              </w:rPr>
              <w:t>Mapping Forensic Accounting in the UK</w:t>
            </w:r>
          </w:p>
        </w:tc>
        <w:tc>
          <w:tcPr>
            <w:tcW w:w="876" w:type="pct"/>
            <w:tcBorders>
              <w:top w:val="single" w:sz="4" w:space="0" w:color="auto"/>
              <w:left w:val="single" w:sz="4" w:space="0" w:color="auto"/>
              <w:bottom w:val="single" w:sz="4" w:space="0" w:color="auto"/>
              <w:right w:val="single" w:sz="4" w:space="0" w:color="auto"/>
            </w:tcBorders>
          </w:tcPr>
          <w:p w14:paraId="0D2591CD" w14:textId="77777777" w:rsidR="001D4E30"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The study made used of In-depth interviews and a postal questionnaire to investigates how forensic accounting is perceived, the profile of those working in the field, types of services offered, essential knowledge and skills required, the academic and professional response to its growth, and whether it can be considered a profession.</w:t>
            </w:r>
          </w:p>
        </w:tc>
        <w:tc>
          <w:tcPr>
            <w:tcW w:w="1291" w:type="pct"/>
            <w:tcBorders>
              <w:top w:val="single" w:sz="4" w:space="0" w:color="auto"/>
              <w:left w:val="single" w:sz="4" w:space="0" w:color="auto"/>
              <w:bottom w:val="single" w:sz="4" w:space="0" w:color="auto"/>
              <w:right w:val="single" w:sz="4" w:space="0" w:color="auto"/>
            </w:tcBorders>
            <w:vAlign w:val="center"/>
          </w:tcPr>
          <w:p w14:paraId="75572948" w14:textId="77777777" w:rsidR="001D4E30"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It finds that forensic accounting in the UK is a multidisciplinary field of activity, less focused on accounting than suggested by its name, with very little prospect of becoming a recognized profession in the foreseeable future, but a possibility that it will ultimately do so, based on teams of people with complementary skills rather than individuals with a common base of specialist skills.</w:t>
            </w:r>
          </w:p>
        </w:tc>
        <w:tc>
          <w:tcPr>
            <w:tcW w:w="1000" w:type="pct"/>
            <w:tcBorders>
              <w:top w:val="single" w:sz="4" w:space="0" w:color="auto"/>
              <w:left w:val="single" w:sz="4" w:space="0" w:color="auto"/>
              <w:bottom w:val="single" w:sz="4" w:space="0" w:color="auto"/>
              <w:right w:val="single" w:sz="4" w:space="0" w:color="auto"/>
            </w:tcBorders>
            <w:vAlign w:val="center"/>
          </w:tcPr>
          <w:p w14:paraId="2BD797C2" w14:textId="77777777" w:rsidR="001D4E30" w:rsidRPr="008B1465" w:rsidRDefault="001D4E30" w:rsidP="007541CB">
            <w:pPr>
              <w:pStyle w:val="ListParagraph"/>
              <w:spacing w:after="0" w:line="240" w:lineRule="auto"/>
              <w:ind w:left="0"/>
              <w:rPr>
                <w:rFonts w:ascii="Times New Roman" w:hAnsi="Times New Roman"/>
                <w:sz w:val="24"/>
                <w:szCs w:val="24"/>
              </w:rPr>
            </w:pPr>
          </w:p>
        </w:tc>
      </w:tr>
      <w:tr w:rsidR="000B5622" w:rsidRPr="008B1465" w14:paraId="6014151E" w14:textId="77777777" w:rsidTr="007E4D0F">
        <w:tc>
          <w:tcPr>
            <w:tcW w:w="292" w:type="pct"/>
            <w:tcBorders>
              <w:top w:val="single" w:sz="4" w:space="0" w:color="auto"/>
              <w:left w:val="single" w:sz="4" w:space="0" w:color="auto"/>
              <w:bottom w:val="single" w:sz="4" w:space="0" w:color="auto"/>
              <w:right w:val="single" w:sz="4" w:space="0" w:color="auto"/>
            </w:tcBorders>
          </w:tcPr>
          <w:p w14:paraId="6FA3DC8C"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7C50D886" w14:textId="77777777" w:rsidR="001D4E30" w:rsidRPr="008B1465" w:rsidRDefault="001D4E30" w:rsidP="007541CB">
            <w:pPr>
              <w:pStyle w:val="ListParagraph"/>
              <w:spacing w:after="0" w:line="240" w:lineRule="auto"/>
              <w:ind w:left="0"/>
              <w:jc w:val="both"/>
              <w:rPr>
                <w:rFonts w:ascii="Times New Roman" w:hAnsi="Times New Roman"/>
                <w:sz w:val="24"/>
                <w:szCs w:val="24"/>
              </w:rPr>
            </w:pPr>
            <w:r w:rsidRPr="008B1465">
              <w:rPr>
                <w:rFonts w:ascii="Times New Roman" w:hAnsi="Times New Roman"/>
                <w:sz w:val="24"/>
                <w:szCs w:val="24"/>
              </w:rPr>
              <w:t>Ocansey (2017)</w:t>
            </w:r>
          </w:p>
        </w:tc>
        <w:tc>
          <w:tcPr>
            <w:tcW w:w="875" w:type="pct"/>
            <w:tcBorders>
              <w:top w:val="single" w:sz="4" w:space="0" w:color="auto"/>
              <w:left w:val="single" w:sz="4" w:space="0" w:color="auto"/>
              <w:bottom w:val="single" w:sz="4" w:space="0" w:color="auto"/>
              <w:right w:val="single" w:sz="4" w:space="0" w:color="auto"/>
            </w:tcBorders>
          </w:tcPr>
          <w:p w14:paraId="448F7BA6" w14:textId="77777777" w:rsidR="001D4E30"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Forensic Accounting and the Combating of Economic and Financial Crimes in Ghana</w:t>
            </w:r>
          </w:p>
        </w:tc>
        <w:tc>
          <w:tcPr>
            <w:tcW w:w="876" w:type="pct"/>
            <w:tcBorders>
              <w:top w:val="single" w:sz="4" w:space="0" w:color="auto"/>
              <w:left w:val="single" w:sz="4" w:space="0" w:color="auto"/>
              <w:bottom w:val="single" w:sz="4" w:space="0" w:color="auto"/>
              <w:right w:val="single" w:sz="4" w:space="0" w:color="auto"/>
            </w:tcBorders>
          </w:tcPr>
          <w:p w14:paraId="4F876998" w14:textId="77777777" w:rsidR="001D4E30"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The research employed survey research design by sampling all the technical officers (66) of Economic and Organized Crime Office of Ghana and data was analyzed through a regression model</w:t>
            </w:r>
          </w:p>
        </w:tc>
        <w:tc>
          <w:tcPr>
            <w:tcW w:w="1291" w:type="pct"/>
            <w:tcBorders>
              <w:top w:val="single" w:sz="4" w:space="0" w:color="auto"/>
              <w:left w:val="single" w:sz="4" w:space="0" w:color="auto"/>
              <w:bottom w:val="single" w:sz="4" w:space="0" w:color="auto"/>
              <w:right w:val="single" w:sz="4" w:space="0" w:color="auto"/>
            </w:tcBorders>
          </w:tcPr>
          <w:p w14:paraId="18EAC157" w14:textId="77777777" w:rsidR="001D4E30"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It was found that, the application of forensic accounting technique has significant impact on the combating of economic and financial crimes in Ghana.</w:t>
            </w:r>
          </w:p>
        </w:tc>
        <w:tc>
          <w:tcPr>
            <w:tcW w:w="1000" w:type="pct"/>
            <w:tcBorders>
              <w:top w:val="single" w:sz="4" w:space="0" w:color="auto"/>
              <w:left w:val="single" w:sz="4" w:space="0" w:color="auto"/>
              <w:bottom w:val="single" w:sz="4" w:space="0" w:color="auto"/>
              <w:right w:val="single" w:sz="4" w:space="0" w:color="auto"/>
            </w:tcBorders>
            <w:vAlign w:val="center"/>
          </w:tcPr>
          <w:p w14:paraId="0107E746" w14:textId="77777777" w:rsidR="001D4E30"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 xml:space="preserve">All institutions (anti-corruption agencies and companies) should establish forensic accounting unit to help strengthen internal controls and ensure thorough investigation in order to prevent, deter and detect financial </w:t>
            </w:r>
          </w:p>
          <w:p w14:paraId="2740128B" w14:textId="77777777" w:rsidR="001D4E30" w:rsidRPr="008B1465" w:rsidRDefault="001D4E30" w:rsidP="007541CB">
            <w:pPr>
              <w:pStyle w:val="ListParagraph"/>
              <w:spacing w:after="0" w:line="240" w:lineRule="auto"/>
              <w:ind w:left="0"/>
              <w:rPr>
                <w:rFonts w:ascii="Times New Roman" w:hAnsi="Times New Roman"/>
                <w:sz w:val="24"/>
                <w:szCs w:val="24"/>
              </w:rPr>
            </w:pPr>
            <w:r w:rsidRPr="008B1465">
              <w:rPr>
                <w:rFonts w:ascii="Times New Roman" w:hAnsi="Times New Roman"/>
                <w:sz w:val="24"/>
                <w:szCs w:val="24"/>
              </w:rPr>
              <w:t>and economic crimes.</w:t>
            </w:r>
          </w:p>
        </w:tc>
      </w:tr>
      <w:tr w:rsidR="000B5622" w:rsidRPr="008B1465" w14:paraId="791B9FD5" w14:textId="77777777" w:rsidTr="007E4D0F">
        <w:tc>
          <w:tcPr>
            <w:tcW w:w="292" w:type="pct"/>
            <w:tcBorders>
              <w:top w:val="single" w:sz="4" w:space="0" w:color="auto"/>
              <w:left w:val="single" w:sz="4" w:space="0" w:color="auto"/>
              <w:bottom w:val="single" w:sz="4" w:space="0" w:color="auto"/>
              <w:right w:val="single" w:sz="4" w:space="0" w:color="auto"/>
            </w:tcBorders>
          </w:tcPr>
          <w:p w14:paraId="7D7B1532"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75E919E5" w14:textId="77777777" w:rsidR="001D4E30" w:rsidRPr="008B1465" w:rsidRDefault="001D4E30" w:rsidP="007541CB">
            <w:pPr>
              <w:pStyle w:val="ListParagraph"/>
              <w:spacing w:after="0" w:line="240" w:lineRule="auto"/>
              <w:ind w:left="0"/>
              <w:jc w:val="both"/>
              <w:rPr>
                <w:rFonts w:ascii="Times New Roman" w:hAnsi="Times New Roman"/>
                <w:sz w:val="24"/>
                <w:szCs w:val="24"/>
              </w:rPr>
            </w:pPr>
            <w:r w:rsidRPr="008B1465">
              <w:rPr>
                <w:rFonts w:ascii="Times New Roman" w:hAnsi="Times New Roman"/>
                <w:sz w:val="24"/>
                <w:szCs w:val="24"/>
              </w:rPr>
              <w:t>Ijeoma, (2015)</w:t>
            </w:r>
          </w:p>
        </w:tc>
        <w:tc>
          <w:tcPr>
            <w:tcW w:w="875" w:type="pct"/>
            <w:tcBorders>
              <w:top w:val="single" w:sz="4" w:space="0" w:color="auto"/>
              <w:left w:val="single" w:sz="4" w:space="0" w:color="auto"/>
              <w:bottom w:val="single" w:sz="4" w:space="0" w:color="auto"/>
              <w:right w:val="single" w:sz="4" w:space="0" w:color="auto"/>
            </w:tcBorders>
          </w:tcPr>
          <w:p w14:paraId="0A93546A" w14:textId="77777777" w:rsidR="001D4E30"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Empirical analysis on the use of forensic</w:t>
            </w:r>
            <w:r w:rsidR="00FF1EFC" w:rsidRPr="008B1465">
              <w:rPr>
                <w:rFonts w:ascii="Times New Roman" w:hAnsi="Times New Roman"/>
                <w:sz w:val="24"/>
                <w:szCs w:val="24"/>
              </w:rPr>
              <w:t xml:space="preserve"> </w:t>
            </w:r>
            <w:r w:rsidRPr="008B1465">
              <w:rPr>
                <w:rFonts w:ascii="Times New Roman" w:hAnsi="Times New Roman"/>
                <w:sz w:val="24"/>
                <w:szCs w:val="24"/>
              </w:rPr>
              <w:t>Accounting techniques in curbing Creative accounting</w:t>
            </w:r>
          </w:p>
          <w:p w14:paraId="511A217A" w14:textId="77777777" w:rsidR="001D4E30" w:rsidRPr="008B1465" w:rsidRDefault="001D4E30" w:rsidP="007541CB">
            <w:pPr>
              <w:pStyle w:val="ListParagraph"/>
              <w:spacing w:after="0" w:line="240" w:lineRule="auto"/>
              <w:ind w:left="0"/>
              <w:rPr>
                <w:rFonts w:ascii="Times New Roman" w:hAnsi="Times New Roman"/>
                <w:sz w:val="24"/>
                <w:szCs w:val="24"/>
              </w:rPr>
            </w:pPr>
          </w:p>
        </w:tc>
        <w:tc>
          <w:tcPr>
            <w:tcW w:w="876" w:type="pct"/>
            <w:tcBorders>
              <w:top w:val="single" w:sz="4" w:space="0" w:color="auto"/>
              <w:left w:val="single" w:sz="4" w:space="0" w:color="auto"/>
              <w:bottom w:val="single" w:sz="4" w:space="0" w:color="auto"/>
              <w:right w:val="single" w:sz="4" w:space="0" w:color="auto"/>
            </w:tcBorders>
          </w:tcPr>
          <w:p w14:paraId="72831D49" w14:textId="77777777" w:rsidR="001D4E30"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Primary source of data collection was employed and the statistical tools used in analyzing the data include: Kruskal-Wallis test Mean rank and percentage distribution.</w:t>
            </w:r>
          </w:p>
        </w:tc>
        <w:tc>
          <w:tcPr>
            <w:tcW w:w="1291" w:type="pct"/>
            <w:tcBorders>
              <w:top w:val="single" w:sz="4" w:space="0" w:color="auto"/>
              <w:left w:val="single" w:sz="4" w:space="0" w:color="auto"/>
              <w:bottom w:val="single" w:sz="4" w:space="0" w:color="auto"/>
              <w:right w:val="single" w:sz="4" w:space="0" w:color="auto"/>
            </w:tcBorders>
          </w:tcPr>
          <w:p w14:paraId="2B075CCD" w14:textId="77777777" w:rsidR="006A0DBF"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 xml:space="preserve">It was revealed that strong evidence exists on the effectiveness of techniques used by forensic accountants in helping to curb the problem of creative accounting. </w:t>
            </w:r>
          </w:p>
          <w:p w14:paraId="547FF1DF" w14:textId="77777777" w:rsidR="001D4E30"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The result further revealed the existence of strong evidence that forensic accountants have enhanced their efficiency overtime. Emergence of forensic accountants has restored confidence in the credibility of corporate firms and their report</w:t>
            </w:r>
          </w:p>
        </w:tc>
        <w:tc>
          <w:tcPr>
            <w:tcW w:w="1000" w:type="pct"/>
            <w:tcBorders>
              <w:top w:val="single" w:sz="4" w:space="0" w:color="auto"/>
              <w:left w:val="single" w:sz="4" w:space="0" w:color="auto"/>
              <w:bottom w:val="single" w:sz="4" w:space="0" w:color="auto"/>
              <w:right w:val="single" w:sz="4" w:space="0" w:color="auto"/>
            </w:tcBorders>
          </w:tcPr>
          <w:p w14:paraId="4B6EEA34" w14:textId="77777777" w:rsidR="001D4E30"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Forensic accountants must possess solid knowledge and skills in the area of accounting and auditing.</w:t>
            </w:r>
          </w:p>
        </w:tc>
      </w:tr>
      <w:tr w:rsidR="000B5622" w:rsidRPr="008B1465" w14:paraId="3DE65317" w14:textId="77777777" w:rsidTr="007E4D0F">
        <w:tc>
          <w:tcPr>
            <w:tcW w:w="292" w:type="pct"/>
            <w:tcBorders>
              <w:top w:val="single" w:sz="4" w:space="0" w:color="auto"/>
              <w:left w:val="single" w:sz="4" w:space="0" w:color="auto"/>
              <w:bottom w:val="single" w:sz="4" w:space="0" w:color="auto"/>
              <w:right w:val="single" w:sz="4" w:space="0" w:color="auto"/>
            </w:tcBorders>
          </w:tcPr>
          <w:p w14:paraId="33CFB181"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41D976E8" w14:textId="77777777" w:rsidR="001D4E30" w:rsidRPr="008B1465" w:rsidRDefault="001D4E30" w:rsidP="007541CB">
            <w:pPr>
              <w:pStyle w:val="ListParagraph"/>
              <w:spacing w:after="0" w:line="240" w:lineRule="auto"/>
              <w:ind w:left="0"/>
              <w:jc w:val="both"/>
              <w:rPr>
                <w:rFonts w:ascii="Times New Roman" w:hAnsi="Times New Roman"/>
                <w:sz w:val="24"/>
                <w:szCs w:val="24"/>
              </w:rPr>
            </w:pPr>
            <w:r w:rsidRPr="008B1465">
              <w:rPr>
                <w:rFonts w:ascii="Times New Roman" w:hAnsi="Times New Roman"/>
                <w:sz w:val="24"/>
                <w:szCs w:val="24"/>
              </w:rPr>
              <w:t>Özcan, (2019)</w:t>
            </w:r>
          </w:p>
        </w:tc>
        <w:tc>
          <w:tcPr>
            <w:tcW w:w="875" w:type="pct"/>
            <w:tcBorders>
              <w:top w:val="single" w:sz="4" w:space="0" w:color="auto"/>
              <w:left w:val="single" w:sz="4" w:space="0" w:color="auto"/>
              <w:bottom w:val="single" w:sz="4" w:space="0" w:color="auto"/>
              <w:right w:val="single" w:sz="4" w:space="0" w:color="auto"/>
            </w:tcBorders>
          </w:tcPr>
          <w:p w14:paraId="4EB38257" w14:textId="77777777" w:rsidR="001D4E30"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 xml:space="preserve">Analyzing the impact of forensic accounting on the detection </w:t>
            </w:r>
            <w:r w:rsidR="00696B90" w:rsidRPr="008B1465">
              <w:rPr>
                <w:rFonts w:ascii="Times New Roman" w:hAnsi="Times New Roman"/>
                <w:sz w:val="24"/>
                <w:szCs w:val="24"/>
              </w:rPr>
              <w:t>o</w:t>
            </w:r>
            <w:r w:rsidRPr="008B1465">
              <w:rPr>
                <w:rFonts w:ascii="Times New Roman" w:hAnsi="Times New Roman"/>
                <w:sz w:val="24"/>
                <w:szCs w:val="24"/>
              </w:rPr>
              <w:t>f financial information manipulation1</w:t>
            </w:r>
          </w:p>
        </w:tc>
        <w:tc>
          <w:tcPr>
            <w:tcW w:w="876" w:type="pct"/>
            <w:tcBorders>
              <w:top w:val="single" w:sz="4" w:space="0" w:color="auto"/>
              <w:left w:val="single" w:sz="4" w:space="0" w:color="auto"/>
              <w:bottom w:val="single" w:sz="4" w:space="0" w:color="auto"/>
              <w:right w:val="single" w:sz="4" w:space="0" w:color="auto"/>
            </w:tcBorders>
          </w:tcPr>
          <w:p w14:paraId="579C1833" w14:textId="77777777" w:rsidR="001D4E30"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 xml:space="preserve">Mann-Whitney U test is employed to test differences between financial statement variables of non-manipulator and manipulator firms. </w:t>
            </w:r>
          </w:p>
          <w:p w14:paraId="1A593924" w14:textId="77777777" w:rsidR="001D4E30" w:rsidRPr="008B1465" w:rsidRDefault="001D4E30" w:rsidP="007541CB">
            <w:pPr>
              <w:pStyle w:val="ListParagraph"/>
              <w:spacing w:after="0" w:line="240" w:lineRule="auto"/>
              <w:ind w:left="0"/>
              <w:rPr>
                <w:rFonts w:ascii="Times New Roman" w:hAnsi="Times New Roman"/>
                <w:sz w:val="24"/>
                <w:szCs w:val="24"/>
              </w:rPr>
            </w:pPr>
          </w:p>
        </w:tc>
        <w:tc>
          <w:tcPr>
            <w:tcW w:w="1291" w:type="pct"/>
            <w:tcBorders>
              <w:top w:val="single" w:sz="4" w:space="0" w:color="auto"/>
              <w:left w:val="single" w:sz="4" w:space="0" w:color="auto"/>
              <w:bottom w:val="single" w:sz="4" w:space="0" w:color="auto"/>
              <w:right w:val="single" w:sz="4" w:space="0" w:color="auto"/>
            </w:tcBorders>
            <w:vAlign w:val="center"/>
          </w:tcPr>
          <w:p w14:paraId="6BF1E108" w14:textId="77777777" w:rsidR="001D4E30"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The results of Mann-Whitney U test reveal that current ratio, net working capital, return on assets, return on equity, profit margin, and size of non-manipulator firms is higher than those of manipulator firms.</w:t>
            </w:r>
          </w:p>
        </w:tc>
        <w:tc>
          <w:tcPr>
            <w:tcW w:w="1000" w:type="pct"/>
            <w:tcBorders>
              <w:top w:val="single" w:sz="4" w:space="0" w:color="auto"/>
              <w:left w:val="single" w:sz="4" w:space="0" w:color="auto"/>
              <w:bottom w:val="single" w:sz="4" w:space="0" w:color="auto"/>
              <w:right w:val="single" w:sz="4" w:space="0" w:color="auto"/>
            </w:tcBorders>
          </w:tcPr>
          <w:p w14:paraId="3952F0A2" w14:textId="77777777" w:rsidR="001D4E30" w:rsidRPr="008B1465" w:rsidRDefault="001D4E30" w:rsidP="007541CB">
            <w:pPr>
              <w:pStyle w:val="ListParagraph"/>
              <w:spacing w:after="0" w:line="240" w:lineRule="auto"/>
              <w:ind w:left="0"/>
              <w:rPr>
                <w:rFonts w:ascii="Times New Roman" w:hAnsi="Times New Roman"/>
                <w:sz w:val="24"/>
                <w:szCs w:val="24"/>
              </w:rPr>
            </w:pPr>
            <w:r w:rsidRPr="008B1465">
              <w:rPr>
                <w:rFonts w:ascii="Times New Roman" w:hAnsi="Times New Roman"/>
                <w:sz w:val="24"/>
                <w:szCs w:val="24"/>
              </w:rPr>
              <w:t>The dynamics of forensic accounting are discussed. The methods used by forensic accountants to detect financial information manipulation are presented.</w:t>
            </w:r>
          </w:p>
        </w:tc>
      </w:tr>
      <w:tr w:rsidR="000B5622" w:rsidRPr="008B1465" w14:paraId="14310878" w14:textId="77777777" w:rsidTr="007E4D0F">
        <w:tc>
          <w:tcPr>
            <w:tcW w:w="292" w:type="pct"/>
            <w:tcBorders>
              <w:top w:val="single" w:sz="4" w:space="0" w:color="auto"/>
              <w:left w:val="single" w:sz="4" w:space="0" w:color="auto"/>
              <w:bottom w:val="single" w:sz="4" w:space="0" w:color="auto"/>
              <w:right w:val="single" w:sz="4" w:space="0" w:color="auto"/>
            </w:tcBorders>
          </w:tcPr>
          <w:p w14:paraId="480E63D6"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6B18D158" w14:textId="77777777" w:rsidR="001D4E30" w:rsidRPr="008B1465" w:rsidRDefault="001D4E30" w:rsidP="007541CB">
            <w:pPr>
              <w:pStyle w:val="ListParagraph"/>
              <w:spacing w:after="0" w:line="240" w:lineRule="auto"/>
              <w:ind w:left="0"/>
              <w:jc w:val="both"/>
              <w:rPr>
                <w:rFonts w:ascii="Times New Roman" w:hAnsi="Times New Roman"/>
                <w:sz w:val="24"/>
                <w:szCs w:val="24"/>
              </w:rPr>
            </w:pPr>
            <w:r w:rsidRPr="008B1465">
              <w:rPr>
                <w:rFonts w:ascii="Times New Roman" w:hAnsi="Times New Roman"/>
                <w:sz w:val="24"/>
                <w:szCs w:val="24"/>
              </w:rPr>
              <w:t>Muda &amp; Hasibuan (2017)</w:t>
            </w:r>
          </w:p>
        </w:tc>
        <w:tc>
          <w:tcPr>
            <w:tcW w:w="875" w:type="pct"/>
            <w:tcBorders>
              <w:top w:val="single" w:sz="4" w:space="0" w:color="auto"/>
              <w:left w:val="single" w:sz="4" w:space="0" w:color="auto"/>
              <w:bottom w:val="single" w:sz="4" w:space="0" w:color="auto"/>
              <w:right w:val="single" w:sz="4" w:space="0" w:color="auto"/>
            </w:tcBorders>
          </w:tcPr>
          <w:p w14:paraId="32241D8C" w14:textId="77777777" w:rsidR="001D4E30"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P</w:t>
            </w:r>
            <w:r w:rsidR="00696B90" w:rsidRPr="008B1465">
              <w:rPr>
                <w:rFonts w:ascii="Times New Roman" w:hAnsi="Times New Roman"/>
                <w:sz w:val="24"/>
                <w:szCs w:val="24"/>
              </w:rPr>
              <w:t>ublic discovery of the concept of time value of money with economic value of time</w:t>
            </w:r>
          </w:p>
        </w:tc>
        <w:tc>
          <w:tcPr>
            <w:tcW w:w="876" w:type="pct"/>
            <w:tcBorders>
              <w:top w:val="single" w:sz="4" w:space="0" w:color="auto"/>
              <w:left w:val="single" w:sz="4" w:space="0" w:color="auto"/>
              <w:bottom w:val="single" w:sz="4" w:space="0" w:color="auto"/>
              <w:right w:val="single" w:sz="4" w:space="0" w:color="auto"/>
            </w:tcBorders>
          </w:tcPr>
          <w:p w14:paraId="2E8E5203" w14:textId="77777777" w:rsidR="001D4E30"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The data used are primary data sourced from questionnaires distributed to 112 random respondents. Data were analyzed using the SEM method with Smart PLS software.</w:t>
            </w:r>
          </w:p>
        </w:tc>
        <w:tc>
          <w:tcPr>
            <w:tcW w:w="1291" w:type="pct"/>
            <w:tcBorders>
              <w:top w:val="single" w:sz="4" w:space="0" w:color="auto"/>
              <w:left w:val="single" w:sz="4" w:space="0" w:color="auto"/>
              <w:bottom w:val="single" w:sz="4" w:space="0" w:color="auto"/>
              <w:right w:val="single" w:sz="4" w:space="0" w:color="auto"/>
            </w:tcBorders>
          </w:tcPr>
          <w:p w14:paraId="24ED01E0" w14:textId="77777777" w:rsidR="001D4E30"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The results show that the public do not know exactly the application and the concept of “time</w:t>
            </w:r>
            <w:r w:rsidR="000550A0" w:rsidRPr="008B1465">
              <w:rPr>
                <w:rFonts w:ascii="Times New Roman" w:hAnsi="Times New Roman"/>
                <w:sz w:val="24"/>
                <w:szCs w:val="24"/>
              </w:rPr>
              <w:t xml:space="preserve"> </w:t>
            </w:r>
            <w:r w:rsidRPr="008B1465">
              <w:rPr>
                <w:rFonts w:ascii="Times New Roman" w:hAnsi="Times New Roman"/>
                <w:sz w:val="24"/>
                <w:szCs w:val="24"/>
              </w:rPr>
              <w:t>value of money” and the economic value of time.</w:t>
            </w:r>
          </w:p>
        </w:tc>
        <w:tc>
          <w:tcPr>
            <w:tcW w:w="1000" w:type="pct"/>
            <w:tcBorders>
              <w:top w:val="single" w:sz="4" w:space="0" w:color="auto"/>
              <w:left w:val="single" w:sz="4" w:space="0" w:color="auto"/>
              <w:bottom w:val="single" w:sz="4" w:space="0" w:color="auto"/>
              <w:right w:val="single" w:sz="4" w:space="0" w:color="auto"/>
            </w:tcBorders>
          </w:tcPr>
          <w:p w14:paraId="336DBE79" w14:textId="77777777" w:rsidR="001D4E30" w:rsidRPr="008B1465" w:rsidRDefault="001D4E30" w:rsidP="007541CB">
            <w:pPr>
              <w:spacing w:after="0" w:line="240" w:lineRule="auto"/>
              <w:rPr>
                <w:rFonts w:ascii="Times New Roman" w:hAnsi="Times New Roman"/>
                <w:sz w:val="24"/>
                <w:szCs w:val="24"/>
              </w:rPr>
            </w:pPr>
            <w:r w:rsidRPr="008B1465">
              <w:rPr>
                <w:rFonts w:ascii="Times New Roman" w:hAnsi="Times New Roman"/>
                <w:sz w:val="24"/>
                <w:szCs w:val="24"/>
              </w:rPr>
              <w:t>The study compares the understanding of the society over the</w:t>
            </w:r>
            <w:r w:rsidR="000550A0" w:rsidRPr="008B1465">
              <w:rPr>
                <w:rFonts w:ascii="Times New Roman" w:hAnsi="Times New Roman"/>
                <w:sz w:val="24"/>
                <w:szCs w:val="24"/>
              </w:rPr>
              <w:t xml:space="preserve"> </w:t>
            </w:r>
            <w:r w:rsidRPr="008B1465">
              <w:rPr>
                <w:rFonts w:ascii="Times New Roman" w:hAnsi="Times New Roman"/>
                <w:sz w:val="24"/>
                <w:szCs w:val="24"/>
              </w:rPr>
              <w:t>concept model of time value of money and the economic value of time.</w:t>
            </w:r>
          </w:p>
        </w:tc>
      </w:tr>
      <w:tr w:rsidR="000B5622" w:rsidRPr="008B1465" w14:paraId="4698E9BA" w14:textId="77777777" w:rsidTr="007E4D0F">
        <w:tc>
          <w:tcPr>
            <w:tcW w:w="292" w:type="pct"/>
            <w:tcBorders>
              <w:top w:val="single" w:sz="4" w:space="0" w:color="auto"/>
              <w:left w:val="single" w:sz="4" w:space="0" w:color="auto"/>
              <w:bottom w:val="single" w:sz="4" w:space="0" w:color="auto"/>
              <w:right w:val="single" w:sz="4" w:space="0" w:color="auto"/>
            </w:tcBorders>
          </w:tcPr>
          <w:p w14:paraId="381E9546" w14:textId="77777777" w:rsidR="001D4E30" w:rsidRPr="008B1465" w:rsidRDefault="001D4E30" w:rsidP="007541CB">
            <w:pPr>
              <w:pStyle w:val="NoSpacing"/>
              <w:numPr>
                <w:ilvl w:val="0"/>
                <w:numId w:val="8"/>
              </w:numPr>
              <w:rPr>
                <w:rFonts w:ascii="Times New Roman" w:eastAsia="Calibri" w:hAnsi="Times New Roman"/>
                <w:sz w:val="24"/>
                <w:szCs w:val="24"/>
              </w:rPr>
            </w:pPr>
          </w:p>
        </w:tc>
        <w:tc>
          <w:tcPr>
            <w:tcW w:w="666" w:type="pct"/>
            <w:tcBorders>
              <w:top w:val="single" w:sz="4" w:space="0" w:color="auto"/>
              <w:left w:val="single" w:sz="4" w:space="0" w:color="auto"/>
              <w:bottom w:val="single" w:sz="4" w:space="0" w:color="auto"/>
              <w:right w:val="single" w:sz="4" w:space="0" w:color="auto"/>
            </w:tcBorders>
          </w:tcPr>
          <w:p w14:paraId="08516252" w14:textId="77777777" w:rsidR="001D4E30" w:rsidRPr="008B1465" w:rsidRDefault="001D4E30" w:rsidP="007541CB">
            <w:pPr>
              <w:pStyle w:val="ListParagraph"/>
              <w:spacing w:after="0" w:line="240" w:lineRule="auto"/>
              <w:ind w:left="0"/>
              <w:rPr>
                <w:rFonts w:ascii="Times New Roman" w:hAnsi="Times New Roman"/>
                <w:sz w:val="24"/>
                <w:szCs w:val="24"/>
              </w:rPr>
            </w:pPr>
            <w:r w:rsidRPr="008B1465">
              <w:rPr>
                <w:rFonts w:ascii="Times New Roman" w:hAnsi="Times New Roman"/>
                <w:sz w:val="24"/>
                <w:szCs w:val="24"/>
              </w:rPr>
              <w:t>Taiya, Jugu, and Ojaide (2021)</w:t>
            </w:r>
          </w:p>
        </w:tc>
        <w:tc>
          <w:tcPr>
            <w:tcW w:w="875" w:type="pct"/>
            <w:tcBorders>
              <w:top w:val="single" w:sz="4" w:space="0" w:color="auto"/>
              <w:left w:val="single" w:sz="4" w:space="0" w:color="auto"/>
              <w:bottom w:val="single" w:sz="4" w:space="0" w:color="auto"/>
              <w:right w:val="single" w:sz="4" w:space="0" w:color="auto"/>
            </w:tcBorders>
          </w:tcPr>
          <w:p w14:paraId="353586A2" w14:textId="77777777" w:rsidR="001D4E30" w:rsidRPr="008B1465" w:rsidRDefault="001D4E30" w:rsidP="007541CB">
            <w:pPr>
              <w:pStyle w:val="ListParagraph"/>
              <w:spacing w:after="0" w:line="240" w:lineRule="auto"/>
              <w:ind w:left="0"/>
              <w:rPr>
                <w:rFonts w:ascii="Times New Roman" w:hAnsi="Times New Roman"/>
                <w:sz w:val="24"/>
                <w:szCs w:val="24"/>
              </w:rPr>
            </w:pPr>
            <w:r w:rsidRPr="008B1465">
              <w:rPr>
                <w:rFonts w:ascii="Times New Roman" w:hAnsi="Times New Roman"/>
                <w:sz w:val="24"/>
                <w:szCs w:val="24"/>
              </w:rPr>
              <w:t>An assessment of forensic accounting techniques in the prevention of revenue leakages in Nigerian Federal Universities</w:t>
            </w:r>
          </w:p>
        </w:tc>
        <w:tc>
          <w:tcPr>
            <w:tcW w:w="876" w:type="pct"/>
            <w:tcBorders>
              <w:top w:val="single" w:sz="4" w:space="0" w:color="auto"/>
              <w:left w:val="single" w:sz="4" w:space="0" w:color="auto"/>
              <w:bottom w:val="single" w:sz="4" w:space="0" w:color="auto"/>
              <w:right w:val="single" w:sz="4" w:space="0" w:color="auto"/>
            </w:tcBorders>
          </w:tcPr>
          <w:p w14:paraId="617ABA15" w14:textId="77777777" w:rsidR="001D4E30" w:rsidRPr="008B1465" w:rsidRDefault="00F35AFC" w:rsidP="007541CB">
            <w:pPr>
              <w:spacing w:after="0" w:line="240" w:lineRule="auto"/>
              <w:rPr>
                <w:rFonts w:ascii="Times New Roman" w:hAnsi="Times New Roman"/>
                <w:sz w:val="24"/>
                <w:szCs w:val="24"/>
              </w:rPr>
            </w:pPr>
            <w:r w:rsidRPr="008B1465">
              <w:rPr>
                <w:rFonts w:ascii="Times New Roman" w:hAnsi="Times New Roman"/>
                <w:sz w:val="24"/>
                <w:szCs w:val="24"/>
              </w:rPr>
              <w:t>This study employed research questionnaire data. A census of targeted EFCC internal audit staff of selected Nigerian Federal Universities yielded 238 respondents.</w:t>
            </w:r>
          </w:p>
        </w:tc>
        <w:tc>
          <w:tcPr>
            <w:tcW w:w="1291" w:type="pct"/>
            <w:tcBorders>
              <w:top w:val="single" w:sz="4" w:space="0" w:color="auto"/>
              <w:left w:val="single" w:sz="4" w:space="0" w:color="auto"/>
              <w:bottom w:val="single" w:sz="4" w:space="0" w:color="auto"/>
              <w:right w:val="single" w:sz="4" w:space="0" w:color="auto"/>
            </w:tcBorders>
          </w:tcPr>
          <w:p w14:paraId="3C41B18A" w14:textId="77777777" w:rsidR="001D4E30" w:rsidRPr="008B1465" w:rsidRDefault="006671CF" w:rsidP="007541CB">
            <w:pPr>
              <w:spacing w:after="0" w:line="240" w:lineRule="auto"/>
              <w:rPr>
                <w:rFonts w:ascii="Times New Roman" w:hAnsi="Times New Roman"/>
                <w:sz w:val="24"/>
                <w:szCs w:val="24"/>
              </w:rPr>
            </w:pPr>
            <w:r w:rsidRPr="008B1465">
              <w:rPr>
                <w:rFonts w:ascii="Times New Roman" w:hAnsi="Times New Roman"/>
                <w:sz w:val="24"/>
                <w:szCs w:val="24"/>
              </w:rPr>
              <w:t>Revenue leakages in Nigerian Federal Universities are reduced through forensic accounting data analysis techniques. This means that forensic data analysis techniques can aid in the discovery of income leakages in Nigerian Federal Universities.</w:t>
            </w:r>
          </w:p>
        </w:tc>
        <w:tc>
          <w:tcPr>
            <w:tcW w:w="1000" w:type="pct"/>
            <w:tcBorders>
              <w:top w:val="single" w:sz="4" w:space="0" w:color="auto"/>
              <w:left w:val="single" w:sz="4" w:space="0" w:color="auto"/>
              <w:bottom w:val="single" w:sz="4" w:space="0" w:color="auto"/>
              <w:right w:val="single" w:sz="4" w:space="0" w:color="auto"/>
            </w:tcBorders>
          </w:tcPr>
          <w:p w14:paraId="3F44C2EA" w14:textId="77777777" w:rsidR="006F6911" w:rsidRPr="008B1465" w:rsidRDefault="006F6911" w:rsidP="006F6911">
            <w:pPr>
              <w:spacing w:after="0" w:line="240" w:lineRule="auto"/>
              <w:rPr>
                <w:rFonts w:ascii="Times New Roman" w:hAnsi="Times New Roman"/>
                <w:sz w:val="24"/>
                <w:szCs w:val="24"/>
              </w:rPr>
            </w:pPr>
            <w:r w:rsidRPr="008B1465">
              <w:rPr>
                <w:rFonts w:ascii="Times New Roman" w:hAnsi="Times New Roman"/>
                <w:sz w:val="24"/>
                <w:szCs w:val="24"/>
              </w:rPr>
              <w:t>It was determined that the use of forensic accounting techniques will aid in the prevention of income leakages at Nigerian Federal Universities. It was suggested that forensic accounting data analysis and technology be used.</w:t>
            </w:r>
          </w:p>
          <w:p w14:paraId="4BF6654C" w14:textId="77777777" w:rsidR="001D4E30" w:rsidRPr="008B1465" w:rsidRDefault="006F6911" w:rsidP="006F6911">
            <w:pPr>
              <w:spacing w:after="0" w:line="240" w:lineRule="auto"/>
              <w:rPr>
                <w:rFonts w:ascii="Times New Roman" w:hAnsi="Times New Roman"/>
                <w:sz w:val="24"/>
                <w:szCs w:val="24"/>
              </w:rPr>
            </w:pPr>
            <w:r w:rsidRPr="008B1465">
              <w:rPr>
                <w:rFonts w:ascii="Times New Roman" w:hAnsi="Times New Roman"/>
                <w:sz w:val="24"/>
                <w:szCs w:val="24"/>
              </w:rPr>
              <w:t>Techniques should be used at Nigerian Federal Universities to aid in the reduction of income leakages in the system. This will aid in the discovery and analysis of fraudulent activity patterns, as well as the development of digital tools that will be useful in combating economic and financial crimes within the system.</w:t>
            </w:r>
          </w:p>
        </w:tc>
      </w:tr>
    </w:tbl>
    <w:p w14:paraId="734B6B98" w14:textId="2EC1B2AA" w:rsidR="001616E5" w:rsidRPr="008B1465" w:rsidRDefault="003F05E3" w:rsidP="004303D0">
      <w:pPr>
        <w:pStyle w:val="Heading2"/>
        <w:rPr>
          <w:rFonts w:cs="Times New Roman"/>
          <w:sz w:val="24"/>
          <w:szCs w:val="24"/>
        </w:rPr>
      </w:pPr>
      <w:r w:rsidRPr="008B1465">
        <w:rPr>
          <w:rFonts w:cs="Times New Roman"/>
          <w:sz w:val="24"/>
          <w:szCs w:val="24"/>
        </w:rPr>
        <w:t xml:space="preserve"> </w:t>
      </w:r>
      <w:bookmarkStart w:id="75" w:name="_Toc145951105"/>
      <w:r w:rsidRPr="008B1465">
        <w:rPr>
          <w:rFonts w:cs="Times New Roman"/>
          <w:sz w:val="24"/>
          <w:szCs w:val="24"/>
        </w:rPr>
        <w:t>Gap</w:t>
      </w:r>
      <w:r w:rsidR="00D501EC" w:rsidRPr="008B1465">
        <w:rPr>
          <w:rFonts w:cs="Times New Roman"/>
          <w:sz w:val="24"/>
          <w:szCs w:val="24"/>
        </w:rPr>
        <w:t>s</w:t>
      </w:r>
      <w:r w:rsidRPr="008B1465">
        <w:rPr>
          <w:rFonts w:cs="Times New Roman"/>
          <w:sz w:val="24"/>
          <w:szCs w:val="24"/>
        </w:rPr>
        <w:t xml:space="preserve"> in Literature</w:t>
      </w:r>
      <w:bookmarkEnd w:id="75"/>
    </w:p>
    <w:p w14:paraId="2F6B9D0E" w14:textId="2AED88EE" w:rsidR="001616E5" w:rsidRPr="008B1465" w:rsidRDefault="003F582F" w:rsidP="007541CB">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Based on the previous examination of pertinent literature, it has been determined that several empirical studies exist in the field of forensic accounting procedures in relation to a variety of different sectors, including public and private sectors. Some of these studies concentrate on forensic accounting and the prevention and detection of various types of financial crimes, such as fraud, embezzlement, and bribery</w:t>
      </w:r>
      <w:r w:rsidR="003F05E3" w:rsidRPr="008B1465">
        <w:rPr>
          <w:rFonts w:ascii="Times New Roman" w:eastAsia="Calibri" w:hAnsi="Times New Roman"/>
          <w:sz w:val="24"/>
          <w:szCs w:val="24"/>
        </w:rPr>
        <w:t xml:space="preserve">. </w:t>
      </w:r>
      <w:r w:rsidR="00843BC0" w:rsidRPr="008B1465">
        <w:rPr>
          <w:rFonts w:ascii="Times New Roman" w:hAnsi="Times New Roman"/>
          <w:sz w:val="24"/>
          <w:szCs w:val="24"/>
          <w:shd w:val="clear" w:color="auto" w:fill="FFFFFF"/>
        </w:rPr>
        <w:t xml:space="preserve">Agu </w:t>
      </w:r>
      <w:r w:rsidR="00F71F4E" w:rsidRPr="008B1465">
        <w:rPr>
          <w:rFonts w:ascii="Times New Roman" w:hAnsi="Times New Roman"/>
          <w:sz w:val="24"/>
          <w:szCs w:val="24"/>
          <w:shd w:val="clear" w:color="auto" w:fill="FFFFFF"/>
        </w:rPr>
        <w:t>and</w:t>
      </w:r>
      <w:r w:rsidR="00843BC0" w:rsidRPr="008B1465">
        <w:rPr>
          <w:rFonts w:ascii="Times New Roman" w:hAnsi="Times New Roman"/>
          <w:sz w:val="24"/>
          <w:szCs w:val="24"/>
          <w:shd w:val="clear" w:color="auto" w:fill="FFFFFF"/>
        </w:rPr>
        <w:t xml:space="preserve"> Okoye (2018) </w:t>
      </w:r>
      <w:r w:rsidR="00B6126A" w:rsidRPr="008B1465">
        <w:rPr>
          <w:rFonts w:ascii="Times New Roman" w:eastAsia="Calibri" w:hAnsi="Times New Roman"/>
          <w:sz w:val="24"/>
          <w:szCs w:val="24"/>
        </w:rPr>
        <w:t>examine</w:t>
      </w:r>
      <w:r w:rsidR="003F05E3" w:rsidRPr="008B1465">
        <w:rPr>
          <w:rFonts w:ascii="Times New Roman" w:eastAsia="Calibri" w:hAnsi="Times New Roman"/>
          <w:sz w:val="24"/>
          <w:szCs w:val="24"/>
        </w:rPr>
        <w:t>d</w:t>
      </w:r>
      <w:r w:rsidR="00B6126A" w:rsidRPr="008B1465">
        <w:rPr>
          <w:rFonts w:ascii="Times New Roman" w:eastAsia="Calibri" w:hAnsi="Times New Roman"/>
          <w:sz w:val="24"/>
          <w:szCs w:val="24"/>
        </w:rPr>
        <w:t xml:space="preserve"> </w:t>
      </w:r>
      <w:r w:rsidR="00A108F4" w:rsidRPr="008B1465">
        <w:rPr>
          <w:rFonts w:ascii="Times New Roman" w:eastAsia="Calibri" w:hAnsi="Times New Roman"/>
          <w:sz w:val="24"/>
          <w:szCs w:val="24"/>
        </w:rPr>
        <w:t xml:space="preserve">the </w:t>
      </w:r>
      <w:r w:rsidR="00B6126A" w:rsidRPr="008B1465">
        <w:rPr>
          <w:rFonts w:ascii="Times New Roman" w:eastAsia="Calibri" w:hAnsi="Times New Roman"/>
          <w:sz w:val="24"/>
          <w:szCs w:val="24"/>
        </w:rPr>
        <w:t>impacts of</w:t>
      </w:r>
      <w:r w:rsidR="003F05E3" w:rsidRPr="008B1465">
        <w:rPr>
          <w:rFonts w:ascii="Times New Roman" w:eastAsia="Calibri" w:hAnsi="Times New Roman"/>
          <w:sz w:val="24"/>
          <w:szCs w:val="24"/>
        </w:rPr>
        <w:t xml:space="preserve"> </w:t>
      </w:r>
      <w:r w:rsidR="00D91EEC" w:rsidRPr="008B1465">
        <w:rPr>
          <w:rFonts w:ascii="Times New Roman" w:eastAsia="Calibri" w:hAnsi="Times New Roman"/>
          <w:sz w:val="24"/>
          <w:szCs w:val="24"/>
        </w:rPr>
        <w:t xml:space="preserve">the application of forensic accounting in money deposit banks in Enugu </w:t>
      </w:r>
      <w:r w:rsidR="00A108F4" w:rsidRPr="008B1465">
        <w:rPr>
          <w:rFonts w:ascii="Times New Roman" w:eastAsia="Calibri" w:hAnsi="Times New Roman"/>
          <w:sz w:val="24"/>
          <w:szCs w:val="24"/>
        </w:rPr>
        <w:t>S</w:t>
      </w:r>
      <w:r w:rsidR="00D91EEC" w:rsidRPr="008B1465">
        <w:rPr>
          <w:rFonts w:ascii="Times New Roman" w:eastAsia="Calibri" w:hAnsi="Times New Roman"/>
          <w:sz w:val="24"/>
          <w:szCs w:val="24"/>
        </w:rPr>
        <w:t>tate.</w:t>
      </w:r>
      <w:r w:rsidR="003F05E3" w:rsidRPr="008B1465">
        <w:rPr>
          <w:rFonts w:ascii="Times New Roman" w:eastAsia="Calibri" w:hAnsi="Times New Roman"/>
          <w:sz w:val="24"/>
          <w:szCs w:val="24"/>
        </w:rPr>
        <w:t xml:space="preserve"> Dada </w:t>
      </w:r>
      <w:r w:rsidR="00576E27" w:rsidRPr="008B1465">
        <w:rPr>
          <w:rFonts w:ascii="Times New Roman" w:eastAsia="Calibri" w:hAnsi="Times New Roman"/>
          <w:i/>
          <w:iCs/>
          <w:sz w:val="24"/>
          <w:szCs w:val="24"/>
        </w:rPr>
        <w:t>et al</w:t>
      </w:r>
      <w:r w:rsidR="003F05E3" w:rsidRPr="008B1465">
        <w:rPr>
          <w:rFonts w:ascii="Times New Roman" w:eastAsia="Calibri" w:hAnsi="Times New Roman"/>
          <w:sz w:val="24"/>
          <w:szCs w:val="24"/>
        </w:rPr>
        <w:t xml:space="preserve">., (2013) </w:t>
      </w:r>
      <w:r w:rsidR="00C60800" w:rsidRPr="008B1465">
        <w:rPr>
          <w:rFonts w:ascii="Times New Roman" w:eastAsia="Calibri" w:hAnsi="Times New Roman"/>
          <w:sz w:val="24"/>
          <w:szCs w:val="24"/>
        </w:rPr>
        <w:t>revealed</w:t>
      </w:r>
      <w:r w:rsidR="003F05E3" w:rsidRPr="008B1465">
        <w:rPr>
          <w:rFonts w:ascii="Times New Roman" w:eastAsia="Calibri" w:hAnsi="Times New Roman"/>
          <w:sz w:val="24"/>
          <w:szCs w:val="24"/>
        </w:rPr>
        <w:t xml:space="preserve"> how forensic accounting can be used to solve fraudulent activities in Nigeria. </w:t>
      </w:r>
      <w:r w:rsidR="00553C2E" w:rsidRPr="008B1465">
        <w:rPr>
          <w:rFonts w:ascii="Times New Roman" w:hAnsi="Times New Roman"/>
          <w:sz w:val="24"/>
          <w:szCs w:val="24"/>
          <w:shd w:val="clear" w:color="auto" w:fill="FFFFFF"/>
        </w:rPr>
        <w:t>Enofe, Julius, and Ogbeide (2015)</w:t>
      </w:r>
      <w:r w:rsidR="003453B2" w:rsidRPr="008B1465">
        <w:rPr>
          <w:rFonts w:ascii="Times New Roman" w:eastAsia="Calibri" w:hAnsi="Times New Roman"/>
          <w:sz w:val="24"/>
          <w:szCs w:val="24"/>
        </w:rPr>
        <w:t xml:space="preserve"> focused on the </w:t>
      </w:r>
      <w:r w:rsidR="003F05E3" w:rsidRPr="008B1465">
        <w:rPr>
          <w:rFonts w:ascii="Times New Roman" w:eastAsia="Calibri" w:hAnsi="Times New Roman"/>
          <w:sz w:val="24"/>
          <w:szCs w:val="24"/>
        </w:rPr>
        <w:t>banking ind</w:t>
      </w:r>
      <w:r w:rsidR="006D43A1" w:rsidRPr="008B1465">
        <w:rPr>
          <w:rFonts w:ascii="Times New Roman" w:eastAsia="Calibri" w:hAnsi="Times New Roman"/>
          <w:sz w:val="24"/>
          <w:szCs w:val="24"/>
        </w:rPr>
        <w:t xml:space="preserve">ustry. Studies like Azih </w:t>
      </w:r>
      <w:r w:rsidR="00576E27" w:rsidRPr="008B1465">
        <w:rPr>
          <w:rFonts w:ascii="Times New Roman" w:eastAsia="Calibri" w:hAnsi="Times New Roman"/>
          <w:i/>
          <w:iCs/>
          <w:sz w:val="24"/>
          <w:szCs w:val="24"/>
        </w:rPr>
        <w:t>et al</w:t>
      </w:r>
      <w:r w:rsidR="006D43A1" w:rsidRPr="008B1465">
        <w:rPr>
          <w:rFonts w:ascii="Times New Roman" w:eastAsia="Calibri" w:hAnsi="Times New Roman"/>
          <w:sz w:val="24"/>
          <w:szCs w:val="24"/>
        </w:rPr>
        <w:t>.</w:t>
      </w:r>
      <w:r w:rsidR="007B5846">
        <w:rPr>
          <w:rFonts w:ascii="Times New Roman" w:eastAsia="Calibri" w:hAnsi="Times New Roman"/>
          <w:sz w:val="24"/>
          <w:szCs w:val="24"/>
        </w:rPr>
        <w:t>,</w:t>
      </w:r>
      <w:r w:rsidR="00D20CF4" w:rsidRPr="008B1465">
        <w:rPr>
          <w:rFonts w:ascii="Times New Roman" w:eastAsia="Calibri" w:hAnsi="Times New Roman"/>
          <w:sz w:val="24"/>
          <w:szCs w:val="24"/>
        </w:rPr>
        <w:t xml:space="preserve"> (2015), Popoola </w:t>
      </w:r>
      <w:r w:rsidR="00576E27" w:rsidRPr="008B1465">
        <w:rPr>
          <w:rFonts w:ascii="Times New Roman" w:eastAsia="Calibri" w:hAnsi="Times New Roman"/>
          <w:i/>
          <w:iCs/>
          <w:sz w:val="24"/>
          <w:szCs w:val="24"/>
        </w:rPr>
        <w:t>et al</w:t>
      </w:r>
      <w:r w:rsidR="00D20CF4" w:rsidRPr="008B1465">
        <w:rPr>
          <w:rFonts w:ascii="Times New Roman" w:eastAsia="Calibri" w:hAnsi="Times New Roman"/>
          <w:sz w:val="24"/>
          <w:szCs w:val="24"/>
        </w:rPr>
        <w:t>.</w:t>
      </w:r>
      <w:r w:rsidR="003F05E3" w:rsidRPr="008B1465">
        <w:rPr>
          <w:rFonts w:ascii="Times New Roman" w:eastAsia="Calibri" w:hAnsi="Times New Roman"/>
          <w:sz w:val="24"/>
          <w:szCs w:val="24"/>
        </w:rPr>
        <w:t xml:space="preserve"> (2013), studied forensic accounting as tools in reducing fraud in the public sector Kasum (2009) also researched on forensic accounting in relation to evaluating the extent of financial crimes in developing countries both in the public and private sector. Most of the study reviewed did not study forensic accounting techniques </w:t>
      </w:r>
      <w:bookmarkStart w:id="76" w:name="_Hlk108026227"/>
      <w:r w:rsidR="003F05E3" w:rsidRPr="008B1465">
        <w:rPr>
          <w:rFonts w:ascii="Times New Roman" w:eastAsia="Calibri" w:hAnsi="Times New Roman"/>
          <w:sz w:val="24"/>
          <w:szCs w:val="24"/>
        </w:rPr>
        <w:t>and financial misconduct in federal universities in southwest,</w:t>
      </w:r>
      <w:bookmarkEnd w:id="76"/>
      <w:r w:rsidR="003F05E3" w:rsidRPr="008B1465">
        <w:rPr>
          <w:rFonts w:ascii="Times New Roman" w:eastAsia="Calibri" w:hAnsi="Times New Roman"/>
          <w:sz w:val="24"/>
          <w:szCs w:val="24"/>
        </w:rPr>
        <w:t xml:space="preserve"> Nigeria to the best knowledge of the researcher. Based on t</w:t>
      </w:r>
      <w:r w:rsidR="00D20CF4" w:rsidRPr="008B1465">
        <w:rPr>
          <w:rFonts w:ascii="Times New Roman" w:eastAsia="Calibri" w:hAnsi="Times New Roman"/>
          <w:sz w:val="24"/>
          <w:szCs w:val="24"/>
        </w:rPr>
        <w:t xml:space="preserve">his, the current study </w:t>
      </w:r>
      <w:r w:rsidR="003F05E3" w:rsidRPr="008B1465">
        <w:rPr>
          <w:rFonts w:ascii="Times New Roman" w:eastAsia="Calibri" w:hAnsi="Times New Roman"/>
          <w:sz w:val="24"/>
          <w:szCs w:val="24"/>
        </w:rPr>
        <w:t>address</w:t>
      </w:r>
      <w:r w:rsidR="00D20CF4" w:rsidRPr="008B1465">
        <w:rPr>
          <w:rFonts w:ascii="Times New Roman" w:eastAsia="Calibri" w:hAnsi="Times New Roman"/>
          <w:sz w:val="24"/>
          <w:szCs w:val="24"/>
        </w:rPr>
        <w:t>ed</w:t>
      </w:r>
      <w:r w:rsidR="003F05E3" w:rsidRPr="008B1465">
        <w:rPr>
          <w:rFonts w:ascii="Times New Roman" w:eastAsia="Calibri" w:hAnsi="Times New Roman"/>
          <w:sz w:val="24"/>
          <w:szCs w:val="24"/>
        </w:rPr>
        <w:t xml:space="preserve"> two issues which exist as gap in literature. Firstly, it was found that forensic accounting techniques measures used in literature (Eze &amp; Okoye, 2019; Olowolaju, </w:t>
      </w:r>
      <w:r w:rsidR="00576E27" w:rsidRPr="008B1465">
        <w:rPr>
          <w:rFonts w:ascii="Times New Roman" w:eastAsia="Calibri" w:hAnsi="Times New Roman"/>
          <w:i/>
          <w:iCs/>
          <w:sz w:val="24"/>
          <w:szCs w:val="24"/>
        </w:rPr>
        <w:t>et al</w:t>
      </w:r>
      <w:r w:rsidR="00A54876" w:rsidRPr="008B1465">
        <w:rPr>
          <w:rFonts w:ascii="Times New Roman" w:eastAsia="Calibri" w:hAnsi="Times New Roman"/>
          <w:sz w:val="24"/>
          <w:szCs w:val="24"/>
        </w:rPr>
        <w:t>.</w:t>
      </w:r>
      <w:r w:rsidR="007B5846">
        <w:rPr>
          <w:rFonts w:ascii="Times New Roman" w:eastAsia="Calibri" w:hAnsi="Times New Roman"/>
          <w:sz w:val="24"/>
          <w:szCs w:val="24"/>
        </w:rPr>
        <w:t>,</w:t>
      </w:r>
      <w:r w:rsidR="002D2506" w:rsidRPr="008B1465">
        <w:rPr>
          <w:rFonts w:ascii="Times New Roman" w:eastAsia="Calibri" w:hAnsi="Times New Roman"/>
          <w:sz w:val="24"/>
          <w:szCs w:val="24"/>
        </w:rPr>
        <w:t xml:space="preserve"> </w:t>
      </w:r>
      <w:r w:rsidR="00A54876" w:rsidRPr="008B1465">
        <w:rPr>
          <w:rFonts w:ascii="Times New Roman" w:eastAsia="Calibri" w:hAnsi="Times New Roman"/>
          <w:sz w:val="24"/>
          <w:szCs w:val="24"/>
        </w:rPr>
        <w:t>(</w:t>
      </w:r>
      <w:r w:rsidR="003F05E3" w:rsidRPr="008B1465">
        <w:rPr>
          <w:rFonts w:ascii="Times New Roman" w:eastAsia="Calibri" w:hAnsi="Times New Roman"/>
          <w:sz w:val="24"/>
          <w:szCs w:val="24"/>
        </w:rPr>
        <w:t>2019) include only t</w:t>
      </w:r>
      <w:r w:rsidR="00F70F38" w:rsidRPr="008B1465">
        <w:rPr>
          <w:rFonts w:ascii="Times New Roman" w:eastAsia="Calibri" w:hAnsi="Times New Roman"/>
          <w:sz w:val="24"/>
          <w:szCs w:val="24"/>
        </w:rPr>
        <w:t>wo</w:t>
      </w:r>
      <w:r w:rsidR="003F05E3" w:rsidRPr="008B1465">
        <w:rPr>
          <w:rFonts w:ascii="Times New Roman" w:eastAsia="Calibri" w:hAnsi="Times New Roman"/>
          <w:sz w:val="24"/>
          <w:szCs w:val="24"/>
        </w:rPr>
        <w:t xml:space="preserve"> major proxies which were investigation of fraud, and litigation services. </w:t>
      </w:r>
    </w:p>
    <w:p w14:paraId="4E74FF39" w14:textId="03FC407B" w:rsidR="001616E5" w:rsidRDefault="004D4BE5" w:rsidP="007541CB">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The current study, on the other hand, included </w:t>
      </w:r>
      <w:r w:rsidR="00E31D43">
        <w:rPr>
          <w:rFonts w:ascii="Times New Roman" w:eastAsia="Calibri" w:hAnsi="Times New Roman"/>
          <w:sz w:val="24"/>
          <w:szCs w:val="24"/>
        </w:rPr>
        <w:t>S</w:t>
      </w:r>
      <w:r w:rsidRPr="008B1465">
        <w:rPr>
          <w:rFonts w:ascii="Times New Roman" w:eastAsia="Calibri" w:hAnsi="Times New Roman"/>
          <w:sz w:val="24"/>
          <w:szCs w:val="24"/>
        </w:rPr>
        <w:t xml:space="preserve">urprise </w:t>
      </w:r>
      <w:r w:rsidR="00E31D43">
        <w:rPr>
          <w:rFonts w:ascii="Times New Roman" w:eastAsia="Calibri" w:hAnsi="Times New Roman"/>
          <w:sz w:val="24"/>
          <w:szCs w:val="24"/>
        </w:rPr>
        <w:t>C</w:t>
      </w:r>
      <w:r w:rsidRPr="008B1465">
        <w:rPr>
          <w:rFonts w:ascii="Times New Roman" w:eastAsia="Calibri" w:hAnsi="Times New Roman"/>
          <w:sz w:val="24"/>
          <w:szCs w:val="24"/>
        </w:rPr>
        <w:t xml:space="preserve">ash </w:t>
      </w:r>
      <w:r w:rsidR="00E31D43">
        <w:rPr>
          <w:rFonts w:ascii="Times New Roman" w:eastAsia="Calibri" w:hAnsi="Times New Roman"/>
          <w:sz w:val="24"/>
          <w:szCs w:val="24"/>
        </w:rPr>
        <w:t>C</w:t>
      </w:r>
      <w:r w:rsidRPr="008B1465">
        <w:rPr>
          <w:rFonts w:ascii="Times New Roman" w:eastAsia="Calibri" w:hAnsi="Times New Roman"/>
          <w:sz w:val="24"/>
          <w:szCs w:val="24"/>
        </w:rPr>
        <w:t xml:space="preserve">ounting </w:t>
      </w:r>
      <w:r w:rsidR="00E31D43">
        <w:rPr>
          <w:rFonts w:ascii="Times New Roman" w:eastAsia="Calibri" w:hAnsi="Times New Roman"/>
          <w:sz w:val="24"/>
          <w:szCs w:val="24"/>
        </w:rPr>
        <w:t>P</w:t>
      </w:r>
      <w:r w:rsidRPr="008B1465">
        <w:rPr>
          <w:rFonts w:ascii="Times New Roman" w:eastAsia="Calibri" w:hAnsi="Times New Roman"/>
          <w:sz w:val="24"/>
          <w:szCs w:val="24"/>
        </w:rPr>
        <w:t xml:space="preserve">ractices (SCCP) and </w:t>
      </w:r>
      <w:r w:rsidR="00E31D43">
        <w:rPr>
          <w:rFonts w:ascii="Times New Roman" w:eastAsia="Calibri" w:hAnsi="Times New Roman"/>
          <w:sz w:val="24"/>
          <w:szCs w:val="24"/>
        </w:rPr>
        <w:t>A</w:t>
      </w:r>
      <w:r w:rsidRPr="008B1465">
        <w:rPr>
          <w:rFonts w:ascii="Times New Roman" w:eastAsia="Calibri" w:hAnsi="Times New Roman"/>
          <w:sz w:val="24"/>
          <w:szCs w:val="24"/>
        </w:rPr>
        <w:t xml:space="preserve">ccounting and </w:t>
      </w:r>
      <w:r w:rsidR="00E31D43">
        <w:rPr>
          <w:rFonts w:ascii="Times New Roman" w:eastAsia="Calibri" w:hAnsi="Times New Roman"/>
          <w:sz w:val="24"/>
          <w:szCs w:val="24"/>
        </w:rPr>
        <w:t>D</w:t>
      </w:r>
      <w:r w:rsidRPr="008B1465">
        <w:rPr>
          <w:rFonts w:ascii="Times New Roman" w:eastAsia="Calibri" w:hAnsi="Times New Roman"/>
          <w:sz w:val="24"/>
          <w:szCs w:val="24"/>
        </w:rPr>
        <w:t xml:space="preserve">igital </w:t>
      </w:r>
      <w:r w:rsidR="00E31D43">
        <w:rPr>
          <w:rFonts w:ascii="Times New Roman" w:eastAsia="Calibri" w:hAnsi="Times New Roman"/>
          <w:sz w:val="24"/>
          <w:szCs w:val="24"/>
        </w:rPr>
        <w:t>E</w:t>
      </w:r>
      <w:r w:rsidRPr="008B1465">
        <w:rPr>
          <w:rFonts w:ascii="Times New Roman" w:eastAsia="Calibri" w:hAnsi="Times New Roman"/>
          <w:sz w:val="24"/>
          <w:szCs w:val="24"/>
        </w:rPr>
        <w:t>nvironments (ADE) as other proxies, which were adjudged in the literature to be verifiable techniques for reducing fraud in organizations and increasing financial misconduct.</w:t>
      </w:r>
      <w:r w:rsidR="003F05E3" w:rsidRPr="008B1465">
        <w:rPr>
          <w:rFonts w:ascii="Times New Roman" w:eastAsia="Calibri" w:hAnsi="Times New Roman"/>
          <w:sz w:val="24"/>
          <w:szCs w:val="24"/>
        </w:rPr>
        <w:t xml:space="preserve"> </w:t>
      </w:r>
      <w:r w:rsidR="00F95CC4" w:rsidRPr="008B1465">
        <w:rPr>
          <w:rFonts w:ascii="Times New Roman" w:eastAsia="Calibri" w:hAnsi="Times New Roman"/>
          <w:sz w:val="24"/>
          <w:szCs w:val="24"/>
        </w:rPr>
        <w:t>Second, the current study investigated the use of forensic accounting techniques and financial misconduct in federal universities in southwest Nigeria; this differs from previous studies because their focus was on either colleges of education, private universities, or state universities in Nigeria; thus, this study intends to fill these pertinent gaps in the literature by studying the use of forensic accounting</w:t>
      </w:r>
      <w:r w:rsidR="00D62673">
        <w:rPr>
          <w:rFonts w:ascii="Times New Roman" w:eastAsia="Calibri" w:hAnsi="Times New Roman"/>
          <w:sz w:val="24"/>
          <w:szCs w:val="24"/>
        </w:rPr>
        <w:t xml:space="preserve"> techniques in mitigating financial misconduct</w:t>
      </w:r>
      <w:r w:rsidR="00F95CC4" w:rsidRPr="008B1465">
        <w:rPr>
          <w:rFonts w:ascii="Times New Roman" w:eastAsia="Calibri" w:hAnsi="Times New Roman"/>
          <w:sz w:val="24"/>
          <w:szCs w:val="24"/>
        </w:rPr>
        <w:t>.</w:t>
      </w:r>
    </w:p>
    <w:p w14:paraId="7F4256FE" w14:textId="4AE64C96" w:rsidR="000C1AA9" w:rsidRPr="000C1AA9" w:rsidRDefault="000C1AA9" w:rsidP="00AE0A16">
      <w:pPr>
        <w:spacing w:after="0" w:line="360" w:lineRule="auto"/>
        <w:jc w:val="center"/>
        <w:rPr>
          <w:rFonts w:ascii="Times New Roman" w:eastAsia="Calibri" w:hAnsi="Times New Roman"/>
          <w:b/>
          <w:bCs/>
          <w:sz w:val="24"/>
          <w:szCs w:val="24"/>
        </w:rPr>
      </w:pPr>
      <w:r w:rsidRPr="00AE0A16">
        <w:rPr>
          <w:rFonts w:ascii="Times New Roman" w:eastAsia="Calibri" w:hAnsi="Times New Roman"/>
          <w:b/>
          <w:bCs/>
          <w:sz w:val="24"/>
          <w:szCs w:val="24"/>
        </w:rPr>
        <w:t>Conceptual Model</w:t>
      </w:r>
    </w:p>
    <w:p w14:paraId="00EBF47D" w14:textId="77777777" w:rsidR="00DC16FD" w:rsidRPr="008B1465" w:rsidRDefault="00915452" w:rsidP="00DC16FD">
      <w:pPr>
        <w:pStyle w:val="NoSpacing"/>
        <w:keepNext/>
        <w:spacing w:line="360" w:lineRule="auto"/>
        <w:jc w:val="both"/>
      </w:pPr>
      <w:r w:rsidRPr="008B1465">
        <w:rPr>
          <w:noProof/>
        </w:rPr>
        <w:drawing>
          <wp:inline distT="0" distB="0" distL="0" distR="0" wp14:anchorId="40339FE6" wp14:editId="07389B38">
            <wp:extent cx="6160229" cy="3769112"/>
            <wp:effectExtent l="0" t="0" r="0" b="317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199058" cy="3792869"/>
                    </a:xfrm>
                    <a:prstGeom prst="rect">
                      <a:avLst/>
                    </a:prstGeom>
                  </pic:spPr>
                </pic:pic>
              </a:graphicData>
            </a:graphic>
          </wp:inline>
        </w:drawing>
      </w:r>
    </w:p>
    <w:p w14:paraId="770F0D0A" w14:textId="5188BF1C" w:rsidR="00DC16FD" w:rsidRPr="008B1465" w:rsidRDefault="00DC16FD" w:rsidP="00D858DF">
      <w:pPr>
        <w:pStyle w:val="Caption"/>
        <w:jc w:val="center"/>
        <w:rPr>
          <w:rFonts w:ascii="Times New Roman" w:hAnsi="Times New Roman"/>
          <w:i w:val="0"/>
          <w:iCs w:val="0"/>
          <w:color w:val="auto"/>
          <w:sz w:val="24"/>
          <w:szCs w:val="24"/>
        </w:rPr>
      </w:pPr>
      <w:bookmarkStart w:id="77" w:name="_Toc145953091"/>
      <w:r w:rsidRPr="008B1465">
        <w:rPr>
          <w:rFonts w:ascii="Times New Roman" w:hAnsi="Times New Roman"/>
          <w:i w:val="0"/>
          <w:iCs w:val="0"/>
          <w:color w:val="auto"/>
          <w:sz w:val="24"/>
          <w:szCs w:val="24"/>
        </w:rPr>
        <w:t xml:space="preserve">Figure </w:t>
      </w:r>
      <w:r w:rsidR="00723F16" w:rsidRPr="008B1465">
        <w:rPr>
          <w:rFonts w:ascii="Times New Roman" w:hAnsi="Times New Roman"/>
          <w:i w:val="0"/>
          <w:iCs w:val="0"/>
          <w:color w:val="auto"/>
          <w:sz w:val="24"/>
          <w:szCs w:val="24"/>
        </w:rPr>
        <w:fldChar w:fldCharType="begin"/>
      </w:r>
      <w:r w:rsidR="00723F16" w:rsidRPr="008B1465">
        <w:rPr>
          <w:rFonts w:ascii="Times New Roman" w:hAnsi="Times New Roman"/>
          <w:i w:val="0"/>
          <w:iCs w:val="0"/>
          <w:color w:val="auto"/>
          <w:sz w:val="24"/>
          <w:szCs w:val="24"/>
        </w:rPr>
        <w:instrText xml:space="preserve"> STYLEREF 1 \s </w:instrText>
      </w:r>
      <w:r w:rsidR="00723F16" w:rsidRPr="008B1465">
        <w:rPr>
          <w:rFonts w:ascii="Times New Roman" w:hAnsi="Times New Roman"/>
          <w:i w:val="0"/>
          <w:iCs w:val="0"/>
          <w:color w:val="auto"/>
          <w:sz w:val="24"/>
          <w:szCs w:val="24"/>
        </w:rPr>
        <w:fldChar w:fldCharType="separate"/>
      </w:r>
      <w:r w:rsidR="007B5846">
        <w:rPr>
          <w:rFonts w:ascii="Times New Roman" w:hAnsi="Times New Roman"/>
          <w:i w:val="0"/>
          <w:iCs w:val="0"/>
          <w:noProof/>
          <w:color w:val="auto"/>
          <w:sz w:val="24"/>
          <w:szCs w:val="24"/>
        </w:rPr>
        <w:t>2</w:t>
      </w:r>
      <w:r w:rsidR="00723F16" w:rsidRPr="008B1465">
        <w:rPr>
          <w:rFonts w:ascii="Times New Roman" w:hAnsi="Times New Roman"/>
          <w:i w:val="0"/>
          <w:iCs w:val="0"/>
          <w:color w:val="auto"/>
          <w:sz w:val="24"/>
          <w:szCs w:val="24"/>
        </w:rPr>
        <w:fldChar w:fldCharType="end"/>
      </w:r>
      <w:r w:rsidR="00723F16" w:rsidRPr="008B1465">
        <w:rPr>
          <w:rFonts w:ascii="Times New Roman" w:hAnsi="Times New Roman"/>
          <w:i w:val="0"/>
          <w:iCs w:val="0"/>
          <w:color w:val="auto"/>
          <w:sz w:val="24"/>
          <w:szCs w:val="24"/>
        </w:rPr>
        <w:t>.</w:t>
      </w:r>
      <w:r w:rsidR="00723F16" w:rsidRPr="008B1465">
        <w:rPr>
          <w:rFonts w:ascii="Times New Roman" w:hAnsi="Times New Roman"/>
          <w:i w:val="0"/>
          <w:iCs w:val="0"/>
          <w:color w:val="auto"/>
          <w:sz w:val="24"/>
          <w:szCs w:val="24"/>
        </w:rPr>
        <w:fldChar w:fldCharType="begin"/>
      </w:r>
      <w:r w:rsidR="00723F16" w:rsidRPr="008B1465">
        <w:rPr>
          <w:rFonts w:ascii="Times New Roman" w:hAnsi="Times New Roman"/>
          <w:i w:val="0"/>
          <w:iCs w:val="0"/>
          <w:color w:val="auto"/>
          <w:sz w:val="24"/>
          <w:szCs w:val="24"/>
        </w:rPr>
        <w:instrText xml:space="preserve"> SEQ Figure \* ARABIC \s 1 </w:instrText>
      </w:r>
      <w:r w:rsidR="00723F16" w:rsidRPr="008B1465">
        <w:rPr>
          <w:rFonts w:ascii="Times New Roman" w:hAnsi="Times New Roman"/>
          <w:i w:val="0"/>
          <w:iCs w:val="0"/>
          <w:color w:val="auto"/>
          <w:sz w:val="24"/>
          <w:szCs w:val="24"/>
        </w:rPr>
        <w:fldChar w:fldCharType="separate"/>
      </w:r>
      <w:r w:rsidR="007B5846">
        <w:rPr>
          <w:rFonts w:ascii="Times New Roman" w:hAnsi="Times New Roman"/>
          <w:i w:val="0"/>
          <w:iCs w:val="0"/>
          <w:noProof/>
          <w:color w:val="auto"/>
          <w:sz w:val="24"/>
          <w:szCs w:val="24"/>
        </w:rPr>
        <w:t>7</w:t>
      </w:r>
      <w:r w:rsidR="00723F16" w:rsidRPr="008B1465">
        <w:rPr>
          <w:rFonts w:ascii="Times New Roman" w:hAnsi="Times New Roman"/>
          <w:i w:val="0"/>
          <w:iCs w:val="0"/>
          <w:color w:val="auto"/>
          <w:sz w:val="24"/>
          <w:szCs w:val="24"/>
        </w:rPr>
        <w:fldChar w:fldCharType="end"/>
      </w:r>
      <w:r w:rsidRPr="008B1465">
        <w:rPr>
          <w:rFonts w:ascii="Times New Roman" w:hAnsi="Times New Roman"/>
          <w:i w:val="0"/>
          <w:iCs w:val="0"/>
          <w:color w:val="auto"/>
          <w:sz w:val="24"/>
          <w:szCs w:val="24"/>
        </w:rPr>
        <w:t xml:space="preserve">: </w:t>
      </w:r>
      <w:bookmarkStart w:id="78" w:name="_Hlk145093278"/>
      <w:r w:rsidRPr="008B1465">
        <w:rPr>
          <w:rFonts w:ascii="Times New Roman" w:hAnsi="Times New Roman"/>
          <w:i w:val="0"/>
          <w:iCs w:val="0"/>
          <w:color w:val="auto"/>
          <w:sz w:val="24"/>
          <w:szCs w:val="24"/>
        </w:rPr>
        <w:t>Conceptual Model</w:t>
      </w:r>
      <w:bookmarkEnd w:id="77"/>
      <w:bookmarkEnd w:id="78"/>
    </w:p>
    <w:p w14:paraId="14BC183B" w14:textId="2C4FAE14" w:rsidR="001616E5" w:rsidRPr="008B1465" w:rsidRDefault="003F05E3" w:rsidP="00D858DF">
      <w:pPr>
        <w:pStyle w:val="NoSpacing"/>
        <w:spacing w:line="360" w:lineRule="auto"/>
        <w:jc w:val="center"/>
        <w:rPr>
          <w:rFonts w:ascii="Times New Roman" w:hAnsi="Times New Roman"/>
          <w:sz w:val="18"/>
          <w:szCs w:val="18"/>
        </w:rPr>
      </w:pPr>
      <w:r w:rsidRPr="008B1465">
        <w:rPr>
          <w:rFonts w:ascii="Times New Roman" w:hAnsi="Times New Roman"/>
          <w:b/>
          <w:bCs/>
          <w:sz w:val="18"/>
          <w:szCs w:val="18"/>
        </w:rPr>
        <w:t>Source:</w:t>
      </w:r>
      <w:r w:rsidRPr="008B1465">
        <w:rPr>
          <w:rFonts w:ascii="Times New Roman" w:hAnsi="Times New Roman"/>
          <w:sz w:val="18"/>
          <w:szCs w:val="18"/>
        </w:rPr>
        <w:t xml:space="preserve"> Researcher’s Conceptual Model, 202</w:t>
      </w:r>
      <w:r w:rsidR="008E3363" w:rsidRPr="008B1465">
        <w:rPr>
          <w:rFonts w:ascii="Times New Roman" w:hAnsi="Times New Roman"/>
          <w:sz w:val="18"/>
          <w:szCs w:val="18"/>
        </w:rPr>
        <w:t>3</w:t>
      </w:r>
    </w:p>
    <w:p w14:paraId="0EFA3A4C" w14:textId="2FEE50D0" w:rsidR="001616E5" w:rsidRPr="008B1465" w:rsidRDefault="006C5012" w:rsidP="0052496E">
      <w:pPr>
        <w:pStyle w:val="Heading1"/>
        <w:pageBreakBefore/>
        <w:numPr>
          <w:ilvl w:val="0"/>
          <w:numId w:val="0"/>
        </w:numPr>
        <w:spacing w:before="0" w:beforeAutospacing="0" w:line="240" w:lineRule="auto"/>
        <w:rPr>
          <w:rFonts w:cs="Times New Roman"/>
          <w:szCs w:val="24"/>
        </w:rPr>
      </w:pPr>
      <w:r w:rsidRPr="008B1465">
        <w:rPr>
          <w:rFonts w:cs="Times New Roman"/>
          <w:szCs w:val="24"/>
        </w:rPr>
        <w:t xml:space="preserve">       </w:t>
      </w:r>
      <w:r w:rsidR="00192171" w:rsidRPr="008B1465">
        <w:rPr>
          <w:rFonts w:cs="Times New Roman"/>
          <w:szCs w:val="24"/>
        </w:rPr>
        <w:t xml:space="preserve">                                 </w:t>
      </w:r>
      <w:r w:rsidR="00D75F83" w:rsidRPr="008B1465">
        <w:rPr>
          <w:rFonts w:cs="Times New Roman"/>
          <w:szCs w:val="24"/>
        </w:rPr>
        <w:t xml:space="preserve">  </w:t>
      </w:r>
      <w:bookmarkStart w:id="79" w:name="_Toc145951106"/>
      <w:r w:rsidR="003F05E3" w:rsidRPr="008B1465">
        <w:rPr>
          <w:rFonts w:cs="Times New Roman"/>
          <w:szCs w:val="24"/>
        </w:rPr>
        <w:t>CHAPTER THREE</w:t>
      </w:r>
      <w:r w:rsidR="00192171" w:rsidRPr="008B1465">
        <w:rPr>
          <w:rFonts w:cs="Times New Roman"/>
          <w:color w:val="FFFFFF" w:themeColor="background1"/>
          <w:szCs w:val="24"/>
        </w:rPr>
        <w:t>: METHODOLOGY</w:t>
      </w:r>
      <w:bookmarkEnd w:id="79"/>
    </w:p>
    <w:p w14:paraId="309B2531" w14:textId="77777777" w:rsidR="001616E5" w:rsidRPr="008B1465" w:rsidRDefault="003F05E3" w:rsidP="0052496E">
      <w:pPr>
        <w:pStyle w:val="Heading1"/>
        <w:spacing w:before="0" w:beforeAutospacing="0" w:line="240" w:lineRule="auto"/>
        <w:rPr>
          <w:rFonts w:cs="Times New Roman"/>
          <w:szCs w:val="24"/>
        </w:rPr>
      </w:pPr>
      <w:bookmarkStart w:id="80" w:name="_Toc135917769"/>
      <w:bookmarkStart w:id="81" w:name="_Toc136014788"/>
      <w:bookmarkStart w:id="82" w:name="_Toc136015521"/>
      <w:bookmarkStart w:id="83" w:name="_Toc145951107"/>
      <w:r w:rsidRPr="008B1465">
        <w:rPr>
          <w:rFonts w:cs="Times New Roman"/>
          <w:szCs w:val="24"/>
        </w:rPr>
        <w:t>METHODOLOGY</w:t>
      </w:r>
      <w:bookmarkEnd w:id="80"/>
      <w:bookmarkEnd w:id="81"/>
      <w:bookmarkEnd w:id="82"/>
      <w:bookmarkEnd w:id="83"/>
    </w:p>
    <w:p w14:paraId="3C198AD5" w14:textId="78A54D18" w:rsidR="001616E5" w:rsidRPr="008B1465" w:rsidRDefault="003F05E3" w:rsidP="007541CB">
      <w:pPr>
        <w:pStyle w:val="Heading2"/>
        <w:spacing w:line="360" w:lineRule="auto"/>
        <w:rPr>
          <w:rFonts w:cs="Times New Roman"/>
          <w:sz w:val="24"/>
          <w:szCs w:val="24"/>
        </w:rPr>
      </w:pPr>
      <w:bookmarkStart w:id="84" w:name="_Toc145951108"/>
      <w:r w:rsidRPr="008B1465">
        <w:rPr>
          <w:rFonts w:cs="Times New Roman"/>
          <w:sz w:val="24"/>
          <w:szCs w:val="24"/>
        </w:rPr>
        <w:t>Research Design</w:t>
      </w:r>
      <w:bookmarkEnd w:id="84"/>
      <w:r w:rsidRPr="008B1465">
        <w:rPr>
          <w:rFonts w:cs="Times New Roman"/>
          <w:sz w:val="24"/>
          <w:szCs w:val="24"/>
        </w:rPr>
        <w:t xml:space="preserve"> </w:t>
      </w:r>
    </w:p>
    <w:p w14:paraId="3AEFEE7D" w14:textId="7DD6EA84" w:rsidR="001616E5" w:rsidRPr="008B1465" w:rsidRDefault="00FC4C3F"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For the purpose of investigating </w:t>
      </w:r>
      <w:r w:rsidR="003F05E3" w:rsidRPr="008B1465">
        <w:rPr>
          <w:rFonts w:ascii="Times New Roman" w:eastAsia="Calibri" w:hAnsi="Times New Roman"/>
          <w:bCs/>
          <w:sz w:val="24"/>
          <w:szCs w:val="24"/>
        </w:rPr>
        <w:t xml:space="preserve">and </w:t>
      </w:r>
      <w:r w:rsidRPr="008B1465">
        <w:rPr>
          <w:rFonts w:ascii="Times New Roman" w:eastAsia="Calibri" w:hAnsi="Times New Roman"/>
          <w:bCs/>
          <w:sz w:val="24"/>
          <w:szCs w:val="24"/>
        </w:rPr>
        <w:t xml:space="preserve">arriving at </w:t>
      </w:r>
      <w:r w:rsidR="003F05E3" w:rsidRPr="008B1465">
        <w:rPr>
          <w:rFonts w:ascii="Times New Roman" w:eastAsia="Calibri" w:hAnsi="Times New Roman"/>
          <w:bCs/>
          <w:sz w:val="24"/>
          <w:szCs w:val="24"/>
        </w:rPr>
        <w:t>a reasonable conclu</w:t>
      </w:r>
      <w:r w:rsidR="00771D03" w:rsidRPr="008B1465">
        <w:rPr>
          <w:rFonts w:ascii="Times New Roman" w:eastAsia="Calibri" w:hAnsi="Times New Roman"/>
          <w:bCs/>
          <w:sz w:val="24"/>
          <w:szCs w:val="24"/>
        </w:rPr>
        <w:t>sion, the research desig</w:t>
      </w:r>
      <w:r w:rsidR="00386F4A" w:rsidRPr="008B1465">
        <w:rPr>
          <w:rFonts w:ascii="Times New Roman" w:eastAsia="Calibri" w:hAnsi="Times New Roman"/>
          <w:bCs/>
          <w:sz w:val="24"/>
          <w:szCs w:val="24"/>
        </w:rPr>
        <w:t xml:space="preserve">n </w:t>
      </w:r>
      <w:r w:rsidR="00771D03" w:rsidRPr="008B1465">
        <w:rPr>
          <w:rFonts w:ascii="Times New Roman" w:eastAsia="Calibri" w:hAnsi="Times New Roman"/>
          <w:bCs/>
          <w:sz w:val="24"/>
          <w:szCs w:val="24"/>
        </w:rPr>
        <w:t>adopted for this study was</w:t>
      </w:r>
      <w:r w:rsidR="003F05E3" w:rsidRPr="008B1465">
        <w:rPr>
          <w:rFonts w:ascii="Times New Roman" w:eastAsia="Calibri" w:hAnsi="Times New Roman"/>
          <w:bCs/>
          <w:sz w:val="24"/>
          <w:szCs w:val="24"/>
        </w:rPr>
        <w:t xml:space="preserve"> a survey research design where quantitative method of</w:t>
      </w:r>
      <w:r w:rsidRPr="008B1465">
        <w:rPr>
          <w:rFonts w:ascii="Times New Roman" w:eastAsia="Calibri" w:hAnsi="Times New Roman"/>
          <w:bCs/>
          <w:sz w:val="24"/>
          <w:szCs w:val="24"/>
        </w:rPr>
        <w:t xml:space="preserve"> data </w:t>
      </w:r>
      <w:r w:rsidR="00771D03" w:rsidRPr="008B1465">
        <w:rPr>
          <w:rFonts w:ascii="Times New Roman" w:eastAsia="Calibri" w:hAnsi="Times New Roman"/>
          <w:bCs/>
          <w:sz w:val="24"/>
          <w:szCs w:val="24"/>
        </w:rPr>
        <w:t>collection and analysis w</w:t>
      </w:r>
      <w:r w:rsidR="0052496E" w:rsidRPr="008B1465">
        <w:rPr>
          <w:rFonts w:ascii="Times New Roman" w:eastAsia="Calibri" w:hAnsi="Times New Roman"/>
          <w:bCs/>
          <w:sz w:val="24"/>
          <w:szCs w:val="24"/>
        </w:rPr>
        <w:t>ere</w:t>
      </w:r>
      <w:r w:rsidR="00771D03" w:rsidRPr="008B1465">
        <w:rPr>
          <w:rFonts w:ascii="Times New Roman" w:eastAsia="Calibri" w:hAnsi="Times New Roman"/>
          <w:bCs/>
          <w:sz w:val="24"/>
          <w:szCs w:val="24"/>
        </w:rPr>
        <w:t xml:space="preserve"> </w:t>
      </w:r>
      <w:r w:rsidR="003F05E3" w:rsidRPr="008B1465">
        <w:rPr>
          <w:rFonts w:ascii="Times New Roman" w:eastAsia="Calibri" w:hAnsi="Times New Roman"/>
          <w:bCs/>
          <w:sz w:val="24"/>
          <w:szCs w:val="24"/>
        </w:rPr>
        <w:t xml:space="preserve">used to investigate the effect of forensic accounting techniques (represented by Investigation of Fraud, Litigation Services, Surprise Cash Count Practices, and Accounting and Digital Environment) </w:t>
      </w:r>
      <w:r w:rsidR="00EA51B4">
        <w:rPr>
          <w:rFonts w:ascii="Times New Roman" w:eastAsia="Calibri" w:hAnsi="Times New Roman"/>
          <w:bCs/>
          <w:sz w:val="24"/>
          <w:szCs w:val="24"/>
        </w:rPr>
        <w:t>on</w:t>
      </w:r>
      <w:r w:rsidR="003F05E3" w:rsidRPr="008B1465">
        <w:rPr>
          <w:rFonts w:ascii="Times New Roman" w:eastAsia="Calibri" w:hAnsi="Times New Roman"/>
          <w:bCs/>
          <w:sz w:val="24"/>
          <w:szCs w:val="24"/>
        </w:rPr>
        <w:t xml:space="preserve"> financial misconduct (represented by Fund Misappropriation, Value for Money</w:t>
      </w:r>
      <w:r w:rsidR="00354166" w:rsidRPr="008B1465">
        <w:rPr>
          <w:rFonts w:ascii="Times New Roman" w:eastAsia="Calibri" w:hAnsi="Times New Roman"/>
          <w:bCs/>
          <w:sz w:val="24"/>
          <w:szCs w:val="24"/>
        </w:rPr>
        <w:t xml:space="preserve"> Practices</w:t>
      </w:r>
      <w:r w:rsidR="003F05E3" w:rsidRPr="008B1465">
        <w:rPr>
          <w:rFonts w:ascii="Times New Roman" w:eastAsia="Calibri" w:hAnsi="Times New Roman"/>
          <w:bCs/>
          <w:sz w:val="24"/>
          <w:szCs w:val="24"/>
        </w:rPr>
        <w:t>, Creative Accounting Practices, and Procurement Practices)  among the s</w:t>
      </w:r>
      <w:r w:rsidR="00F42765">
        <w:rPr>
          <w:rFonts w:ascii="Times New Roman" w:eastAsia="Calibri" w:hAnsi="Times New Roman"/>
          <w:bCs/>
          <w:sz w:val="24"/>
          <w:szCs w:val="24"/>
        </w:rPr>
        <w:t>ix</w:t>
      </w:r>
      <w:r w:rsidR="003F05E3" w:rsidRPr="008B1465">
        <w:rPr>
          <w:rFonts w:ascii="Times New Roman" w:eastAsia="Calibri" w:hAnsi="Times New Roman"/>
          <w:bCs/>
          <w:sz w:val="24"/>
          <w:szCs w:val="24"/>
        </w:rPr>
        <w:t xml:space="preserve"> federal universities in S</w:t>
      </w:r>
      <w:r w:rsidR="00386F4A" w:rsidRPr="008B1465">
        <w:rPr>
          <w:rFonts w:ascii="Times New Roman" w:eastAsia="Calibri" w:hAnsi="Times New Roman"/>
          <w:bCs/>
          <w:sz w:val="24"/>
          <w:szCs w:val="24"/>
        </w:rPr>
        <w:t xml:space="preserve">outhwest, Nigeria. This </w:t>
      </w:r>
      <w:r w:rsidR="003F05E3" w:rsidRPr="008B1465">
        <w:rPr>
          <w:rFonts w:ascii="Times New Roman" w:eastAsia="Calibri" w:hAnsi="Times New Roman"/>
          <w:bCs/>
          <w:sz w:val="24"/>
          <w:szCs w:val="24"/>
        </w:rPr>
        <w:t xml:space="preserve">research design has been adopted </w:t>
      </w:r>
      <w:r w:rsidR="0052496E" w:rsidRPr="008B1465">
        <w:rPr>
          <w:rFonts w:ascii="Times New Roman" w:eastAsia="Calibri" w:hAnsi="Times New Roman"/>
          <w:bCs/>
          <w:sz w:val="24"/>
          <w:szCs w:val="24"/>
        </w:rPr>
        <w:t xml:space="preserve">in </w:t>
      </w:r>
      <w:r w:rsidR="003F05E3" w:rsidRPr="008B1465">
        <w:rPr>
          <w:rFonts w:ascii="Times New Roman" w:eastAsia="Calibri" w:hAnsi="Times New Roman"/>
          <w:bCs/>
          <w:sz w:val="24"/>
          <w:szCs w:val="24"/>
        </w:rPr>
        <w:t xml:space="preserve">various studies such as </w:t>
      </w:r>
      <w:r w:rsidR="000623CD">
        <w:rPr>
          <w:rFonts w:ascii="Times New Roman" w:eastAsia="Calibri" w:hAnsi="Times New Roman"/>
          <w:bCs/>
          <w:sz w:val="24"/>
          <w:szCs w:val="24"/>
        </w:rPr>
        <w:t>(</w:t>
      </w:r>
      <w:r w:rsidR="003F05E3" w:rsidRPr="008B1465">
        <w:rPr>
          <w:rFonts w:ascii="Times New Roman" w:eastAsia="Calibri" w:hAnsi="Times New Roman"/>
          <w:bCs/>
          <w:sz w:val="24"/>
          <w:szCs w:val="24"/>
        </w:rPr>
        <w:t>Ugwu, 2021; Okoye</w:t>
      </w:r>
      <w:r w:rsidR="00146E42" w:rsidRPr="008B1465">
        <w:rPr>
          <w:rFonts w:ascii="Times New Roman" w:eastAsia="Calibri" w:hAnsi="Times New Roman"/>
          <w:bCs/>
          <w:sz w:val="24"/>
          <w:szCs w:val="24"/>
        </w:rPr>
        <w:t xml:space="preserve"> </w:t>
      </w:r>
      <w:r w:rsidR="00576E27" w:rsidRPr="008B1465">
        <w:rPr>
          <w:rFonts w:ascii="Times New Roman" w:eastAsia="Calibri" w:hAnsi="Times New Roman"/>
          <w:bCs/>
          <w:i/>
          <w:iCs/>
          <w:sz w:val="24"/>
          <w:szCs w:val="24"/>
        </w:rPr>
        <w:t>et al</w:t>
      </w:r>
      <w:r w:rsidR="00146E42" w:rsidRPr="008B1465">
        <w:rPr>
          <w:rFonts w:ascii="Times New Roman" w:eastAsia="Calibri" w:hAnsi="Times New Roman"/>
          <w:bCs/>
          <w:sz w:val="24"/>
          <w:szCs w:val="24"/>
        </w:rPr>
        <w:t>.</w:t>
      </w:r>
      <w:r w:rsidR="003F05E3" w:rsidRPr="008B1465">
        <w:rPr>
          <w:rFonts w:ascii="Times New Roman" w:eastAsia="Calibri" w:hAnsi="Times New Roman"/>
          <w:bCs/>
          <w:sz w:val="24"/>
          <w:szCs w:val="24"/>
        </w:rPr>
        <w:t xml:space="preserve">, 2019; Eze </w:t>
      </w:r>
      <w:r w:rsidR="0071747F">
        <w:rPr>
          <w:rFonts w:ascii="Times New Roman" w:eastAsia="Calibri" w:hAnsi="Times New Roman"/>
          <w:bCs/>
          <w:sz w:val="24"/>
          <w:szCs w:val="24"/>
        </w:rPr>
        <w:t>&amp;</w:t>
      </w:r>
      <w:r w:rsidR="003F05E3" w:rsidRPr="008B1465">
        <w:rPr>
          <w:rFonts w:ascii="Times New Roman" w:eastAsia="Calibri" w:hAnsi="Times New Roman"/>
          <w:bCs/>
          <w:sz w:val="24"/>
          <w:szCs w:val="24"/>
        </w:rPr>
        <w:t xml:space="preserve"> Okoye, 2019).  </w:t>
      </w:r>
    </w:p>
    <w:p w14:paraId="219CF479" w14:textId="0B744B7B" w:rsidR="001616E5" w:rsidRPr="008B1465" w:rsidRDefault="003F05E3" w:rsidP="007541CB">
      <w:pPr>
        <w:pStyle w:val="Heading2"/>
        <w:spacing w:line="360" w:lineRule="auto"/>
        <w:rPr>
          <w:rFonts w:cs="Times New Roman"/>
          <w:sz w:val="24"/>
          <w:szCs w:val="24"/>
        </w:rPr>
      </w:pPr>
      <w:bookmarkStart w:id="85" w:name="_Toc145951109"/>
      <w:r w:rsidRPr="008B1465">
        <w:rPr>
          <w:rFonts w:cs="Times New Roman"/>
          <w:sz w:val="24"/>
          <w:szCs w:val="24"/>
        </w:rPr>
        <w:t>Population</w:t>
      </w:r>
      <w:bookmarkEnd w:id="85"/>
      <w:r w:rsidRPr="008B1465">
        <w:rPr>
          <w:rFonts w:cs="Times New Roman"/>
          <w:sz w:val="24"/>
          <w:szCs w:val="24"/>
        </w:rPr>
        <w:t xml:space="preserve"> </w:t>
      </w:r>
    </w:p>
    <w:p w14:paraId="1D5B8F3D" w14:textId="0DD7F864" w:rsidR="001616E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The population of this study comprise</w:t>
      </w:r>
      <w:r w:rsidR="0052496E" w:rsidRPr="008B1465">
        <w:rPr>
          <w:rFonts w:ascii="Times New Roman" w:eastAsia="Calibri" w:hAnsi="Times New Roman"/>
          <w:bCs/>
          <w:sz w:val="24"/>
          <w:szCs w:val="24"/>
        </w:rPr>
        <w:t>d</w:t>
      </w:r>
      <w:r w:rsidRPr="008B1465">
        <w:rPr>
          <w:rFonts w:ascii="Times New Roman" w:eastAsia="Calibri" w:hAnsi="Times New Roman"/>
          <w:bCs/>
          <w:sz w:val="24"/>
          <w:szCs w:val="24"/>
        </w:rPr>
        <w:t xml:space="preserve"> </w:t>
      </w:r>
      <w:r w:rsidR="00261235" w:rsidRPr="00B83AAF">
        <w:rPr>
          <w:rFonts w:ascii="Times New Roman" w:eastAsia="Calibri" w:hAnsi="Times New Roman"/>
          <w:bCs/>
          <w:sz w:val="24"/>
          <w:szCs w:val="24"/>
          <w:highlight w:val="yellow"/>
        </w:rPr>
        <w:t>f</w:t>
      </w:r>
      <w:r w:rsidR="000F7A85" w:rsidRPr="00B83AAF">
        <w:rPr>
          <w:rFonts w:ascii="Times New Roman" w:eastAsia="Calibri" w:hAnsi="Times New Roman"/>
          <w:bCs/>
          <w:sz w:val="24"/>
          <w:szCs w:val="24"/>
          <w:highlight w:val="yellow"/>
        </w:rPr>
        <w:t xml:space="preserve">our hundred and </w:t>
      </w:r>
      <w:r w:rsidR="00B83AAF" w:rsidRPr="00B83AAF">
        <w:rPr>
          <w:rFonts w:ascii="Times New Roman" w:eastAsia="Calibri" w:hAnsi="Times New Roman"/>
          <w:bCs/>
          <w:sz w:val="24"/>
          <w:szCs w:val="24"/>
          <w:highlight w:val="yellow"/>
        </w:rPr>
        <w:t>fifty-one</w:t>
      </w:r>
      <w:r w:rsidR="00261235" w:rsidRPr="00B83AAF">
        <w:rPr>
          <w:rFonts w:ascii="Times New Roman" w:eastAsia="Calibri" w:hAnsi="Times New Roman"/>
          <w:bCs/>
          <w:sz w:val="24"/>
          <w:szCs w:val="24"/>
          <w:highlight w:val="yellow"/>
        </w:rPr>
        <w:t xml:space="preserve"> </w:t>
      </w:r>
      <w:r w:rsidR="000F7A85" w:rsidRPr="00B83AAF">
        <w:rPr>
          <w:rFonts w:ascii="Times New Roman" w:eastAsia="Calibri" w:hAnsi="Times New Roman"/>
          <w:bCs/>
          <w:sz w:val="24"/>
          <w:szCs w:val="24"/>
          <w:highlight w:val="yellow"/>
        </w:rPr>
        <w:t>(451)</w:t>
      </w:r>
      <w:r w:rsidR="000F7A85">
        <w:rPr>
          <w:rFonts w:ascii="Times New Roman" w:eastAsia="Calibri" w:hAnsi="Times New Roman"/>
          <w:bCs/>
          <w:sz w:val="24"/>
          <w:szCs w:val="24"/>
        </w:rPr>
        <w:t xml:space="preserve"> </w:t>
      </w:r>
      <w:r w:rsidRPr="008B1465">
        <w:rPr>
          <w:rFonts w:ascii="Times New Roman" w:eastAsia="Calibri" w:hAnsi="Times New Roman"/>
          <w:bCs/>
          <w:sz w:val="24"/>
          <w:szCs w:val="24"/>
        </w:rPr>
        <w:t xml:space="preserve">all members of staff of </w:t>
      </w:r>
      <w:r w:rsidR="00A44E0E">
        <w:rPr>
          <w:rFonts w:ascii="Times New Roman" w:eastAsia="Calibri" w:hAnsi="Times New Roman"/>
          <w:bCs/>
          <w:sz w:val="24"/>
          <w:szCs w:val="24"/>
        </w:rPr>
        <w:t>B</w:t>
      </w:r>
      <w:r w:rsidRPr="008B1465">
        <w:rPr>
          <w:rFonts w:ascii="Times New Roman" w:eastAsia="Calibri" w:hAnsi="Times New Roman"/>
          <w:bCs/>
          <w:sz w:val="24"/>
          <w:szCs w:val="24"/>
        </w:rPr>
        <w:t xml:space="preserve">ursary department, </w:t>
      </w:r>
      <w:r w:rsidR="005513BC">
        <w:rPr>
          <w:rFonts w:ascii="Times New Roman" w:eastAsia="Calibri" w:hAnsi="Times New Roman"/>
          <w:bCs/>
          <w:sz w:val="24"/>
          <w:szCs w:val="24"/>
        </w:rPr>
        <w:t>P</w:t>
      </w:r>
      <w:r w:rsidRPr="008B1465">
        <w:rPr>
          <w:rFonts w:ascii="Times New Roman" w:eastAsia="Calibri" w:hAnsi="Times New Roman"/>
          <w:bCs/>
          <w:sz w:val="24"/>
          <w:szCs w:val="24"/>
        </w:rPr>
        <w:t xml:space="preserve">rocurement </w:t>
      </w:r>
      <w:r w:rsidR="00A44E0E">
        <w:rPr>
          <w:rFonts w:ascii="Times New Roman" w:eastAsia="Calibri" w:hAnsi="Times New Roman"/>
          <w:bCs/>
          <w:sz w:val="24"/>
          <w:szCs w:val="24"/>
        </w:rPr>
        <w:t>department</w:t>
      </w:r>
      <w:r w:rsidRPr="008B1465">
        <w:rPr>
          <w:rFonts w:ascii="Times New Roman" w:eastAsia="Calibri" w:hAnsi="Times New Roman"/>
          <w:bCs/>
          <w:sz w:val="24"/>
          <w:szCs w:val="24"/>
        </w:rPr>
        <w:t xml:space="preserve"> and </w:t>
      </w:r>
      <w:r w:rsidR="00A44E0E">
        <w:rPr>
          <w:rFonts w:ascii="Times New Roman" w:eastAsia="Calibri" w:hAnsi="Times New Roman"/>
          <w:bCs/>
          <w:sz w:val="24"/>
          <w:szCs w:val="24"/>
        </w:rPr>
        <w:t>I</w:t>
      </w:r>
      <w:r w:rsidRPr="008B1465">
        <w:rPr>
          <w:rFonts w:ascii="Times New Roman" w:eastAsia="Calibri" w:hAnsi="Times New Roman"/>
          <w:bCs/>
          <w:sz w:val="24"/>
          <w:szCs w:val="24"/>
        </w:rPr>
        <w:t xml:space="preserve">nternal </w:t>
      </w:r>
      <w:r w:rsidR="00A44E0E">
        <w:rPr>
          <w:rFonts w:ascii="Times New Roman" w:eastAsia="Calibri" w:hAnsi="Times New Roman"/>
          <w:bCs/>
          <w:sz w:val="24"/>
          <w:szCs w:val="24"/>
        </w:rPr>
        <w:t>A</w:t>
      </w:r>
      <w:r w:rsidRPr="008B1465">
        <w:rPr>
          <w:rFonts w:ascii="Times New Roman" w:eastAsia="Calibri" w:hAnsi="Times New Roman"/>
          <w:bCs/>
          <w:sz w:val="24"/>
          <w:szCs w:val="24"/>
        </w:rPr>
        <w:t xml:space="preserve">udit </w:t>
      </w:r>
      <w:r w:rsidR="005513BC">
        <w:rPr>
          <w:rFonts w:ascii="Times New Roman" w:eastAsia="Calibri" w:hAnsi="Times New Roman"/>
          <w:bCs/>
          <w:sz w:val="24"/>
          <w:szCs w:val="24"/>
        </w:rPr>
        <w:t>department</w:t>
      </w:r>
      <w:r w:rsidRPr="008B1465">
        <w:rPr>
          <w:rFonts w:ascii="Times New Roman" w:eastAsia="Calibri" w:hAnsi="Times New Roman"/>
          <w:bCs/>
          <w:sz w:val="24"/>
          <w:szCs w:val="24"/>
        </w:rPr>
        <w:t xml:space="preserve"> from </w:t>
      </w:r>
      <w:r w:rsidR="005513BC">
        <w:rPr>
          <w:rFonts w:ascii="Times New Roman" w:eastAsia="Calibri" w:hAnsi="Times New Roman"/>
          <w:bCs/>
          <w:sz w:val="24"/>
          <w:szCs w:val="24"/>
        </w:rPr>
        <w:t>l</w:t>
      </w:r>
      <w:r w:rsidRPr="008B1465">
        <w:rPr>
          <w:rFonts w:ascii="Times New Roman" w:eastAsia="Calibri" w:hAnsi="Times New Roman"/>
          <w:bCs/>
          <w:sz w:val="24"/>
          <w:szCs w:val="24"/>
        </w:rPr>
        <w:t xml:space="preserve">evel </w:t>
      </w:r>
      <w:r w:rsidR="002E3D4F" w:rsidRPr="008B1465">
        <w:rPr>
          <w:rFonts w:ascii="Times New Roman" w:eastAsia="Calibri" w:hAnsi="Times New Roman"/>
          <w:bCs/>
          <w:sz w:val="24"/>
          <w:szCs w:val="24"/>
        </w:rPr>
        <w:t>seven (</w:t>
      </w:r>
      <w:r w:rsidRPr="008B1465">
        <w:rPr>
          <w:rFonts w:ascii="Times New Roman" w:eastAsia="Calibri" w:hAnsi="Times New Roman"/>
          <w:bCs/>
          <w:sz w:val="24"/>
          <w:szCs w:val="24"/>
        </w:rPr>
        <w:t>7</w:t>
      </w:r>
      <w:r w:rsidR="002E3D4F" w:rsidRPr="008B1465">
        <w:rPr>
          <w:rFonts w:ascii="Times New Roman" w:eastAsia="Calibri" w:hAnsi="Times New Roman"/>
          <w:bCs/>
          <w:sz w:val="24"/>
          <w:szCs w:val="24"/>
        </w:rPr>
        <w:t>)</w:t>
      </w:r>
      <w:r w:rsidRPr="008B1465">
        <w:rPr>
          <w:rFonts w:ascii="Times New Roman" w:eastAsia="Calibri" w:hAnsi="Times New Roman"/>
          <w:bCs/>
          <w:sz w:val="24"/>
          <w:szCs w:val="24"/>
        </w:rPr>
        <w:t xml:space="preserve"> and above from all the s</w:t>
      </w:r>
      <w:r w:rsidR="00F70014">
        <w:rPr>
          <w:rFonts w:ascii="Times New Roman" w:eastAsia="Calibri" w:hAnsi="Times New Roman"/>
          <w:bCs/>
          <w:sz w:val="24"/>
          <w:szCs w:val="24"/>
        </w:rPr>
        <w:t>ix</w:t>
      </w:r>
      <w:r w:rsidR="002E3D4F" w:rsidRPr="008B1465">
        <w:rPr>
          <w:rFonts w:ascii="Times New Roman" w:eastAsia="Calibri" w:hAnsi="Times New Roman"/>
          <w:bCs/>
          <w:sz w:val="24"/>
          <w:szCs w:val="24"/>
        </w:rPr>
        <w:t xml:space="preserve"> (</w:t>
      </w:r>
      <w:r w:rsidR="00F70014">
        <w:rPr>
          <w:rFonts w:ascii="Times New Roman" w:eastAsia="Calibri" w:hAnsi="Times New Roman"/>
          <w:bCs/>
          <w:sz w:val="24"/>
          <w:szCs w:val="24"/>
        </w:rPr>
        <w:t>6</w:t>
      </w:r>
      <w:r w:rsidR="002E3D4F" w:rsidRPr="008B1465">
        <w:rPr>
          <w:rFonts w:ascii="Times New Roman" w:eastAsia="Calibri" w:hAnsi="Times New Roman"/>
          <w:bCs/>
          <w:sz w:val="24"/>
          <w:szCs w:val="24"/>
        </w:rPr>
        <w:t>)</w:t>
      </w:r>
      <w:r w:rsidRPr="008B1465">
        <w:rPr>
          <w:rFonts w:ascii="Times New Roman" w:eastAsia="Calibri" w:hAnsi="Times New Roman"/>
          <w:bCs/>
          <w:sz w:val="24"/>
          <w:szCs w:val="24"/>
        </w:rPr>
        <w:t xml:space="preserve"> federal universities in Southwest, Nigeria. Most of these members of staff are either Higher National Diploma (HND) certificate holders or University degree certificate holders. In addition, some of them possess professional qualifications such as ICAN, ANAN</w:t>
      </w:r>
      <w:r w:rsidR="009941A3">
        <w:rPr>
          <w:rFonts w:ascii="Times New Roman" w:eastAsia="Calibri" w:hAnsi="Times New Roman"/>
          <w:bCs/>
          <w:sz w:val="24"/>
          <w:szCs w:val="24"/>
        </w:rPr>
        <w:t>,</w:t>
      </w:r>
      <w:r w:rsidRPr="008B1465">
        <w:rPr>
          <w:rFonts w:ascii="Times New Roman" w:eastAsia="Calibri" w:hAnsi="Times New Roman"/>
          <w:bCs/>
          <w:sz w:val="24"/>
          <w:szCs w:val="24"/>
        </w:rPr>
        <w:t xml:space="preserve"> ACCA </w:t>
      </w:r>
      <w:r w:rsidR="009941A3">
        <w:rPr>
          <w:rFonts w:ascii="Times New Roman" w:eastAsia="Calibri" w:hAnsi="Times New Roman"/>
          <w:bCs/>
          <w:sz w:val="24"/>
          <w:szCs w:val="24"/>
        </w:rPr>
        <w:t xml:space="preserve">and others </w:t>
      </w:r>
      <w:r w:rsidRPr="008B1465">
        <w:rPr>
          <w:rFonts w:ascii="Times New Roman" w:eastAsia="Calibri" w:hAnsi="Times New Roman"/>
          <w:bCs/>
          <w:sz w:val="24"/>
          <w:szCs w:val="24"/>
        </w:rPr>
        <w:t xml:space="preserve">with not less than 5 years’ work experience in the federal universities in </w:t>
      </w:r>
      <w:r w:rsidR="00EC634E" w:rsidRPr="008B1465">
        <w:rPr>
          <w:rFonts w:ascii="Times New Roman" w:eastAsia="Calibri" w:hAnsi="Times New Roman"/>
          <w:bCs/>
          <w:sz w:val="24"/>
          <w:szCs w:val="24"/>
        </w:rPr>
        <w:t>Southwest, Nigeria. The</w:t>
      </w:r>
      <w:r w:rsidR="00695164" w:rsidRPr="008B1465">
        <w:rPr>
          <w:rFonts w:ascii="Times New Roman" w:eastAsia="Calibri" w:hAnsi="Times New Roman"/>
          <w:bCs/>
          <w:sz w:val="24"/>
          <w:szCs w:val="24"/>
        </w:rPr>
        <w:t xml:space="preserve"> </w:t>
      </w:r>
      <w:r w:rsidRPr="008B1465">
        <w:rPr>
          <w:rFonts w:ascii="Times New Roman" w:eastAsia="Calibri" w:hAnsi="Times New Roman"/>
          <w:bCs/>
          <w:sz w:val="24"/>
          <w:szCs w:val="24"/>
        </w:rPr>
        <w:t>s</w:t>
      </w:r>
      <w:r w:rsidR="00F70014">
        <w:rPr>
          <w:rFonts w:ascii="Times New Roman" w:eastAsia="Calibri" w:hAnsi="Times New Roman"/>
          <w:bCs/>
          <w:sz w:val="24"/>
          <w:szCs w:val="24"/>
        </w:rPr>
        <w:t>ix</w:t>
      </w:r>
      <w:r w:rsidRPr="008B1465">
        <w:rPr>
          <w:rFonts w:ascii="Times New Roman" w:eastAsia="Calibri" w:hAnsi="Times New Roman"/>
          <w:bCs/>
          <w:sz w:val="24"/>
          <w:szCs w:val="24"/>
        </w:rPr>
        <w:t xml:space="preserve"> (</w:t>
      </w:r>
      <w:r w:rsidR="00F70014">
        <w:rPr>
          <w:rFonts w:ascii="Times New Roman" w:eastAsia="Calibri" w:hAnsi="Times New Roman"/>
          <w:bCs/>
          <w:sz w:val="24"/>
          <w:szCs w:val="24"/>
        </w:rPr>
        <w:t>6</w:t>
      </w:r>
      <w:r w:rsidRPr="008B1465">
        <w:rPr>
          <w:rFonts w:ascii="Times New Roman" w:eastAsia="Calibri" w:hAnsi="Times New Roman"/>
          <w:bCs/>
          <w:sz w:val="24"/>
          <w:szCs w:val="24"/>
        </w:rPr>
        <w:t>) federal universities in Southwest, Nigeria include</w:t>
      </w:r>
      <w:r w:rsidR="001E1CBB" w:rsidRPr="008B1465">
        <w:rPr>
          <w:rFonts w:ascii="Times New Roman" w:eastAsia="Calibri" w:hAnsi="Times New Roman"/>
          <w:bCs/>
          <w:sz w:val="24"/>
          <w:szCs w:val="24"/>
        </w:rPr>
        <w:t>d</w:t>
      </w:r>
      <w:r w:rsidR="00D76C83">
        <w:rPr>
          <w:rFonts w:ascii="Times New Roman" w:eastAsia="Calibri" w:hAnsi="Times New Roman"/>
          <w:bCs/>
          <w:sz w:val="24"/>
          <w:szCs w:val="24"/>
        </w:rPr>
        <w:t>:</w:t>
      </w:r>
      <w:r w:rsidRPr="008B1465">
        <w:rPr>
          <w:rFonts w:ascii="Times New Roman" w:eastAsia="Calibri" w:hAnsi="Times New Roman"/>
          <w:bCs/>
          <w:sz w:val="24"/>
          <w:szCs w:val="24"/>
        </w:rPr>
        <w:t xml:space="preserve"> University of Ibadan (UI)</w:t>
      </w:r>
      <w:r w:rsidR="00D76C83">
        <w:rPr>
          <w:rFonts w:ascii="Times New Roman" w:eastAsia="Calibri" w:hAnsi="Times New Roman"/>
          <w:bCs/>
          <w:sz w:val="24"/>
          <w:szCs w:val="24"/>
        </w:rPr>
        <w:t>;</w:t>
      </w:r>
      <w:r w:rsidRPr="008B1465">
        <w:rPr>
          <w:rFonts w:ascii="Times New Roman" w:eastAsia="Calibri" w:hAnsi="Times New Roman"/>
          <w:bCs/>
          <w:sz w:val="24"/>
          <w:szCs w:val="24"/>
        </w:rPr>
        <w:t xml:space="preserve"> University of Lagos (UNILAG)</w:t>
      </w:r>
      <w:r w:rsidR="00921639">
        <w:rPr>
          <w:rFonts w:ascii="Times New Roman" w:eastAsia="Calibri" w:hAnsi="Times New Roman"/>
          <w:bCs/>
          <w:sz w:val="24"/>
          <w:szCs w:val="24"/>
        </w:rPr>
        <w:t>;</w:t>
      </w:r>
      <w:r w:rsidR="00F249CE">
        <w:rPr>
          <w:rFonts w:ascii="Times New Roman" w:eastAsia="Calibri" w:hAnsi="Times New Roman"/>
          <w:bCs/>
          <w:sz w:val="24"/>
          <w:szCs w:val="24"/>
        </w:rPr>
        <w:t xml:space="preserve"> </w:t>
      </w:r>
      <w:r w:rsidRPr="008B1465">
        <w:rPr>
          <w:rFonts w:ascii="Times New Roman" w:eastAsia="Calibri" w:hAnsi="Times New Roman"/>
          <w:bCs/>
          <w:sz w:val="24"/>
          <w:szCs w:val="24"/>
        </w:rPr>
        <w:t>Obafemi Awolowo University, Ile Ife (OAU)</w:t>
      </w:r>
      <w:r w:rsidR="00921639">
        <w:rPr>
          <w:rFonts w:ascii="Times New Roman" w:eastAsia="Calibri" w:hAnsi="Times New Roman"/>
          <w:bCs/>
          <w:sz w:val="24"/>
          <w:szCs w:val="24"/>
        </w:rPr>
        <w:t>;</w:t>
      </w:r>
      <w:r w:rsidRPr="008B1465">
        <w:rPr>
          <w:rFonts w:ascii="Times New Roman" w:eastAsia="Calibri" w:hAnsi="Times New Roman"/>
          <w:bCs/>
          <w:sz w:val="24"/>
          <w:szCs w:val="24"/>
        </w:rPr>
        <w:t xml:space="preserve"> Federal University of Agriculture Abeokuta (FUN</w:t>
      </w:r>
      <w:r w:rsidR="00015DE5" w:rsidRPr="008B1465">
        <w:rPr>
          <w:rFonts w:ascii="Times New Roman" w:eastAsia="Calibri" w:hAnsi="Times New Roman"/>
          <w:bCs/>
          <w:sz w:val="24"/>
          <w:szCs w:val="24"/>
        </w:rPr>
        <w:t>A</w:t>
      </w:r>
      <w:r w:rsidRPr="008B1465">
        <w:rPr>
          <w:rFonts w:ascii="Times New Roman" w:eastAsia="Calibri" w:hAnsi="Times New Roman"/>
          <w:bCs/>
          <w:sz w:val="24"/>
          <w:szCs w:val="24"/>
        </w:rPr>
        <w:t>AB)</w:t>
      </w:r>
      <w:r w:rsidR="00921639">
        <w:rPr>
          <w:rFonts w:ascii="Times New Roman" w:eastAsia="Calibri" w:hAnsi="Times New Roman"/>
          <w:bCs/>
          <w:sz w:val="24"/>
          <w:szCs w:val="24"/>
        </w:rPr>
        <w:t>;</w:t>
      </w:r>
      <w:r w:rsidRPr="008B1465">
        <w:rPr>
          <w:rFonts w:ascii="Times New Roman" w:eastAsia="Calibri" w:hAnsi="Times New Roman"/>
          <w:bCs/>
          <w:sz w:val="24"/>
          <w:szCs w:val="24"/>
        </w:rPr>
        <w:t xml:space="preserve"> Federal University of Technology, Akure (FUTA)</w:t>
      </w:r>
      <w:r w:rsidR="00921639">
        <w:rPr>
          <w:rFonts w:ascii="Times New Roman" w:eastAsia="Calibri" w:hAnsi="Times New Roman"/>
          <w:bCs/>
          <w:sz w:val="24"/>
          <w:szCs w:val="24"/>
        </w:rPr>
        <w:t>;</w:t>
      </w:r>
      <w:r w:rsidRPr="008B1465">
        <w:rPr>
          <w:rFonts w:ascii="Times New Roman" w:eastAsia="Calibri" w:hAnsi="Times New Roman"/>
          <w:bCs/>
          <w:sz w:val="24"/>
          <w:szCs w:val="24"/>
        </w:rPr>
        <w:t xml:space="preserve"> and Federal University Oye Ekiti (FUOYE).</w:t>
      </w:r>
    </w:p>
    <w:p w14:paraId="3160CBB4" w14:textId="77777777" w:rsidR="008A6028" w:rsidRPr="008B1465" w:rsidRDefault="008A6028" w:rsidP="007541CB">
      <w:pPr>
        <w:spacing w:after="0" w:line="360" w:lineRule="auto"/>
        <w:jc w:val="both"/>
        <w:rPr>
          <w:rFonts w:ascii="Times New Roman" w:eastAsia="Calibri" w:hAnsi="Times New Roman"/>
          <w:bCs/>
          <w:sz w:val="24"/>
          <w:szCs w:val="24"/>
        </w:rPr>
      </w:pPr>
    </w:p>
    <w:p w14:paraId="5C92E35C" w14:textId="544AF789" w:rsidR="001616E5" w:rsidRPr="008B1465" w:rsidRDefault="003F05E3" w:rsidP="007541CB">
      <w:pPr>
        <w:pStyle w:val="Heading2"/>
        <w:spacing w:line="360" w:lineRule="auto"/>
        <w:rPr>
          <w:rFonts w:cs="Times New Roman"/>
          <w:sz w:val="24"/>
          <w:szCs w:val="24"/>
        </w:rPr>
      </w:pPr>
      <w:bookmarkStart w:id="86" w:name="_Toc145951110"/>
      <w:r w:rsidRPr="008B1465">
        <w:rPr>
          <w:rFonts w:cs="Times New Roman"/>
          <w:sz w:val="24"/>
          <w:szCs w:val="24"/>
        </w:rPr>
        <w:t xml:space="preserve">Sample </w:t>
      </w:r>
      <w:r w:rsidR="003806C1" w:rsidRPr="008B1465">
        <w:rPr>
          <w:rFonts w:cs="Times New Roman"/>
          <w:sz w:val="24"/>
          <w:szCs w:val="24"/>
        </w:rPr>
        <w:t xml:space="preserve">Size </w:t>
      </w:r>
      <w:r w:rsidRPr="008B1465">
        <w:rPr>
          <w:rFonts w:cs="Times New Roman"/>
          <w:sz w:val="24"/>
          <w:szCs w:val="24"/>
        </w:rPr>
        <w:t>and Sampling Technique</w:t>
      </w:r>
      <w:bookmarkEnd w:id="86"/>
    </w:p>
    <w:p w14:paraId="6CF4CA50" w14:textId="77777777" w:rsidR="008A6028" w:rsidRPr="008B1465" w:rsidRDefault="008A6028" w:rsidP="008A6028">
      <w:pPr>
        <w:pStyle w:val="Caption"/>
        <w:keepNext/>
        <w:jc w:val="center"/>
        <w:rPr>
          <w:rFonts w:ascii="Times New Roman" w:hAnsi="Times New Roman"/>
          <w:i w:val="0"/>
          <w:iCs w:val="0"/>
          <w:color w:val="auto"/>
          <w:sz w:val="24"/>
          <w:szCs w:val="24"/>
        </w:rPr>
      </w:pPr>
      <w:bookmarkStart w:id="87" w:name="_Toc145952331"/>
      <w:r w:rsidRPr="008B1465">
        <w:rPr>
          <w:rFonts w:ascii="Times New Roman" w:hAnsi="Times New Roman"/>
          <w:i w:val="0"/>
          <w:iCs w:val="0"/>
          <w:color w:val="auto"/>
          <w:sz w:val="24"/>
          <w:szCs w:val="24"/>
        </w:rPr>
        <w:t xml:space="preserve">Table </w:t>
      </w:r>
      <w:r>
        <w:rPr>
          <w:rFonts w:ascii="Times New Roman" w:hAnsi="Times New Roman"/>
          <w:i w:val="0"/>
          <w:iCs w:val="0"/>
          <w:color w:val="auto"/>
          <w:sz w:val="24"/>
          <w:szCs w:val="24"/>
        </w:rPr>
        <w:fldChar w:fldCharType="begin"/>
      </w:r>
      <w:r>
        <w:rPr>
          <w:rFonts w:ascii="Times New Roman" w:hAnsi="Times New Roman"/>
          <w:i w:val="0"/>
          <w:iCs w:val="0"/>
          <w:color w:val="auto"/>
          <w:sz w:val="24"/>
          <w:szCs w:val="24"/>
        </w:rPr>
        <w:instrText xml:space="preserve"> STYLEREF 1 \s </w:instrText>
      </w:r>
      <w:r>
        <w:rPr>
          <w:rFonts w:ascii="Times New Roman" w:hAnsi="Times New Roman"/>
          <w:i w:val="0"/>
          <w:iCs w:val="0"/>
          <w:color w:val="auto"/>
          <w:sz w:val="24"/>
          <w:szCs w:val="24"/>
        </w:rPr>
        <w:fldChar w:fldCharType="separate"/>
      </w:r>
      <w:r>
        <w:rPr>
          <w:rFonts w:ascii="Times New Roman" w:hAnsi="Times New Roman"/>
          <w:i w:val="0"/>
          <w:iCs w:val="0"/>
          <w:noProof/>
          <w:color w:val="auto"/>
          <w:sz w:val="24"/>
          <w:szCs w:val="24"/>
        </w:rPr>
        <w:t>3</w:t>
      </w:r>
      <w:r>
        <w:rPr>
          <w:rFonts w:ascii="Times New Roman" w:hAnsi="Times New Roman"/>
          <w:i w:val="0"/>
          <w:iCs w:val="0"/>
          <w:color w:val="auto"/>
          <w:sz w:val="24"/>
          <w:szCs w:val="24"/>
        </w:rPr>
        <w:fldChar w:fldCharType="end"/>
      </w:r>
      <w:r>
        <w:rPr>
          <w:rFonts w:ascii="Times New Roman" w:hAnsi="Times New Roman"/>
          <w:i w:val="0"/>
          <w:iCs w:val="0"/>
          <w:color w:val="auto"/>
          <w:sz w:val="24"/>
          <w:szCs w:val="24"/>
        </w:rPr>
        <w:t>.</w:t>
      </w:r>
      <w:r>
        <w:rPr>
          <w:rFonts w:ascii="Times New Roman" w:hAnsi="Times New Roman"/>
          <w:i w:val="0"/>
          <w:iCs w:val="0"/>
          <w:color w:val="auto"/>
          <w:sz w:val="24"/>
          <w:szCs w:val="24"/>
        </w:rPr>
        <w:fldChar w:fldCharType="begin"/>
      </w:r>
      <w:r>
        <w:rPr>
          <w:rFonts w:ascii="Times New Roman" w:hAnsi="Times New Roman"/>
          <w:i w:val="0"/>
          <w:iCs w:val="0"/>
          <w:color w:val="auto"/>
          <w:sz w:val="24"/>
          <w:szCs w:val="24"/>
        </w:rPr>
        <w:instrText xml:space="preserve"> SEQ Table \* ARABIC \s 1 </w:instrText>
      </w:r>
      <w:r>
        <w:rPr>
          <w:rFonts w:ascii="Times New Roman" w:hAnsi="Times New Roman"/>
          <w:i w:val="0"/>
          <w:iCs w:val="0"/>
          <w:color w:val="auto"/>
          <w:sz w:val="24"/>
          <w:szCs w:val="24"/>
        </w:rPr>
        <w:fldChar w:fldCharType="separate"/>
      </w:r>
      <w:r>
        <w:rPr>
          <w:rFonts w:ascii="Times New Roman" w:hAnsi="Times New Roman"/>
          <w:i w:val="0"/>
          <w:iCs w:val="0"/>
          <w:noProof/>
          <w:color w:val="auto"/>
          <w:sz w:val="24"/>
          <w:szCs w:val="24"/>
        </w:rPr>
        <w:t>1</w:t>
      </w:r>
      <w:r>
        <w:rPr>
          <w:rFonts w:ascii="Times New Roman" w:hAnsi="Times New Roman"/>
          <w:i w:val="0"/>
          <w:iCs w:val="0"/>
          <w:color w:val="auto"/>
          <w:sz w:val="24"/>
          <w:szCs w:val="24"/>
        </w:rPr>
        <w:fldChar w:fldCharType="end"/>
      </w:r>
      <w:r w:rsidRPr="008B1465">
        <w:rPr>
          <w:rFonts w:ascii="Times New Roman" w:hAnsi="Times New Roman"/>
          <w:i w:val="0"/>
          <w:iCs w:val="0"/>
          <w:color w:val="auto"/>
          <w:sz w:val="24"/>
          <w:szCs w:val="24"/>
        </w:rPr>
        <w:t>: Distribution of Sample Size</w:t>
      </w:r>
      <w:bookmarkEnd w:id="87"/>
    </w:p>
    <w:tbl>
      <w:tblPr>
        <w:tblStyle w:val="TableGrid"/>
        <w:tblW w:w="94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0"/>
        <w:gridCol w:w="1568"/>
        <w:gridCol w:w="2056"/>
        <w:gridCol w:w="1974"/>
        <w:gridCol w:w="1694"/>
        <w:gridCol w:w="1531"/>
      </w:tblGrid>
      <w:tr w:rsidR="008A6028" w:rsidRPr="008B1465" w14:paraId="3B3F52F4" w14:textId="77777777" w:rsidTr="00F933ED">
        <w:trPr>
          <w:trHeight w:val="890"/>
        </w:trPr>
        <w:tc>
          <w:tcPr>
            <w:tcW w:w="590" w:type="dxa"/>
            <w:tcBorders>
              <w:top w:val="thinThickSmallGap" w:sz="24" w:space="0" w:color="auto"/>
              <w:bottom w:val="thinThickSmallGap" w:sz="24" w:space="0" w:color="auto"/>
            </w:tcBorders>
            <w:vAlign w:val="center"/>
          </w:tcPr>
          <w:p w14:paraId="06025DD8" w14:textId="77777777" w:rsidR="008A6028" w:rsidRPr="008B1465" w:rsidRDefault="008A6028" w:rsidP="00F933ED">
            <w:pPr>
              <w:spacing w:before="0" w:beforeAutospacing="0" w:after="0" w:line="240" w:lineRule="auto"/>
              <w:jc w:val="center"/>
              <w:rPr>
                <w:rFonts w:ascii="Times New Roman" w:hAnsi="Times New Roman"/>
                <w:b/>
                <w:bCs/>
                <w:sz w:val="24"/>
                <w:szCs w:val="24"/>
              </w:rPr>
            </w:pPr>
            <w:r w:rsidRPr="008B1465">
              <w:rPr>
                <w:rFonts w:ascii="Times New Roman" w:hAnsi="Times New Roman"/>
                <w:b/>
                <w:bCs/>
                <w:sz w:val="24"/>
                <w:szCs w:val="24"/>
              </w:rPr>
              <w:t>S/N</w:t>
            </w:r>
          </w:p>
        </w:tc>
        <w:tc>
          <w:tcPr>
            <w:tcW w:w="1568" w:type="dxa"/>
            <w:tcBorders>
              <w:top w:val="thinThickSmallGap" w:sz="24" w:space="0" w:color="auto"/>
              <w:bottom w:val="thinThickSmallGap" w:sz="24" w:space="0" w:color="auto"/>
            </w:tcBorders>
            <w:vAlign w:val="center"/>
          </w:tcPr>
          <w:p w14:paraId="23D6E7D6" w14:textId="77777777" w:rsidR="008A6028" w:rsidRPr="008B1465" w:rsidRDefault="008A6028" w:rsidP="00F933ED">
            <w:pPr>
              <w:spacing w:before="0" w:beforeAutospacing="0" w:after="0" w:line="240" w:lineRule="auto"/>
              <w:jc w:val="center"/>
              <w:rPr>
                <w:rFonts w:ascii="Times New Roman" w:hAnsi="Times New Roman"/>
                <w:b/>
                <w:bCs/>
                <w:sz w:val="24"/>
                <w:szCs w:val="24"/>
              </w:rPr>
            </w:pPr>
            <w:r w:rsidRPr="008B1465">
              <w:rPr>
                <w:rFonts w:ascii="Times New Roman" w:hAnsi="Times New Roman"/>
                <w:b/>
                <w:bCs/>
                <w:color w:val="000000"/>
                <w:sz w:val="24"/>
                <w:szCs w:val="24"/>
              </w:rPr>
              <w:t>University</w:t>
            </w:r>
          </w:p>
        </w:tc>
        <w:tc>
          <w:tcPr>
            <w:tcW w:w="2056" w:type="dxa"/>
            <w:tcBorders>
              <w:top w:val="thinThickSmallGap" w:sz="24" w:space="0" w:color="auto"/>
              <w:bottom w:val="thinThickSmallGap" w:sz="24" w:space="0" w:color="auto"/>
            </w:tcBorders>
            <w:vAlign w:val="center"/>
          </w:tcPr>
          <w:p w14:paraId="0688B158" w14:textId="77777777" w:rsidR="008A6028" w:rsidRPr="008B1465" w:rsidRDefault="008A6028" w:rsidP="00F933ED">
            <w:pPr>
              <w:spacing w:before="0" w:beforeAutospacing="0" w:after="0" w:line="240" w:lineRule="auto"/>
              <w:jc w:val="center"/>
              <w:rPr>
                <w:rFonts w:ascii="Times New Roman" w:hAnsi="Times New Roman"/>
                <w:b/>
                <w:bCs/>
                <w:color w:val="000000"/>
                <w:sz w:val="24"/>
                <w:szCs w:val="24"/>
              </w:rPr>
            </w:pPr>
            <w:r w:rsidRPr="008B1465">
              <w:rPr>
                <w:rFonts w:ascii="Times New Roman" w:hAnsi="Times New Roman"/>
                <w:b/>
                <w:bCs/>
                <w:color w:val="000000"/>
                <w:sz w:val="24"/>
                <w:szCs w:val="24"/>
              </w:rPr>
              <w:t>No. of Bursary Staff</w:t>
            </w:r>
          </w:p>
        </w:tc>
        <w:tc>
          <w:tcPr>
            <w:tcW w:w="1974" w:type="dxa"/>
            <w:tcBorders>
              <w:top w:val="thinThickSmallGap" w:sz="24" w:space="0" w:color="auto"/>
              <w:bottom w:val="thinThickSmallGap" w:sz="24" w:space="0" w:color="auto"/>
            </w:tcBorders>
            <w:vAlign w:val="center"/>
          </w:tcPr>
          <w:p w14:paraId="45084413" w14:textId="77777777" w:rsidR="008A6028" w:rsidRPr="008B1465" w:rsidRDefault="008A6028" w:rsidP="00F933ED">
            <w:pPr>
              <w:spacing w:before="0" w:beforeAutospacing="0" w:after="0" w:line="240" w:lineRule="auto"/>
              <w:jc w:val="center"/>
              <w:rPr>
                <w:rFonts w:ascii="Times New Roman" w:hAnsi="Times New Roman"/>
                <w:b/>
                <w:bCs/>
                <w:color w:val="000000"/>
                <w:sz w:val="24"/>
                <w:szCs w:val="24"/>
              </w:rPr>
            </w:pPr>
            <w:r w:rsidRPr="008B1465">
              <w:rPr>
                <w:rFonts w:ascii="Times New Roman" w:hAnsi="Times New Roman"/>
                <w:b/>
                <w:bCs/>
                <w:color w:val="000000"/>
                <w:sz w:val="24"/>
                <w:szCs w:val="24"/>
              </w:rPr>
              <w:t>No. of Internal Audit Staff</w:t>
            </w:r>
          </w:p>
        </w:tc>
        <w:tc>
          <w:tcPr>
            <w:tcW w:w="1694" w:type="dxa"/>
            <w:tcBorders>
              <w:top w:val="thinThickSmallGap" w:sz="24" w:space="0" w:color="auto"/>
              <w:bottom w:val="thinThickSmallGap" w:sz="24" w:space="0" w:color="auto"/>
            </w:tcBorders>
            <w:vAlign w:val="center"/>
          </w:tcPr>
          <w:p w14:paraId="69287533" w14:textId="77777777" w:rsidR="008A6028" w:rsidRPr="008B1465" w:rsidRDefault="008A6028" w:rsidP="00F933ED">
            <w:pPr>
              <w:spacing w:before="0" w:beforeAutospacing="0" w:after="0" w:line="240" w:lineRule="auto"/>
              <w:jc w:val="center"/>
              <w:rPr>
                <w:rFonts w:ascii="Times New Roman" w:hAnsi="Times New Roman"/>
                <w:b/>
                <w:bCs/>
                <w:color w:val="000000"/>
                <w:sz w:val="24"/>
                <w:szCs w:val="24"/>
              </w:rPr>
            </w:pPr>
            <w:r w:rsidRPr="008B1465">
              <w:rPr>
                <w:rFonts w:ascii="Times New Roman" w:hAnsi="Times New Roman"/>
                <w:b/>
                <w:bCs/>
                <w:color w:val="000000"/>
                <w:sz w:val="24"/>
                <w:szCs w:val="24"/>
              </w:rPr>
              <w:t>No. of Procurement Office</w:t>
            </w:r>
            <w:r>
              <w:rPr>
                <w:rFonts w:ascii="Times New Roman" w:hAnsi="Times New Roman"/>
                <w:b/>
                <w:bCs/>
                <w:color w:val="000000"/>
                <w:sz w:val="24"/>
                <w:szCs w:val="24"/>
              </w:rPr>
              <w:t>rs</w:t>
            </w:r>
          </w:p>
        </w:tc>
        <w:tc>
          <w:tcPr>
            <w:tcW w:w="1531" w:type="dxa"/>
            <w:tcBorders>
              <w:top w:val="thinThickSmallGap" w:sz="24" w:space="0" w:color="auto"/>
              <w:bottom w:val="thinThickSmallGap" w:sz="24" w:space="0" w:color="auto"/>
            </w:tcBorders>
            <w:vAlign w:val="center"/>
          </w:tcPr>
          <w:p w14:paraId="50251FBC" w14:textId="77777777" w:rsidR="008A6028" w:rsidRPr="008B1465" w:rsidRDefault="008A6028" w:rsidP="00F933ED">
            <w:pPr>
              <w:spacing w:before="0" w:beforeAutospacing="0" w:after="0" w:line="240" w:lineRule="auto"/>
              <w:jc w:val="center"/>
              <w:rPr>
                <w:rFonts w:ascii="Times New Roman" w:hAnsi="Times New Roman"/>
                <w:b/>
                <w:bCs/>
                <w:sz w:val="24"/>
                <w:szCs w:val="24"/>
              </w:rPr>
            </w:pPr>
            <w:r w:rsidRPr="008B1465">
              <w:rPr>
                <w:rFonts w:ascii="Times New Roman" w:hAnsi="Times New Roman"/>
                <w:b/>
                <w:bCs/>
                <w:sz w:val="24"/>
                <w:szCs w:val="24"/>
              </w:rPr>
              <w:t>Total</w:t>
            </w:r>
          </w:p>
        </w:tc>
      </w:tr>
      <w:tr w:rsidR="008A6028" w:rsidRPr="008B1465" w14:paraId="53387734" w14:textId="77777777" w:rsidTr="00F933ED">
        <w:trPr>
          <w:trHeight w:val="511"/>
        </w:trPr>
        <w:tc>
          <w:tcPr>
            <w:tcW w:w="590" w:type="dxa"/>
            <w:tcBorders>
              <w:top w:val="thinThickSmallGap" w:sz="24" w:space="0" w:color="auto"/>
            </w:tcBorders>
            <w:vAlign w:val="center"/>
          </w:tcPr>
          <w:p w14:paraId="075E2473"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1</w:t>
            </w:r>
          </w:p>
        </w:tc>
        <w:tc>
          <w:tcPr>
            <w:tcW w:w="1568" w:type="dxa"/>
            <w:tcBorders>
              <w:top w:val="thinThickSmallGap" w:sz="24" w:space="0" w:color="auto"/>
            </w:tcBorders>
            <w:vAlign w:val="center"/>
          </w:tcPr>
          <w:p w14:paraId="41A90008" w14:textId="77777777" w:rsidR="008A6028" w:rsidRPr="008B1465" w:rsidRDefault="008A6028" w:rsidP="00F933ED">
            <w:pPr>
              <w:jc w:val="center"/>
              <w:rPr>
                <w:rFonts w:ascii="Times New Roman" w:hAnsi="Times New Roman"/>
                <w:sz w:val="24"/>
                <w:szCs w:val="24"/>
              </w:rPr>
            </w:pPr>
            <w:r w:rsidRPr="008B1465">
              <w:rPr>
                <w:rFonts w:ascii="Times New Roman" w:hAnsi="Times New Roman"/>
                <w:color w:val="000000"/>
                <w:sz w:val="24"/>
                <w:szCs w:val="24"/>
              </w:rPr>
              <w:t>UNILAG</w:t>
            </w:r>
          </w:p>
        </w:tc>
        <w:tc>
          <w:tcPr>
            <w:tcW w:w="2056" w:type="dxa"/>
            <w:tcBorders>
              <w:top w:val="thinThickSmallGap" w:sz="24" w:space="0" w:color="auto"/>
            </w:tcBorders>
            <w:vAlign w:val="center"/>
          </w:tcPr>
          <w:p w14:paraId="0B730BDA"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27</w:t>
            </w:r>
          </w:p>
        </w:tc>
        <w:tc>
          <w:tcPr>
            <w:tcW w:w="1974" w:type="dxa"/>
            <w:tcBorders>
              <w:top w:val="thinThickSmallGap" w:sz="24" w:space="0" w:color="auto"/>
            </w:tcBorders>
            <w:vAlign w:val="center"/>
          </w:tcPr>
          <w:p w14:paraId="579A4E9C"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25</w:t>
            </w:r>
          </w:p>
        </w:tc>
        <w:tc>
          <w:tcPr>
            <w:tcW w:w="1694" w:type="dxa"/>
            <w:tcBorders>
              <w:top w:val="thinThickSmallGap" w:sz="24" w:space="0" w:color="auto"/>
            </w:tcBorders>
            <w:vAlign w:val="center"/>
          </w:tcPr>
          <w:p w14:paraId="55C69B26"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24</w:t>
            </w:r>
          </w:p>
        </w:tc>
        <w:tc>
          <w:tcPr>
            <w:tcW w:w="1531" w:type="dxa"/>
            <w:tcBorders>
              <w:top w:val="thinThickSmallGap" w:sz="24" w:space="0" w:color="auto"/>
            </w:tcBorders>
            <w:vAlign w:val="center"/>
          </w:tcPr>
          <w:p w14:paraId="3F3AF0E6"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76</w:t>
            </w:r>
          </w:p>
        </w:tc>
      </w:tr>
      <w:tr w:rsidR="008A6028" w:rsidRPr="008B1465" w14:paraId="1CAD1827" w14:textId="77777777" w:rsidTr="00F933ED">
        <w:trPr>
          <w:trHeight w:val="511"/>
        </w:trPr>
        <w:tc>
          <w:tcPr>
            <w:tcW w:w="590" w:type="dxa"/>
            <w:vAlign w:val="center"/>
          </w:tcPr>
          <w:p w14:paraId="3841E2F4"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2</w:t>
            </w:r>
          </w:p>
        </w:tc>
        <w:tc>
          <w:tcPr>
            <w:tcW w:w="1568" w:type="dxa"/>
            <w:vAlign w:val="center"/>
          </w:tcPr>
          <w:p w14:paraId="52AC750B"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FUNAAB</w:t>
            </w:r>
          </w:p>
        </w:tc>
        <w:tc>
          <w:tcPr>
            <w:tcW w:w="2056" w:type="dxa"/>
            <w:vAlign w:val="center"/>
          </w:tcPr>
          <w:p w14:paraId="3D130EFF"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22</w:t>
            </w:r>
          </w:p>
        </w:tc>
        <w:tc>
          <w:tcPr>
            <w:tcW w:w="1974" w:type="dxa"/>
            <w:vAlign w:val="center"/>
          </w:tcPr>
          <w:p w14:paraId="1F332AF9"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16</w:t>
            </w:r>
          </w:p>
        </w:tc>
        <w:tc>
          <w:tcPr>
            <w:tcW w:w="1694" w:type="dxa"/>
            <w:vAlign w:val="center"/>
          </w:tcPr>
          <w:p w14:paraId="0904603C"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11</w:t>
            </w:r>
          </w:p>
        </w:tc>
        <w:tc>
          <w:tcPr>
            <w:tcW w:w="1531" w:type="dxa"/>
            <w:vAlign w:val="center"/>
          </w:tcPr>
          <w:p w14:paraId="07ECA61B"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49</w:t>
            </w:r>
          </w:p>
        </w:tc>
      </w:tr>
      <w:tr w:rsidR="008A6028" w:rsidRPr="008B1465" w14:paraId="749CBD3E" w14:textId="77777777" w:rsidTr="00F933ED">
        <w:trPr>
          <w:trHeight w:val="511"/>
        </w:trPr>
        <w:tc>
          <w:tcPr>
            <w:tcW w:w="590" w:type="dxa"/>
            <w:vAlign w:val="center"/>
          </w:tcPr>
          <w:p w14:paraId="37844871"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3</w:t>
            </w:r>
          </w:p>
        </w:tc>
        <w:tc>
          <w:tcPr>
            <w:tcW w:w="1568" w:type="dxa"/>
            <w:vAlign w:val="center"/>
          </w:tcPr>
          <w:p w14:paraId="68DBDA56"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UI</w:t>
            </w:r>
          </w:p>
        </w:tc>
        <w:tc>
          <w:tcPr>
            <w:tcW w:w="2056" w:type="dxa"/>
            <w:vAlign w:val="center"/>
          </w:tcPr>
          <w:p w14:paraId="5553F36D"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30</w:t>
            </w:r>
          </w:p>
        </w:tc>
        <w:tc>
          <w:tcPr>
            <w:tcW w:w="1974" w:type="dxa"/>
            <w:vAlign w:val="center"/>
          </w:tcPr>
          <w:p w14:paraId="10AE82CE"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23</w:t>
            </w:r>
          </w:p>
        </w:tc>
        <w:tc>
          <w:tcPr>
            <w:tcW w:w="1694" w:type="dxa"/>
            <w:vAlign w:val="center"/>
          </w:tcPr>
          <w:p w14:paraId="11DCC306"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18</w:t>
            </w:r>
          </w:p>
        </w:tc>
        <w:tc>
          <w:tcPr>
            <w:tcW w:w="1531" w:type="dxa"/>
            <w:vAlign w:val="center"/>
          </w:tcPr>
          <w:p w14:paraId="5D327AC5"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71</w:t>
            </w:r>
          </w:p>
        </w:tc>
      </w:tr>
      <w:tr w:rsidR="008A6028" w:rsidRPr="008B1465" w14:paraId="75368CC9" w14:textId="77777777" w:rsidTr="00F933ED">
        <w:trPr>
          <w:trHeight w:val="511"/>
        </w:trPr>
        <w:tc>
          <w:tcPr>
            <w:tcW w:w="590" w:type="dxa"/>
            <w:vAlign w:val="center"/>
          </w:tcPr>
          <w:p w14:paraId="3C14E005"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4</w:t>
            </w:r>
          </w:p>
        </w:tc>
        <w:tc>
          <w:tcPr>
            <w:tcW w:w="1568" w:type="dxa"/>
            <w:vAlign w:val="center"/>
          </w:tcPr>
          <w:p w14:paraId="07E2FA42"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OAU</w:t>
            </w:r>
          </w:p>
        </w:tc>
        <w:tc>
          <w:tcPr>
            <w:tcW w:w="2056" w:type="dxa"/>
            <w:vAlign w:val="center"/>
          </w:tcPr>
          <w:p w14:paraId="29A772AC"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29</w:t>
            </w:r>
          </w:p>
        </w:tc>
        <w:tc>
          <w:tcPr>
            <w:tcW w:w="1974" w:type="dxa"/>
            <w:vAlign w:val="center"/>
          </w:tcPr>
          <w:p w14:paraId="17E6E8E8"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20</w:t>
            </w:r>
          </w:p>
        </w:tc>
        <w:tc>
          <w:tcPr>
            <w:tcW w:w="1694" w:type="dxa"/>
            <w:vAlign w:val="center"/>
          </w:tcPr>
          <w:p w14:paraId="1081DD82"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33</w:t>
            </w:r>
          </w:p>
        </w:tc>
        <w:tc>
          <w:tcPr>
            <w:tcW w:w="1531" w:type="dxa"/>
            <w:vAlign w:val="center"/>
          </w:tcPr>
          <w:p w14:paraId="611B73CE"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82</w:t>
            </w:r>
          </w:p>
        </w:tc>
      </w:tr>
      <w:tr w:rsidR="008A6028" w:rsidRPr="008B1465" w14:paraId="6C6C820B" w14:textId="77777777" w:rsidTr="00F933ED">
        <w:trPr>
          <w:trHeight w:val="511"/>
        </w:trPr>
        <w:tc>
          <w:tcPr>
            <w:tcW w:w="590" w:type="dxa"/>
            <w:vAlign w:val="center"/>
          </w:tcPr>
          <w:p w14:paraId="48C3EAE3"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5</w:t>
            </w:r>
          </w:p>
        </w:tc>
        <w:tc>
          <w:tcPr>
            <w:tcW w:w="1568" w:type="dxa"/>
            <w:vAlign w:val="center"/>
          </w:tcPr>
          <w:p w14:paraId="1F16E7A6"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FUTA</w:t>
            </w:r>
          </w:p>
        </w:tc>
        <w:tc>
          <w:tcPr>
            <w:tcW w:w="2056" w:type="dxa"/>
            <w:vAlign w:val="center"/>
          </w:tcPr>
          <w:p w14:paraId="4CC19555"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22</w:t>
            </w:r>
          </w:p>
        </w:tc>
        <w:tc>
          <w:tcPr>
            <w:tcW w:w="1974" w:type="dxa"/>
            <w:vAlign w:val="center"/>
          </w:tcPr>
          <w:p w14:paraId="398AC967"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26</w:t>
            </w:r>
          </w:p>
        </w:tc>
        <w:tc>
          <w:tcPr>
            <w:tcW w:w="1694" w:type="dxa"/>
            <w:vAlign w:val="center"/>
          </w:tcPr>
          <w:p w14:paraId="1C5D40FF"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20</w:t>
            </w:r>
          </w:p>
        </w:tc>
        <w:tc>
          <w:tcPr>
            <w:tcW w:w="1531" w:type="dxa"/>
            <w:vAlign w:val="center"/>
          </w:tcPr>
          <w:p w14:paraId="4093428A"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68</w:t>
            </w:r>
          </w:p>
        </w:tc>
      </w:tr>
      <w:tr w:rsidR="008A6028" w:rsidRPr="008B1465" w14:paraId="2BE89DAA" w14:textId="77777777" w:rsidTr="00F933ED">
        <w:trPr>
          <w:trHeight w:val="511"/>
        </w:trPr>
        <w:tc>
          <w:tcPr>
            <w:tcW w:w="590" w:type="dxa"/>
            <w:vAlign w:val="center"/>
          </w:tcPr>
          <w:p w14:paraId="19C5DF01"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6</w:t>
            </w:r>
          </w:p>
        </w:tc>
        <w:tc>
          <w:tcPr>
            <w:tcW w:w="1568" w:type="dxa"/>
            <w:vAlign w:val="center"/>
          </w:tcPr>
          <w:p w14:paraId="5708D858"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FUOYE</w:t>
            </w:r>
          </w:p>
        </w:tc>
        <w:tc>
          <w:tcPr>
            <w:tcW w:w="2056" w:type="dxa"/>
            <w:vAlign w:val="center"/>
          </w:tcPr>
          <w:p w14:paraId="09607D8A"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7</w:t>
            </w:r>
          </w:p>
        </w:tc>
        <w:tc>
          <w:tcPr>
            <w:tcW w:w="1974" w:type="dxa"/>
            <w:vAlign w:val="center"/>
          </w:tcPr>
          <w:p w14:paraId="55BCDB3E"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6</w:t>
            </w:r>
          </w:p>
        </w:tc>
        <w:tc>
          <w:tcPr>
            <w:tcW w:w="1694" w:type="dxa"/>
            <w:vAlign w:val="center"/>
          </w:tcPr>
          <w:p w14:paraId="4933B7A2"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5</w:t>
            </w:r>
          </w:p>
        </w:tc>
        <w:tc>
          <w:tcPr>
            <w:tcW w:w="1531" w:type="dxa"/>
            <w:vAlign w:val="center"/>
          </w:tcPr>
          <w:p w14:paraId="6018A115" w14:textId="77777777" w:rsidR="008A6028" w:rsidRPr="008B1465" w:rsidRDefault="008A6028" w:rsidP="00F933ED">
            <w:pPr>
              <w:jc w:val="center"/>
              <w:rPr>
                <w:rFonts w:ascii="Times New Roman" w:hAnsi="Times New Roman"/>
                <w:sz w:val="24"/>
                <w:szCs w:val="24"/>
              </w:rPr>
            </w:pPr>
            <w:r w:rsidRPr="008B1465">
              <w:rPr>
                <w:rFonts w:ascii="Times New Roman" w:hAnsi="Times New Roman"/>
                <w:sz w:val="24"/>
                <w:szCs w:val="24"/>
              </w:rPr>
              <w:t>18</w:t>
            </w:r>
          </w:p>
        </w:tc>
      </w:tr>
      <w:tr w:rsidR="008A6028" w:rsidRPr="008B1465" w14:paraId="3EEC33C5" w14:textId="77777777" w:rsidTr="00F933ED">
        <w:trPr>
          <w:trHeight w:val="511"/>
        </w:trPr>
        <w:tc>
          <w:tcPr>
            <w:tcW w:w="7882" w:type="dxa"/>
            <w:gridSpan w:val="5"/>
            <w:tcBorders>
              <w:bottom w:val="thinThickSmallGap" w:sz="24" w:space="0" w:color="auto"/>
            </w:tcBorders>
            <w:vAlign w:val="center"/>
          </w:tcPr>
          <w:p w14:paraId="15F53FFA" w14:textId="77777777" w:rsidR="008A6028" w:rsidRPr="008B1465" w:rsidRDefault="008A6028" w:rsidP="00F933ED">
            <w:pPr>
              <w:rPr>
                <w:rFonts w:ascii="Times New Roman" w:hAnsi="Times New Roman"/>
                <w:b/>
                <w:bCs/>
                <w:sz w:val="24"/>
                <w:szCs w:val="24"/>
              </w:rPr>
            </w:pPr>
            <w:r w:rsidRPr="008B1465">
              <w:rPr>
                <w:rFonts w:ascii="Times New Roman" w:hAnsi="Times New Roman"/>
                <w:b/>
                <w:bCs/>
                <w:sz w:val="24"/>
                <w:szCs w:val="24"/>
              </w:rPr>
              <w:t xml:space="preserve">Total number </w:t>
            </w:r>
            <w:r>
              <w:rPr>
                <w:rFonts w:ascii="Times New Roman" w:hAnsi="Times New Roman"/>
                <w:b/>
                <w:bCs/>
                <w:sz w:val="24"/>
                <w:szCs w:val="24"/>
              </w:rPr>
              <w:t xml:space="preserve">of </w:t>
            </w:r>
            <w:r w:rsidRPr="008B1465">
              <w:rPr>
                <w:rFonts w:ascii="Times New Roman" w:hAnsi="Times New Roman"/>
                <w:b/>
                <w:bCs/>
                <w:sz w:val="24"/>
                <w:szCs w:val="24"/>
              </w:rPr>
              <w:t>the respondents</w:t>
            </w:r>
          </w:p>
        </w:tc>
        <w:tc>
          <w:tcPr>
            <w:tcW w:w="1531" w:type="dxa"/>
            <w:tcBorders>
              <w:bottom w:val="thinThickSmallGap" w:sz="24" w:space="0" w:color="auto"/>
            </w:tcBorders>
            <w:vAlign w:val="center"/>
          </w:tcPr>
          <w:p w14:paraId="7CA41CA7" w14:textId="77777777" w:rsidR="008A6028" w:rsidRPr="008B1465" w:rsidRDefault="008A6028" w:rsidP="00F933ED">
            <w:pPr>
              <w:jc w:val="center"/>
              <w:rPr>
                <w:rFonts w:ascii="Times New Roman" w:hAnsi="Times New Roman"/>
                <w:b/>
                <w:bCs/>
                <w:sz w:val="24"/>
                <w:szCs w:val="24"/>
              </w:rPr>
            </w:pPr>
            <w:r w:rsidRPr="008B1465">
              <w:rPr>
                <w:rFonts w:ascii="Times New Roman" w:hAnsi="Times New Roman"/>
                <w:b/>
                <w:bCs/>
                <w:sz w:val="24"/>
                <w:szCs w:val="24"/>
              </w:rPr>
              <w:t>364</w:t>
            </w:r>
          </w:p>
        </w:tc>
      </w:tr>
    </w:tbl>
    <w:p w14:paraId="3A01B3E4" w14:textId="697374C8" w:rsidR="008A6028" w:rsidRPr="008A6028" w:rsidRDefault="008A6028" w:rsidP="008A6028">
      <w:pPr>
        <w:pStyle w:val="NoSpacing"/>
        <w:spacing w:line="360" w:lineRule="auto"/>
        <w:rPr>
          <w:rFonts w:asciiTheme="minorHAnsi" w:hAnsiTheme="minorHAnsi" w:cstheme="minorHAnsi"/>
          <w:b/>
          <w:bCs/>
          <w:sz w:val="18"/>
          <w:szCs w:val="18"/>
        </w:rPr>
      </w:pPr>
      <w:r w:rsidRPr="008B1465">
        <w:rPr>
          <w:rFonts w:ascii="Times New Roman" w:hAnsi="Times New Roman"/>
          <w:b/>
          <w:sz w:val="18"/>
          <w:szCs w:val="18"/>
        </w:rPr>
        <w:t xml:space="preserve">Source: Researcher’s field survey, 2023, SPSS 25.0 </w:t>
      </w:r>
      <w:r w:rsidRPr="008B1465">
        <w:rPr>
          <w:rFonts w:asciiTheme="minorHAnsi" w:hAnsiTheme="minorHAnsi" w:cstheme="minorHAnsi"/>
          <w:b/>
          <w:bCs/>
          <w:sz w:val="18"/>
          <w:szCs w:val="18"/>
        </w:rPr>
        <w:t>Version</w:t>
      </w:r>
    </w:p>
    <w:p w14:paraId="0A293636" w14:textId="43AF4743" w:rsidR="001616E5" w:rsidRDefault="004D75D0"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T</w:t>
      </w:r>
      <w:r w:rsidR="003F05E3" w:rsidRPr="008B1465">
        <w:rPr>
          <w:rFonts w:ascii="Times New Roman" w:eastAsia="Calibri" w:hAnsi="Times New Roman"/>
          <w:bCs/>
          <w:sz w:val="24"/>
          <w:szCs w:val="24"/>
        </w:rPr>
        <w:t xml:space="preserve">he </w:t>
      </w:r>
      <w:r w:rsidR="003D6C01">
        <w:rPr>
          <w:rFonts w:ascii="Times New Roman" w:eastAsia="Calibri" w:hAnsi="Times New Roman"/>
          <w:bCs/>
          <w:sz w:val="24"/>
          <w:szCs w:val="24"/>
        </w:rPr>
        <w:t>six</w:t>
      </w:r>
      <w:r w:rsidR="003F05E3" w:rsidRPr="008B1465">
        <w:rPr>
          <w:rFonts w:ascii="Times New Roman" w:eastAsia="Calibri" w:hAnsi="Times New Roman"/>
          <w:bCs/>
          <w:sz w:val="24"/>
          <w:szCs w:val="24"/>
        </w:rPr>
        <w:t xml:space="preserve"> </w:t>
      </w:r>
      <w:r w:rsidRPr="008B1465">
        <w:rPr>
          <w:rFonts w:ascii="Times New Roman" w:eastAsia="Calibri" w:hAnsi="Times New Roman"/>
          <w:bCs/>
          <w:sz w:val="24"/>
          <w:szCs w:val="24"/>
        </w:rPr>
        <w:t>F</w:t>
      </w:r>
      <w:r w:rsidR="003F05E3" w:rsidRPr="008B1465">
        <w:rPr>
          <w:rFonts w:ascii="Times New Roman" w:eastAsia="Calibri" w:hAnsi="Times New Roman"/>
          <w:bCs/>
          <w:sz w:val="24"/>
          <w:szCs w:val="24"/>
        </w:rPr>
        <w:t xml:space="preserve">ederal </w:t>
      </w:r>
      <w:r w:rsidRPr="008B1465">
        <w:rPr>
          <w:rFonts w:ascii="Times New Roman" w:eastAsia="Calibri" w:hAnsi="Times New Roman"/>
          <w:bCs/>
          <w:sz w:val="24"/>
          <w:szCs w:val="24"/>
        </w:rPr>
        <w:t>U</w:t>
      </w:r>
      <w:r w:rsidR="003F05E3" w:rsidRPr="008B1465">
        <w:rPr>
          <w:rFonts w:ascii="Times New Roman" w:eastAsia="Calibri" w:hAnsi="Times New Roman"/>
          <w:bCs/>
          <w:sz w:val="24"/>
          <w:szCs w:val="24"/>
        </w:rPr>
        <w:t>niversitie</w:t>
      </w:r>
      <w:r w:rsidR="00FF13E6" w:rsidRPr="008B1465">
        <w:rPr>
          <w:rFonts w:ascii="Times New Roman" w:eastAsia="Calibri" w:hAnsi="Times New Roman"/>
          <w:bCs/>
          <w:sz w:val="24"/>
          <w:szCs w:val="24"/>
        </w:rPr>
        <w:t>s in Southwest, Nigeria w</w:t>
      </w:r>
      <w:r w:rsidRPr="008B1465">
        <w:rPr>
          <w:rFonts w:ascii="Times New Roman" w:eastAsia="Calibri" w:hAnsi="Times New Roman"/>
          <w:bCs/>
          <w:sz w:val="24"/>
          <w:szCs w:val="24"/>
        </w:rPr>
        <w:t xml:space="preserve">ere </w:t>
      </w:r>
      <w:r w:rsidR="00FE0DF7" w:rsidRPr="008B1465">
        <w:rPr>
          <w:rFonts w:ascii="Times New Roman" w:eastAsia="Calibri" w:hAnsi="Times New Roman"/>
          <w:bCs/>
          <w:sz w:val="24"/>
          <w:szCs w:val="24"/>
        </w:rPr>
        <w:t xml:space="preserve">included </w:t>
      </w:r>
      <w:r w:rsidR="003F05E3" w:rsidRPr="008B1465">
        <w:rPr>
          <w:rFonts w:ascii="Times New Roman" w:eastAsia="Calibri" w:hAnsi="Times New Roman"/>
          <w:bCs/>
          <w:sz w:val="24"/>
          <w:szCs w:val="24"/>
        </w:rPr>
        <w:t>to obtain detail</w:t>
      </w:r>
      <w:r w:rsidR="00DC6FE5" w:rsidRPr="008B1465">
        <w:rPr>
          <w:rFonts w:ascii="Times New Roman" w:eastAsia="Calibri" w:hAnsi="Times New Roman"/>
          <w:bCs/>
          <w:sz w:val="24"/>
          <w:szCs w:val="24"/>
        </w:rPr>
        <w:t>ed</w:t>
      </w:r>
      <w:r w:rsidR="003F05E3" w:rsidRPr="008B1465">
        <w:rPr>
          <w:rFonts w:ascii="Times New Roman" w:eastAsia="Calibri" w:hAnsi="Times New Roman"/>
          <w:bCs/>
          <w:sz w:val="24"/>
          <w:szCs w:val="24"/>
        </w:rPr>
        <w:t xml:space="preserve"> and adequate information on the subject matter i.e. forensic accounting techniques and financial misconduct. </w:t>
      </w:r>
      <w:r w:rsidR="009260EB" w:rsidRPr="008B1465">
        <w:rPr>
          <w:rFonts w:ascii="Times New Roman" w:eastAsia="Calibri" w:hAnsi="Times New Roman"/>
          <w:bCs/>
          <w:sz w:val="24"/>
          <w:szCs w:val="24"/>
        </w:rPr>
        <w:t>T</w:t>
      </w:r>
      <w:r w:rsidR="003F05E3" w:rsidRPr="008B1465">
        <w:rPr>
          <w:rFonts w:ascii="Times New Roman" w:eastAsia="Calibri" w:hAnsi="Times New Roman"/>
          <w:bCs/>
          <w:sz w:val="24"/>
          <w:szCs w:val="24"/>
        </w:rPr>
        <w:t>he subject of investigation w</w:t>
      </w:r>
      <w:r w:rsidR="009260EB" w:rsidRPr="008B1465">
        <w:rPr>
          <w:rFonts w:ascii="Times New Roman" w:eastAsia="Calibri" w:hAnsi="Times New Roman"/>
          <w:bCs/>
          <w:sz w:val="24"/>
          <w:szCs w:val="24"/>
        </w:rPr>
        <w:t>as</w:t>
      </w:r>
      <w:r w:rsidR="003F05E3" w:rsidRPr="008B1465">
        <w:rPr>
          <w:rFonts w:ascii="Times New Roman" w:eastAsia="Calibri" w:hAnsi="Times New Roman"/>
          <w:bCs/>
          <w:sz w:val="24"/>
          <w:szCs w:val="24"/>
        </w:rPr>
        <w:t xml:space="preserve"> of interest to public universities in Nigeria, and the requirement that the respondents should be willing and able to provide necessary information that </w:t>
      </w:r>
      <w:r w:rsidR="003F05E3" w:rsidRPr="008B1465">
        <w:rPr>
          <w:rFonts w:ascii="Times New Roman" w:eastAsia="Calibri" w:hAnsi="Times New Roman"/>
          <w:bCs/>
          <w:color w:val="000000" w:themeColor="text1"/>
          <w:sz w:val="24"/>
          <w:szCs w:val="24"/>
        </w:rPr>
        <w:t>will</w:t>
      </w:r>
      <w:r w:rsidR="003F05E3" w:rsidRPr="008B1465">
        <w:rPr>
          <w:rFonts w:ascii="Times New Roman" w:eastAsia="Calibri" w:hAnsi="Times New Roman"/>
          <w:bCs/>
          <w:sz w:val="24"/>
          <w:szCs w:val="24"/>
        </w:rPr>
        <w:t xml:space="preserve"> be sufficient to arrive at the solutions to identified problems of financial misconduct among the federal universities in Nigeria, th</w:t>
      </w:r>
      <w:r w:rsidR="00217AA1" w:rsidRPr="008B1465">
        <w:rPr>
          <w:rFonts w:ascii="Times New Roman" w:eastAsia="Calibri" w:hAnsi="Times New Roman"/>
          <w:bCs/>
          <w:sz w:val="24"/>
          <w:szCs w:val="24"/>
        </w:rPr>
        <w:t xml:space="preserve">e </w:t>
      </w:r>
      <w:r w:rsidR="003F05E3" w:rsidRPr="008B1465">
        <w:rPr>
          <w:rFonts w:ascii="Times New Roman" w:eastAsia="Calibri" w:hAnsi="Times New Roman"/>
          <w:bCs/>
          <w:sz w:val="24"/>
          <w:szCs w:val="24"/>
        </w:rPr>
        <w:t xml:space="preserve">staff </w:t>
      </w:r>
      <w:r w:rsidR="00217AA1" w:rsidRPr="008B1465">
        <w:rPr>
          <w:rFonts w:ascii="Times New Roman" w:eastAsia="Calibri" w:hAnsi="Times New Roman"/>
          <w:bCs/>
          <w:sz w:val="24"/>
          <w:szCs w:val="24"/>
        </w:rPr>
        <w:t xml:space="preserve">members </w:t>
      </w:r>
      <w:r w:rsidR="003F05E3" w:rsidRPr="008B1465">
        <w:rPr>
          <w:rFonts w:ascii="Times New Roman" w:eastAsia="Calibri" w:hAnsi="Times New Roman"/>
          <w:bCs/>
          <w:sz w:val="24"/>
          <w:szCs w:val="24"/>
        </w:rPr>
        <w:t xml:space="preserve">in the Bursary, Internal </w:t>
      </w:r>
      <w:r w:rsidR="00B30461">
        <w:rPr>
          <w:rFonts w:ascii="Times New Roman" w:eastAsia="Calibri" w:hAnsi="Times New Roman"/>
          <w:bCs/>
          <w:sz w:val="24"/>
          <w:szCs w:val="24"/>
        </w:rPr>
        <w:t>A</w:t>
      </w:r>
      <w:r w:rsidR="003F05E3" w:rsidRPr="008B1465">
        <w:rPr>
          <w:rFonts w:ascii="Times New Roman" w:eastAsia="Calibri" w:hAnsi="Times New Roman"/>
          <w:bCs/>
          <w:sz w:val="24"/>
          <w:szCs w:val="24"/>
        </w:rPr>
        <w:t xml:space="preserve">udit, and Procurement </w:t>
      </w:r>
      <w:r w:rsidR="004216FF">
        <w:rPr>
          <w:rFonts w:ascii="Times New Roman" w:eastAsia="Calibri" w:hAnsi="Times New Roman"/>
          <w:bCs/>
          <w:sz w:val="24"/>
          <w:szCs w:val="24"/>
        </w:rPr>
        <w:t>departments</w:t>
      </w:r>
      <w:r w:rsidR="003F05E3" w:rsidRPr="008B1465">
        <w:rPr>
          <w:rFonts w:ascii="Times New Roman" w:eastAsia="Calibri" w:hAnsi="Times New Roman"/>
          <w:bCs/>
          <w:sz w:val="24"/>
          <w:szCs w:val="24"/>
        </w:rPr>
        <w:t xml:space="preserve"> not b</w:t>
      </w:r>
      <w:r w:rsidR="00462AFF" w:rsidRPr="008B1465">
        <w:rPr>
          <w:rFonts w:ascii="Times New Roman" w:eastAsia="Calibri" w:hAnsi="Times New Roman"/>
          <w:bCs/>
          <w:sz w:val="24"/>
          <w:szCs w:val="24"/>
        </w:rPr>
        <w:t xml:space="preserve">elow </w:t>
      </w:r>
      <w:r w:rsidR="006C4030">
        <w:rPr>
          <w:rFonts w:ascii="Times New Roman" w:eastAsia="Calibri" w:hAnsi="Times New Roman"/>
          <w:bCs/>
          <w:sz w:val="24"/>
          <w:szCs w:val="24"/>
        </w:rPr>
        <w:t>l</w:t>
      </w:r>
      <w:r w:rsidR="003F05E3" w:rsidRPr="008B1465">
        <w:rPr>
          <w:rFonts w:ascii="Times New Roman" w:eastAsia="Calibri" w:hAnsi="Times New Roman"/>
          <w:bCs/>
          <w:sz w:val="24"/>
          <w:szCs w:val="24"/>
        </w:rPr>
        <w:t xml:space="preserve">evel </w:t>
      </w:r>
      <w:r w:rsidR="00151765" w:rsidRPr="008B1465">
        <w:rPr>
          <w:rFonts w:ascii="Times New Roman" w:eastAsia="Calibri" w:hAnsi="Times New Roman"/>
          <w:bCs/>
          <w:sz w:val="24"/>
          <w:szCs w:val="24"/>
        </w:rPr>
        <w:t>seven (</w:t>
      </w:r>
      <w:r w:rsidR="003F05E3" w:rsidRPr="008B1465">
        <w:rPr>
          <w:rFonts w:ascii="Times New Roman" w:eastAsia="Calibri" w:hAnsi="Times New Roman"/>
          <w:bCs/>
          <w:sz w:val="24"/>
          <w:szCs w:val="24"/>
        </w:rPr>
        <w:t>7</w:t>
      </w:r>
      <w:r w:rsidR="00151765" w:rsidRPr="008B1465">
        <w:rPr>
          <w:rFonts w:ascii="Times New Roman" w:eastAsia="Calibri" w:hAnsi="Times New Roman"/>
          <w:bCs/>
          <w:sz w:val="24"/>
          <w:szCs w:val="24"/>
        </w:rPr>
        <w:t>)</w:t>
      </w:r>
      <w:r w:rsidR="003F05E3" w:rsidRPr="008B1465">
        <w:rPr>
          <w:rFonts w:ascii="Times New Roman" w:eastAsia="Calibri" w:hAnsi="Times New Roman"/>
          <w:bCs/>
          <w:sz w:val="24"/>
          <w:szCs w:val="24"/>
        </w:rPr>
        <w:t xml:space="preserve"> in the targeted universities constitute</w:t>
      </w:r>
      <w:r w:rsidR="00B30461">
        <w:rPr>
          <w:rFonts w:ascii="Times New Roman" w:eastAsia="Calibri" w:hAnsi="Times New Roman"/>
          <w:bCs/>
          <w:sz w:val="24"/>
          <w:szCs w:val="24"/>
        </w:rPr>
        <w:t>d</w:t>
      </w:r>
      <w:r w:rsidR="003F05E3" w:rsidRPr="008B1465">
        <w:rPr>
          <w:rFonts w:ascii="Times New Roman" w:eastAsia="Calibri" w:hAnsi="Times New Roman"/>
          <w:bCs/>
          <w:sz w:val="24"/>
          <w:szCs w:val="24"/>
        </w:rPr>
        <w:t xml:space="preserve"> the sample for this study. Given the expected </w:t>
      </w:r>
      <w:r w:rsidR="000D3CD9" w:rsidRPr="008B1465">
        <w:rPr>
          <w:rFonts w:ascii="Times New Roman" w:eastAsia="Calibri" w:hAnsi="Times New Roman"/>
          <w:bCs/>
          <w:sz w:val="24"/>
          <w:szCs w:val="24"/>
        </w:rPr>
        <w:t>few numbers</w:t>
      </w:r>
      <w:r w:rsidR="003F05E3" w:rsidRPr="008B1465">
        <w:rPr>
          <w:rFonts w:ascii="Times New Roman" w:eastAsia="Calibri" w:hAnsi="Times New Roman"/>
          <w:bCs/>
          <w:sz w:val="24"/>
          <w:szCs w:val="24"/>
        </w:rPr>
        <w:t xml:space="preserve"> of the staff in this category in each university, </w:t>
      </w:r>
      <w:r w:rsidR="003F05E3" w:rsidRPr="00D858DF">
        <w:rPr>
          <w:rFonts w:ascii="Times New Roman" w:eastAsia="Calibri" w:hAnsi="Times New Roman"/>
          <w:bCs/>
          <w:color w:val="000000" w:themeColor="text1"/>
          <w:sz w:val="24"/>
          <w:szCs w:val="24"/>
        </w:rPr>
        <w:t xml:space="preserve">a census </w:t>
      </w:r>
      <w:r w:rsidR="007C79BC" w:rsidRPr="008B1465">
        <w:rPr>
          <w:rFonts w:ascii="Times New Roman" w:eastAsia="Calibri" w:hAnsi="Times New Roman"/>
          <w:bCs/>
          <w:sz w:val="24"/>
          <w:szCs w:val="24"/>
        </w:rPr>
        <w:t>was</w:t>
      </w:r>
      <w:r w:rsidR="003F05E3" w:rsidRPr="008B1465">
        <w:rPr>
          <w:rFonts w:ascii="Times New Roman" w:eastAsia="Calibri" w:hAnsi="Times New Roman"/>
          <w:bCs/>
          <w:sz w:val="24"/>
          <w:szCs w:val="24"/>
        </w:rPr>
        <w:t xml:space="preserve"> adopted for the study. This means that all the members of staff</w:t>
      </w:r>
      <w:r w:rsidR="000D3CD9" w:rsidRPr="008B1465">
        <w:rPr>
          <w:rFonts w:ascii="Times New Roman" w:eastAsia="Calibri" w:hAnsi="Times New Roman"/>
          <w:bCs/>
          <w:sz w:val="24"/>
          <w:szCs w:val="24"/>
        </w:rPr>
        <w:t xml:space="preserve"> not below L</w:t>
      </w:r>
      <w:r w:rsidR="003F05E3" w:rsidRPr="008B1465">
        <w:rPr>
          <w:rFonts w:ascii="Times New Roman" w:eastAsia="Calibri" w:hAnsi="Times New Roman"/>
          <w:bCs/>
          <w:sz w:val="24"/>
          <w:szCs w:val="24"/>
        </w:rPr>
        <w:t>evel</w:t>
      </w:r>
      <w:r w:rsidR="00DC1E12" w:rsidRPr="008B1465">
        <w:rPr>
          <w:rFonts w:ascii="Times New Roman" w:eastAsia="Calibri" w:hAnsi="Times New Roman"/>
          <w:bCs/>
          <w:sz w:val="24"/>
          <w:szCs w:val="24"/>
        </w:rPr>
        <w:t xml:space="preserve"> seven</w:t>
      </w:r>
      <w:r w:rsidR="003F05E3" w:rsidRPr="008B1465">
        <w:rPr>
          <w:rFonts w:ascii="Times New Roman" w:eastAsia="Calibri" w:hAnsi="Times New Roman"/>
          <w:bCs/>
          <w:sz w:val="24"/>
          <w:szCs w:val="24"/>
        </w:rPr>
        <w:t xml:space="preserve"> </w:t>
      </w:r>
      <w:r w:rsidR="00DC1E12" w:rsidRPr="008B1465">
        <w:rPr>
          <w:rFonts w:ascii="Times New Roman" w:eastAsia="Calibri" w:hAnsi="Times New Roman"/>
          <w:bCs/>
          <w:sz w:val="24"/>
          <w:szCs w:val="24"/>
        </w:rPr>
        <w:t>(</w:t>
      </w:r>
      <w:r w:rsidR="003F05E3" w:rsidRPr="008B1465">
        <w:rPr>
          <w:rFonts w:ascii="Times New Roman" w:eastAsia="Calibri" w:hAnsi="Times New Roman"/>
          <w:bCs/>
          <w:sz w:val="24"/>
          <w:szCs w:val="24"/>
        </w:rPr>
        <w:t>7</w:t>
      </w:r>
      <w:r w:rsidR="00DC1E12" w:rsidRPr="008B1465">
        <w:rPr>
          <w:rFonts w:ascii="Times New Roman" w:eastAsia="Calibri" w:hAnsi="Times New Roman"/>
          <w:bCs/>
          <w:sz w:val="24"/>
          <w:szCs w:val="24"/>
        </w:rPr>
        <w:t>)</w:t>
      </w:r>
      <w:r w:rsidR="003F05E3" w:rsidRPr="008B1465">
        <w:rPr>
          <w:rFonts w:ascii="Times New Roman" w:eastAsia="Calibri" w:hAnsi="Times New Roman"/>
          <w:bCs/>
          <w:sz w:val="24"/>
          <w:szCs w:val="24"/>
        </w:rPr>
        <w:t xml:space="preserve"> in each of the three departments </w:t>
      </w:r>
      <w:r w:rsidR="00BC59C3" w:rsidRPr="008B1465">
        <w:rPr>
          <w:rFonts w:ascii="Times New Roman" w:eastAsia="Calibri" w:hAnsi="Times New Roman"/>
          <w:bCs/>
          <w:sz w:val="24"/>
          <w:szCs w:val="24"/>
        </w:rPr>
        <w:t xml:space="preserve">participated and </w:t>
      </w:r>
      <w:r w:rsidR="007C79BC" w:rsidRPr="008B1465">
        <w:rPr>
          <w:rFonts w:ascii="Times New Roman" w:eastAsia="Calibri" w:hAnsi="Times New Roman"/>
          <w:bCs/>
          <w:sz w:val="24"/>
          <w:szCs w:val="24"/>
        </w:rPr>
        <w:t>were</w:t>
      </w:r>
      <w:r w:rsidR="003F05E3" w:rsidRPr="008B1465">
        <w:rPr>
          <w:rFonts w:ascii="Times New Roman" w:eastAsia="Calibri" w:hAnsi="Times New Roman"/>
          <w:bCs/>
          <w:sz w:val="24"/>
          <w:szCs w:val="24"/>
        </w:rPr>
        <w:t xml:space="preserve"> sampled, for the purpose of gathering relevant data for the study. </w:t>
      </w:r>
      <w:r w:rsidR="00E364EE">
        <w:rPr>
          <w:rFonts w:ascii="Times New Roman" w:eastAsia="Calibri" w:hAnsi="Times New Roman"/>
          <w:bCs/>
          <w:sz w:val="24"/>
          <w:szCs w:val="24"/>
        </w:rPr>
        <w:t>The sample size for the study is shown in Table 3.1.</w:t>
      </w:r>
    </w:p>
    <w:p w14:paraId="364DB6AC" w14:textId="77777777" w:rsidR="006C0112" w:rsidRPr="008B1465" w:rsidRDefault="006C0112" w:rsidP="007541CB">
      <w:pPr>
        <w:spacing w:after="0" w:line="360" w:lineRule="auto"/>
        <w:jc w:val="both"/>
        <w:rPr>
          <w:rFonts w:ascii="Times New Roman" w:eastAsia="Calibri" w:hAnsi="Times New Roman"/>
          <w:bCs/>
          <w:sz w:val="24"/>
          <w:szCs w:val="24"/>
        </w:rPr>
      </w:pPr>
    </w:p>
    <w:p w14:paraId="4459A29B" w14:textId="77777777" w:rsidR="00B05597" w:rsidRPr="008B1465" w:rsidRDefault="00B05597" w:rsidP="00B05597">
      <w:pPr>
        <w:pStyle w:val="Heading2"/>
        <w:spacing w:line="360" w:lineRule="auto"/>
        <w:rPr>
          <w:rFonts w:cs="Times New Roman"/>
          <w:sz w:val="24"/>
          <w:szCs w:val="24"/>
        </w:rPr>
      </w:pPr>
      <w:bookmarkStart w:id="88" w:name="_Toc145951111"/>
      <w:bookmarkStart w:id="89" w:name="_Hlk121217386"/>
      <w:r w:rsidRPr="008B1465">
        <w:rPr>
          <w:rFonts w:cs="Times New Roman"/>
          <w:i/>
          <w:iCs/>
          <w:sz w:val="24"/>
          <w:szCs w:val="24"/>
        </w:rPr>
        <w:t>Apriori</w:t>
      </w:r>
      <w:r w:rsidRPr="008B1465">
        <w:rPr>
          <w:rFonts w:cs="Times New Roman"/>
          <w:sz w:val="24"/>
          <w:szCs w:val="24"/>
        </w:rPr>
        <w:t xml:space="preserve"> Expectation</w:t>
      </w:r>
      <w:bookmarkEnd w:id="88"/>
    </w:p>
    <w:p w14:paraId="3DBFDFFD" w14:textId="77777777" w:rsidR="00B05597" w:rsidRPr="00B142F3" w:rsidRDefault="00B05597" w:rsidP="00B05597">
      <w:pPr>
        <w:pStyle w:val="Caption"/>
        <w:keepNext/>
        <w:jc w:val="center"/>
        <w:rPr>
          <w:rFonts w:ascii="Times New Roman" w:hAnsi="Times New Roman"/>
          <w:i w:val="0"/>
          <w:iCs w:val="0"/>
          <w:color w:val="auto"/>
          <w:sz w:val="24"/>
          <w:szCs w:val="24"/>
        </w:rPr>
      </w:pPr>
      <w:bookmarkStart w:id="90" w:name="_Toc145952332"/>
      <w:bookmarkEnd w:id="89"/>
      <w:r w:rsidRPr="00B142F3">
        <w:rPr>
          <w:rFonts w:ascii="Times New Roman" w:hAnsi="Times New Roman"/>
          <w:i w:val="0"/>
          <w:iCs w:val="0"/>
          <w:color w:val="auto"/>
          <w:sz w:val="24"/>
          <w:szCs w:val="24"/>
        </w:rPr>
        <w:t xml:space="preserve">Table </w:t>
      </w:r>
      <w:r>
        <w:rPr>
          <w:rFonts w:ascii="Times New Roman" w:hAnsi="Times New Roman"/>
          <w:i w:val="0"/>
          <w:iCs w:val="0"/>
          <w:color w:val="auto"/>
          <w:sz w:val="24"/>
          <w:szCs w:val="24"/>
        </w:rPr>
        <w:fldChar w:fldCharType="begin"/>
      </w:r>
      <w:r>
        <w:rPr>
          <w:rFonts w:ascii="Times New Roman" w:hAnsi="Times New Roman"/>
          <w:i w:val="0"/>
          <w:iCs w:val="0"/>
          <w:color w:val="auto"/>
          <w:sz w:val="24"/>
          <w:szCs w:val="24"/>
        </w:rPr>
        <w:instrText xml:space="preserve"> STYLEREF 1 \s </w:instrText>
      </w:r>
      <w:r>
        <w:rPr>
          <w:rFonts w:ascii="Times New Roman" w:hAnsi="Times New Roman"/>
          <w:i w:val="0"/>
          <w:iCs w:val="0"/>
          <w:color w:val="auto"/>
          <w:sz w:val="24"/>
          <w:szCs w:val="24"/>
        </w:rPr>
        <w:fldChar w:fldCharType="separate"/>
      </w:r>
      <w:r>
        <w:rPr>
          <w:rFonts w:ascii="Times New Roman" w:hAnsi="Times New Roman"/>
          <w:i w:val="0"/>
          <w:iCs w:val="0"/>
          <w:noProof/>
          <w:color w:val="auto"/>
          <w:sz w:val="24"/>
          <w:szCs w:val="24"/>
        </w:rPr>
        <w:t>3</w:t>
      </w:r>
      <w:r>
        <w:rPr>
          <w:rFonts w:ascii="Times New Roman" w:hAnsi="Times New Roman"/>
          <w:i w:val="0"/>
          <w:iCs w:val="0"/>
          <w:color w:val="auto"/>
          <w:sz w:val="24"/>
          <w:szCs w:val="24"/>
        </w:rPr>
        <w:fldChar w:fldCharType="end"/>
      </w:r>
      <w:r>
        <w:rPr>
          <w:rFonts w:ascii="Times New Roman" w:hAnsi="Times New Roman"/>
          <w:i w:val="0"/>
          <w:iCs w:val="0"/>
          <w:color w:val="auto"/>
          <w:sz w:val="24"/>
          <w:szCs w:val="24"/>
        </w:rPr>
        <w:t>.</w:t>
      </w:r>
      <w:r>
        <w:rPr>
          <w:rFonts w:ascii="Times New Roman" w:hAnsi="Times New Roman"/>
          <w:i w:val="0"/>
          <w:iCs w:val="0"/>
          <w:color w:val="auto"/>
          <w:sz w:val="24"/>
          <w:szCs w:val="24"/>
        </w:rPr>
        <w:fldChar w:fldCharType="begin"/>
      </w:r>
      <w:r>
        <w:rPr>
          <w:rFonts w:ascii="Times New Roman" w:hAnsi="Times New Roman"/>
          <w:i w:val="0"/>
          <w:iCs w:val="0"/>
          <w:color w:val="auto"/>
          <w:sz w:val="24"/>
          <w:szCs w:val="24"/>
        </w:rPr>
        <w:instrText xml:space="preserve"> SEQ Table \* ARABIC \s 1 </w:instrText>
      </w:r>
      <w:r>
        <w:rPr>
          <w:rFonts w:ascii="Times New Roman" w:hAnsi="Times New Roman"/>
          <w:i w:val="0"/>
          <w:iCs w:val="0"/>
          <w:color w:val="auto"/>
          <w:sz w:val="24"/>
          <w:szCs w:val="24"/>
        </w:rPr>
        <w:fldChar w:fldCharType="separate"/>
      </w:r>
      <w:r>
        <w:rPr>
          <w:rFonts w:ascii="Times New Roman" w:hAnsi="Times New Roman"/>
          <w:i w:val="0"/>
          <w:iCs w:val="0"/>
          <w:noProof/>
          <w:color w:val="auto"/>
          <w:sz w:val="24"/>
          <w:szCs w:val="24"/>
        </w:rPr>
        <w:t>3</w:t>
      </w:r>
      <w:r>
        <w:rPr>
          <w:rFonts w:ascii="Times New Roman" w:hAnsi="Times New Roman"/>
          <w:i w:val="0"/>
          <w:iCs w:val="0"/>
          <w:color w:val="auto"/>
          <w:sz w:val="24"/>
          <w:szCs w:val="24"/>
        </w:rPr>
        <w:fldChar w:fldCharType="end"/>
      </w:r>
      <w:r w:rsidRPr="00B142F3">
        <w:rPr>
          <w:rFonts w:ascii="Times New Roman" w:hAnsi="Times New Roman"/>
          <w:i w:val="0"/>
          <w:iCs w:val="0"/>
          <w:color w:val="auto"/>
          <w:sz w:val="24"/>
          <w:szCs w:val="24"/>
        </w:rPr>
        <w:t xml:space="preserve">: </w:t>
      </w:r>
      <w:r w:rsidRPr="00B142F3">
        <w:rPr>
          <w:rFonts w:ascii="Times New Roman" w:eastAsia="DengXian" w:hAnsi="Times New Roman"/>
          <w:bCs/>
          <w:i w:val="0"/>
          <w:iCs w:val="0"/>
          <w:color w:val="auto"/>
          <w:sz w:val="24"/>
          <w:szCs w:val="24"/>
        </w:rPr>
        <w:t>A-priori expectation</w:t>
      </w:r>
      <w:bookmarkEnd w:id="90"/>
    </w:p>
    <w:tbl>
      <w:tblPr>
        <w:tblW w:w="6000" w:type="dxa"/>
        <w:jc w:val="center"/>
        <w:tblLayout w:type="fixed"/>
        <w:tblLook w:val="04A0" w:firstRow="1" w:lastRow="0" w:firstColumn="1" w:lastColumn="0" w:noHBand="0" w:noVBand="1"/>
      </w:tblPr>
      <w:tblGrid>
        <w:gridCol w:w="3971"/>
        <w:gridCol w:w="2029"/>
      </w:tblGrid>
      <w:tr w:rsidR="00B05597" w:rsidRPr="008B1465" w14:paraId="1EF55C06" w14:textId="77777777" w:rsidTr="00F036CB">
        <w:trPr>
          <w:trHeight w:val="287"/>
          <w:jc w:val="center"/>
        </w:trPr>
        <w:tc>
          <w:tcPr>
            <w:tcW w:w="3971" w:type="dxa"/>
            <w:tcBorders>
              <w:top w:val="thinThickSmallGap" w:sz="24" w:space="0" w:color="auto"/>
              <w:bottom w:val="thinThickSmallGap" w:sz="24" w:space="0" w:color="auto"/>
            </w:tcBorders>
          </w:tcPr>
          <w:p w14:paraId="0500B1EC" w14:textId="77777777" w:rsidR="00B05597" w:rsidRPr="008B1465" w:rsidRDefault="00B05597" w:rsidP="00F036CB">
            <w:pPr>
              <w:pStyle w:val="NoSpacing"/>
              <w:spacing w:line="360" w:lineRule="auto"/>
              <w:jc w:val="both"/>
              <w:rPr>
                <w:rFonts w:ascii="Times New Roman" w:eastAsia="Calibri" w:hAnsi="Times New Roman"/>
                <w:b/>
                <w:bCs/>
                <w:sz w:val="24"/>
                <w:szCs w:val="24"/>
              </w:rPr>
            </w:pPr>
            <w:r w:rsidRPr="008B1465">
              <w:rPr>
                <w:rFonts w:ascii="Times New Roman" w:eastAsia="Calibri" w:hAnsi="Times New Roman"/>
                <w:b/>
                <w:bCs/>
                <w:sz w:val="24"/>
                <w:szCs w:val="24"/>
              </w:rPr>
              <w:t>Variables</w:t>
            </w:r>
          </w:p>
        </w:tc>
        <w:tc>
          <w:tcPr>
            <w:tcW w:w="2029" w:type="dxa"/>
            <w:tcBorders>
              <w:top w:val="thinThickSmallGap" w:sz="24" w:space="0" w:color="auto"/>
              <w:bottom w:val="thinThickSmallGap" w:sz="24" w:space="0" w:color="auto"/>
            </w:tcBorders>
          </w:tcPr>
          <w:p w14:paraId="06B66961" w14:textId="77777777" w:rsidR="00B05597" w:rsidRPr="008B1465" w:rsidRDefault="00B05597" w:rsidP="00F036CB">
            <w:pPr>
              <w:pStyle w:val="NoSpacing"/>
              <w:spacing w:line="360" w:lineRule="auto"/>
              <w:jc w:val="both"/>
              <w:rPr>
                <w:rFonts w:ascii="Times New Roman" w:eastAsia="Calibri" w:hAnsi="Times New Roman"/>
                <w:b/>
                <w:bCs/>
                <w:sz w:val="24"/>
                <w:szCs w:val="24"/>
              </w:rPr>
            </w:pPr>
            <w:r w:rsidRPr="008B1465">
              <w:rPr>
                <w:rFonts w:ascii="Times New Roman" w:eastAsia="Calibri" w:hAnsi="Times New Roman"/>
                <w:b/>
                <w:bCs/>
                <w:sz w:val="24"/>
                <w:szCs w:val="24"/>
              </w:rPr>
              <w:t>Coefficients Sign</w:t>
            </w:r>
          </w:p>
        </w:tc>
      </w:tr>
      <w:tr w:rsidR="00B05597" w:rsidRPr="008B1465" w14:paraId="487C4CC4" w14:textId="77777777" w:rsidTr="00F036CB">
        <w:trPr>
          <w:trHeight w:val="287"/>
          <w:jc w:val="center"/>
        </w:trPr>
        <w:tc>
          <w:tcPr>
            <w:tcW w:w="3971" w:type="dxa"/>
            <w:tcBorders>
              <w:top w:val="thinThickSmallGap" w:sz="24" w:space="0" w:color="auto"/>
            </w:tcBorders>
          </w:tcPr>
          <w:p w14:paraId="45D804FB" w14:textId="77777777" w:rsidR="00B05597" w:rsidRPr="008B1465" w:rsidRDefault="00B05597" w:rsidP="00F036CB">
            <w:pPr>
              <w:pStyle w:val="NoSpacing"/>
              <w:spacing w:line="360" w:lineRule="auto"/>
              <w:jc w:val="both"/>
              <w:rPr>
                <w:rFonts w:ascii="Times New Roman" w:eastAsia="Calibri" w:hAnsi="Times New Roman"/>
                <w:sz w:val="24"/>
                <w:szCs w:val="24"/>
              </w:rPr>
            </w:pPr>
            <w:r w:rsidRPr="008B1465">
              <w:rPr>
                <w:rFonts w:ascii="Times New Roman" w:eastAsia="Calibri" w:hAnsi="Times New Roman"/>
                <w:sz w:val="24"/>
                <w:szCs w:val="24"/>
              </w:rPr>
              <w:t>Investigation of Fraud</w:t>
            </w:r>
          </w:p>
        </w:tc>
        <w:tc>
          <w:tcPr>
            <w:tcW w:w="2029" w:type="dxa"/>
            <w:tcBorders>
              <w:top w:val="thinThickSmallGap" w:sz="24" w:space="0" w:color="auto"/>
            </w:tcBorders>
          </w:tcPr>
          <w:p w14:paraId="0B43F0DF" w14:textId="77777777" w:rsidR="00B05597" w:rsidRPr="008B1465" w:rsidRDefault="00B05597" w:rsidP="00F036CB">
            <w:pPr>
              <w:pStyle w:val="NoSpacing"/>
              <w:spacing w:line="360" w:lineRule="auto"/>
              <w:jc w:val="both"/>
              <w:rPr>
                <w:rFonts w:ascii="Times New Roman" w:eastAsia="Calibri" w:hAnsi="Times New Roman"/>
                <w:sz w:val="24"/>
                <w:szCs w:val="24"/>
              </w:rPr>
            </w:pPr>
            <w:r w:rsidRPr="008B1465">
              <w:rPr>
                <w:rFonts w:ascii="Times New Roman" w:hAnsi="Times New Roman"/>
                <w:noProof/>
                <w:sz w:val="24"/>
                <w:szCs w:val="24"/>
              </w:rPr>
              <w:drawing>
                <wp:inline distT="0" distB="0" distL="0" distR="0" wp14:anchorId="28063709" wp14:editId="117A1828">
                  <wp:extent cx="84455" cy="17335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Pr="008B1465">
              <w:rPr>
                <w:rFonts w:ascii="Times New Roman" w:eastAsia="DengXian" w:hAnsi="Times New Roman"/>
                <w:bCs/>
                <w:sz w:val="24"/>
                <w:szCs w:val="24"/>
                <w:vertAlign w:val="subscript"/>
              </w:rPr>
              <w:t>1 &lt;</w:t>
            </w:r>
            <w:r w:rsidRPr="008B1465">
              <w:rPr>
                <w:rFonts w:ascii="Times New Roman" w:eastAsia="Calibri" w:hAnsi="Times New Roman"/>
                <w:sz w:val="24"/>
                <w:szCs w:val="24"/>
              </w:rPr>
              <w:t>0</w:t>
            </w:r>
          </w:p>
        </w:tc>
      </w:tr>
      <w:tr w:rsidR="00B05597" w:rsidRPr="008B1465" w14:paraId="1F183761" w14:textId="77777777" w:rsidTr="00F036CB">
        <w:trPr>
          <w:trHeight w:val="287"/>
          <w:jc w:val="center"/>
        </w:trPr>
        <w:tc>
          <w:tcPr>
            <w:tcW w:w="3971" w:type="dxa"/>
          </w:tcPr>
          <w:p w14:paraId="6399C60E" w14:textId="77777777" w:rsidR="00B05597" w:rsidRPr="008B1465" w:rsidRDefault="00B05597" w:rsidP="00F036CB">
            <w:pPr>
              <w:pStyle w:val="NoSpacing"/>
              <w:spacing w:line="360" w:lineRule="auto"/>
              <w:jc w:val="both"/>
              <w:rPr>
                <w:rFonts w:ascii="Times New Roman" w:eastAsia="Calibri" w:hAnsi="Times New Roman"/>
                <w:sz w:val="24"/>
                <w:szCs w:val="24"/>
              </w:rPr>
            </w:pPr>
            <w:r w:rsidRPr="008B1465">
              <w:rPr>
                <w:rFonts w:ascii="Times New Roman" w:eastAsia="Calibri" w:hAnsi="Times New Roman"/>
                <w:sz w:val="24"/>
                <w:szCs w:val="24"/>
              </w:rPr>
              <w:t>Litigation Services</w:t>
            </w:r>
          </w:p>
        </w:tc>
        <w:tc>
          <w:tcPr>
            <w:tcW w:w="2029" w:type="dxa"/>
          </w:tcPr>
          <w:p w14:paraId="1D4FF289" w14:textId="77777777" w:rsidR="00B05597" w:rsidRPr="008B1465" w:rsidRDefault="00B05597" w:rsidP="00F036CB">
            <w:pPr>
              <w:pStyle w:val="NoSpacing"/>
              <w:spacing w:line="360" w:lineRule="auto"/>
              <w:jc w:val="both"/>
              <w:rPr>
                <w:rFonts w:ascii="Times New Roman" w:eastAsia="Calibri" w:hAnsi="Times New Roman"/>
                <w:sz w:val="24"/>
                <w:szCs w:val="24"/>
              </w:rPr>
            </w:pPr>
            <w:r w:rsidRPr="008B1465">
              <w:rPr>
                <w:rFonts w:ascii="Times New Roman" w:hAnsi="Times New Roman"/>
                <w:noProof/>
                <w:sz w:val="24"/>
                <w:szCs w:val="24"/>
              </w:rPr>
              <w:drawing>
                <wp:inline distT="0" distB="0" distL="0" distR="0" wp14:anchorId="13FD7FBD" wp14:editId="7F1A3AE4">
                  <wp:extent cx="84455" cy="17335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Pr="008B1465">
              <w:rPr>
                <w:rFonts w:ascii="Times New Roman" w:eastAsia="DengXian" w:hAnsi="Times New Roman"/>
                <w:bCs/>
                <w:sz w:val="24"/>
                <w:szCs w:val="24"/>
                <w:vertAlign w:val="subscript"/>
              </w:rPr>
              <w:t xml:space="preserve">2 &lt; </w:t>
            </w:r>
            <w:r w:rsidRPr="008B1465">
              <w:rPr>
                <w:rFonts w:ascii="Times New Roman" w:eastAsia="Calibri" w:hAnsi="Times New Roman"/>
                <w:sz w:val="24"/>
                <w:szCs w:val="24"/>
              </w:rPr>
              <w:t>0</w:t>
            </w:r>
          </w:p>
        </w:tc>
      </w:tr>
      <w:tr w:rsidR="00B05597" w:rsidRPr="008B1465" w14:paraId="13CFFEFA" w14:textId="77777777" w:rsidTr="00F036CB">
        <w:trPr>
          <w:trHeight w:val="72"/>
          <w:jc w:val="center"/>
        </w:trPr>
        <w:tc>
          <w:tcPr>
            <w:tcW w:w="3971" w:type="dxa"/>
          </w:tcPr>
          <w:p w14:paraId="7F115442" w14:textId="77777777" w:rsidR="00B05597" w:rsidRPr="008B1465" w:rsidRDefault="00B05597" w:rsidP="00F036CB">
            <w:pPr>
              <w:pStyle w:val="NoSpacing"/>
              <w:spacing w:line="360" w:lineRule="auto"/>
              <w:jc w:val="both"/>
              <w:rPr>
                <w:rFonts w:ascii="Times New Roman" w:eastAsia="Calibri" w:hAnsi="Times New Roman"/>
                <w:sz w:val="24"/>
                <w:szCs w:val="24"/>
              </w:rPr>
            </w:pPr>
            <w:r w:rsidRPr="008B1465">
              <w:rPr>
                <w:rFonts w:ascii="Times New Roman" w:eastAsia="Calibri" w:hAnsi="Times New Roman"/>
                <w:sz w:val="24"/>
                <w:szCs w:val="24"/>
              </w:rPr>
              <w:t>Surprise Cash Count Practices</w:t>
            </w:r>
          </w:p>
        </w:tc>
        <w:tc>
          <w:tcPr>
            <w:tcW w:w="2029" w:type="dxa"/>
          </w:tcPr>
          <w:p w14:paraId="56DA67E1" w14:textId="77777777" w:rsidR="00B05597" w:rsidRPr="008B1465" w:rsidRDefault="00B05597" w:rsidP="00F036CB">
            <w:pPr>
              <w:pStyle w:val="NoSpacing"/>
              <w:spacing w:line="360" w:lineRule="auto"/>
              <w:jc w:val="both"/>
              <w:rPr>
                <w:rFonts w:ascii="Times New Roman" w:eastAsia="Calibri" w:hAnsi="Times New Roman"/>
                <w:sz w:val="24"/>
                <w:szCs w:val="24"/>
              </w:rPr>
            </w:pPr>
            <w:r w:rsidRPr="008B1465">
              <w:rPr>
                <w:rFonts w:ascii="Times New Roman" w:hAnsi="Times New Roman"/>
                <w:noProof/>
                <w:sz w:val="24"/>
                <w:szCs w:val="24"/>
              </w:rPr>
              <w:drawing>
                <wp:inline distT="0" distB="0" distL="0" distR="0" wp14:anchorId="2C5236BD" wp14:editId="690AB884">
                  <wp:extent cx="84455" cy="17335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Pr="008B1465">
              <w:rPr>
                <w:rFonts w:ascii="Times New Roman" w:eastAsia="DengXian" w:hAnsi="Times New Roman"/>
                <w:bCs/>
                <w:sz w:val="24"/>
                <w:szCs w:val="24"/>
                <w:vertAlign w:val="subscript"/>
              </w:rPr>
              <w:t xml:space="preserve">3 &lt; </w:t>
            </w:r>
            <w:r w:rsidRPr="008B1465">
              <w:rPr>
                <w:rFonts w:ascii="Times New Roman" w:eastAsia="Calibri" w:hAnsi="Times New Roman"/>
                <w:sz w:val="24"/>
                <w:szCs w:val="24"/>
              </w:rPr>
              <w:t>0</w:t>
            </w:r>
          </w:p>
        </w:tc>
      </w:tr>
      <w:tr w:rsidR="00B05597" w:rsidRPr="008B1465" w14:paraId="3E16D0FB" w14:textId="77777777" w:rsidTr="00F036CB">
        <w:trPr>
          <w:trHeight w:val="294"/>
          <w:jc w:val="center"/>
        </w:trPr>
        <w:tc>
          <w:tcPr>
            <w:tcW w:w="3971" w:type="dxa"/>
            <w:tcBorders>
              <w:bottom w:val="thinThickSmallGap" w:sz="24" w:space="0" w:color="auto"/>
            </w:tcBorders>
          </w:tcPr>
          <w:p w14:paraId="2D75874D" w14:textId="77777777" w:rsidR="00B05597" w:rsidRPr="008B1465" w:rsidRDefault="00B05597" w:rsidP="00F036CB">
            <w:pPr>
              <w:pStyle w:val="NoSpacing"/>
              <w:spacing w:line="360" w:lineRule="auto"/>
              <w:jc w:val="both"/>
              <w:rPr>
                <w:rFonts w:ascii="Times New Roman" w:eastAsia="Calibri" w:hAnsi="Times New Roman"/>
                <w:sz w:val="24"/>
                <w:szCs w:val="24"/>
              </w:rPr>
            </w:pPr>
            <w:r w:rsidRPr="008B1465">
              <w:rPr>
                <w:rFonts w:ascii="Times New Roman" w:eastAsia="Calibri" w:hAnsi="Times New Roman"/>
                <w:sz w:val="24"/>
                <w:szCs w:val="24"/>
              </w:rPr>
              <w:t>Accounting and Digital Environment</w:t>
            </w:r>
          </w:p>
        </w:tc>
        <w:tc>
          <w:tcPr>
            <w:tcW w:w="2029" w:type="dxa"/>
            <w:tcBorders>
              <w:bottom w:val="thinThickSmallGap" w:sz="24" w:space="0" w:color="auto"/>
            </w:tcBorders>
          </w:tcPr>
          <w:p w14:paraId="10D45D95" w14:textId="77777777" w:rsidR="00B05597" w:rsidRPr="008B1465" w:rsidRDefault="00B05597" w:rsidP="00F036CB">
            <w:pPr>
              <w:pStyle w:val="NoSpacing"/>
              <w:spacing w:line="360" w:lineRule="auto"/>
              <w:jc w:val="both"/>
              <w:rPr>
                <w:rFonts w:ascii="Times New Roman" w:eastAsia="Calibri" w:hAnsi="Times New Roman"/>
                <w:sz w:val="24"/>
                <w:szCs w:val="24"/>
              </w:rPr>
            </w:pPr>
            <w:r w:rsidRPr="008B1465">
              <w:rPr>
                <w:rFonts w:ascii="Times New Roman" w:hAnsi="Times New Roman"/>
                <w:noProof/>
                <w:sz w:val="24"/>
                <w:szCs w:val="24"/>
              </w:rPr>
              <w:drawing>
                <wp:inline distT="0" distB="0" distL="0" distR="0" wp14:anchorId="5B558135" wp14:editId="7A4AC59D">
                  <wp:extent cx="84455" cy="17335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Pr="008B1465">
              <w:rPr>
                <w:rFonts w:ascii="Times New Roman" w:eastAsia="DengXian" w:hAnsi="Times New Roman"/>
                <w:bCs/>
                <w:sz w:val="24"/>
                <w:szCs w:val="24"/>
                <w:vertAlign w:val="subscript"/>
              </w:rPr>
              <w:t xml:space="preserve">4 &lt; </w:t>
            </w:r>
            <w:r w:rsidRPr="008B1465">
              <w:rPr>
                <w:rFonts w:ascii="Times New Roman" w:eastAsia="Calibri" w:hAnsi="Times New Roman"/>
                <w:sz w:val="24"/>
                <w:szCs w:val="24"/>
              </w:rPr>
              <w:t>0</w:t>
            </w:r>
          </w:p>
        </w:tc>
      </w:tr>
    </w:tbl>
    <w:p w14:paraId="0C5BFB56" w14:textId="77777777" w:rsidR="00B05597" w:rsidRDefault="00B05597" w:rsidP="00B05597">
      <w:pPr>
        <w:spacing w:after="0" w:line="360" w:lineRule="auto"/>
        <w:rPr>
          <w:rFonts w:ascii="Times New Roman" w:eastAsia="Calibri" w:hAnsi="Times New Roman"/>
          <w:b/>
          <w:sz w:val="18"/>
          <w:szCs w:val="18"/>
        </w:rPr>
      </w:pPr>
      <w:r>
        <w:rPr>
          <w:rFonts w:ascii="Times New Roman" w:eastAsia="Calibri" w:hAnsi="Times New Roman"/>
          <w:b/>
          <w:sz w:val="18"/>
          <w:szCs w:val="18"/>
        </w:rPr>
        <w:t xml:space="preserve"> </w:t>
      </w:r>
      <w:r>
        <w:rPr>
          <w:rFonts w:ascii="Times New Roman" w:eastAsia="Calibri" w:hAnsi="Times New Roman"/>
          <w:b/>
          <w:sz w:val="18"/>
          <w:szCs w:val="18"/>
        </w:rPr>
        <w:tab/>
      </w:r>
      <w:r>
        <w:rPr>
          <w:rFonts w:ascii="Times New Roman" w:eastAsia="Calibri" w:hAnsi="Times New Roman"/>
          <w:b/>
          <w:sz w:val="18"/>
          <w:szCs w:val="18"/>
        </w:rPr>
        <w:tab/>
        <w:t xml:space="preserve">   </w:t>
      </w:r>
      <w:r w:rsidRPr="008B1465">
        <w:rPr>
          <w:rFonts w:ascii="Times New Roman" w:eastAsia="Calibri" w:hAnsi="Times New Roman"/>
          <w:b/>
          <w:sz w:val="18"/>
          <w:szCs w:val="18"/>
        </w:rPr>
        <w:t xml:space="preserve"> Source: Researcher’s </w:t>
      </w:r>
      <w:r>
        <w:rPr>
          <w:rFonts w:ascii="Times New Roman" w:eastAsia="Calibri" w:hAnsi="Times New Roman"/>
          <w:b/>
          <w:sz w:val="18"/>
          <w:szCs w:val="18"/>
        </w:rPr>
        <w:t>Field Survey,</w:t>
      </w:r>
      <w:r w:rsidRPr="008B1465">
        <w:rPr>
          <w:rFonts w:ascii="Times New Roman" w:eastAsia="Calibri" w:hAnsi="Times New Roman"/>
          <w:b/>
          <w:sz w:val="18"/>
          <w:szCs w:val="18"/>
        </w:rPr>
        <w:t xml:space="preserve"> 202</w:t>
      </w:r>
      <w:r>
        <w:rPr>
          <w:rFonts w:ascii="Times New Roman" w:eastAsia="Calibri" w:hAnsi="Times New Roman"/>
          <w:b/>
          <w:sz w:val="18"/>
          <w:szCs w:val="18"/>
        </w:rPr>
        <w:t>3.</w:t>
      </w:r>
    </w:p>
    <w:p w14:paraId="3FC5D707" w14:textId="77777777" w:rsidR="00B05597" w:rsidRPr="001B7BA4" w:rsidRDefault="00B05597" w:rsidP="00B05597">
      <w:pPr>
        <w:spacing w:before="0" w:beforeAutospacing="0" w:after="0" w:line="360" w:lineRule="auto"/>
        <w:jc w:val="both"/>
        <w:rPr>
          <w:rFonts w:ascii="Times New Roman" w:eastAsia="Calibri" w:hAnsi="Times New Roman"/>
          <w:bCs/>
          <w:sz w:val="16"/>
          <w:szCs w:val="16"/>
        </w:rPr>
      </w:pPr>
      <w:r w:rsidRPr="008B1465">
        <w:rPr>
          <w:rFonts w:ascii="Times New Roman" w:eastAsia="Calibri" w:hAnsi="Times New Roman"/>
          <w:bCs/>
          <w:sz w:val="24"/>
          <w:szCs w:val="24"/>
        </w:rPr>
        <w:t xml:space="preserve">It is expected that the measures of forensic accounting techniques would have negative effects on financial misconduct among federal universities in Southwest, Nigeria. </w:t>
      </w:r>
    </w:p>
    <w:p w14:paraId="08E72F17" w14:textId="1633F623" w:rsidR="00B05597" w:rsidRPr="008D6D69" w:rsidRDefault="00B05597" w:rsidP="008D6D69">
      <w:pPr>
        <w:spacing w:before="0" w:beforeAutospacing="0" w:after="0" w:line="360" w:lineRule="auto"/>
        <w:jc w:val="both"/>
        <w:rPr>
          <w:rFonts w:ascii="Times New Roman" w:eastAsia="DengXian" w:hAnsi="Times New Roman"/>
          <w:bCs/>
          <w:sz w:val="24"/>
          <w:szCs w:val="24"/>
        </w:rPr>
      </w:pPr>
      <w:r w:rsidRPr="008B1465">
        <w:rPr>
          <w:rFonts w:ascii="Times New Roman" w:eastAsia="Calibri" w:hAnsi="Times New Roman"/>
          <w:bCs/>
          <w:sz w:val="24"/>
          <w:szCs w:val="24"/>
        </w:rPr>
        <w:t xml:space="preserve">Thus, </w:t>
      </w:r>
      <w:r w:rsidRPr="008B1465">
        <w:rPr>
          <w:rFonts w:ascii="Times New Roman" w:hAnsi="Times New Roman"/>
          <w:noProof/>
          <w:sz w:val="24"/>
          <w:szCs w:val="24"/>
        </w:rPr>
        <w:drawing>
          <wp:inline distT="0" distB="0" distL="0" distR="0" wp14:anchorId="218BFF70" wp14:editId="12D338A4">
            <wp:extent cx="84455" cy="173355"/>
            <wp:effectExtent l="0" t="0" r="0"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Picture 8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Pr="008B1465">
        <w:rPr>
          <w:rFonts w:ascii="Times New Roman" w:eastAsia="DengXian" w:hAnsi="Times New Roman"/>
          <w:bCs/>
          <w:sz w:val="24"/>
          <w:szCs w:val="24"/>
          <w:vertAlign w:val="subscript"/>
        </w:rPr>
        <w:t>1-4</w:t>
      </w:r>
      <w:r w:rsidRPr="008B1465">
        <w:rPr>
          <w:rFonts w:ascii="Times New Roman" w:eastAsia="DengXian" w:hAnsi="Times New Roman"/>
          <w:bCs/>
          <w:sz w:val="24"/>
          <w:szCs w:val="24"/>
        </w:rPr>
        <w:t xml:space="preserve"> &lt; 0. </w:t>
      </w:r>
    </w:p>
    <w:p w14:paraId="6A117DC5" w14:textId="3FA8DDAD" w:rsidR="001616E5" w:rsidRPr="008B1465" w:rsidRDefault="003F05E3" w:rsidP="007541CB">
      <w:pPr>
        <w:pStyle w:val="Heading2"/>
        <w:spacing w:line="360" w:lineRule="auto"/>
        <w:rPr>
          <w:rFonts w:cs="Times New Roman"/>
          <w:sz w:val="24"/>
          <w:szCs w:val="24"/>
        </w:rPr>
      </w:pPr>
      <w:bookmarkStart w:id="91" w:name="_Toc145951112"/>
      <w:r w:rsidRPr="008B1465">
        <w:rPr>
          <w:rFonts w:cs="Times New Roman"/>
          <w:sz w:val="24"/>
          <w:szCs w:val="24"/>
        </w:rPr>
        <w:t>Method of Data Collection</w:t>
      </w:r>
      <w:bookmarkEnd w:id="91"/>
    </w:p>
    <w:p w14:paraId="3C12EBB2" w14:textId="543A37F5" w:rsidR="001616E5" w:rsidRPr="008B1465" w:rsidRDefault="00394CFA"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This study </w:t>
      </w:r>
      <w:r w:rsidR="003F05E3" w:rsidRPr="008B1465">
        <w:rPr>
          <w:rFonts w:ascii="Times New Roman" w:eastAsia="Calibri" w:hAnsi="Times New Roman"/>
          <w:bCs/>
          <w:sz w:val="24"/>
          <w:szCs w:val="24"/>
        </w:rPr>
        <w:t>adopt</w:t>
      </w:r>
      <w:r w:rsidRPr="008B1465">
        <w:rPr>
          <w:rFonts w:ascii="Times New Roman" w:eastAsia="Calibri" w:hAnsi="Times New Roman"/>
          <w:bCs/>
          <w:sz w:val="24"/>
          <w:szCs w:val="24"/>
        </w:rPr>
        <w:t>ed</w:t>
      </w:r>
      <w:r w:rsidR="003F05E3" w:rsidRPr="008B1465">
        <w:rPr>
          <w:rFonts w:ascii="Times New Roman" w:eastAsia="Calibri" w:hAnsi="Times New Roman"/>
          <w:bCs/>
          <w:sz w:val="24"/>
          <w:szCs w:val="24"/>
        </w:rPr>
        <w:t xml:space="preserve"> primary</w:t>
      </w:r>
      <w:r w:rsidR="008A7421" w:rsidRPr="008B1465">
        <w:rPr>
          <w:rFonts w:ascii="Times New Roman" w:eastAsia="Calibri" w:hAnsi="Times New Roman"/>
          <w:bCs/>
          <w:sz w:val="24"/>
          <w:szCs w:val="24"/>
        </w:rPr>
        <w:t xml:space="preserve"> </w:t>
      </w:r>
      <w:r w:rsidR="003F05E3" w:rsidRPr="008B1465">
        <w:rPr>
          <w:rFonts w:ascii="Times New Roman" w:eastAsia="Calibri" w:hAnsi="Times New Roman"/>
          <w:bCs/>
          <w:sz w:val="24"/>
          <w:szCs w:val="24"/>
        </w:rPr>
        <w:t>data using questionnaire to solicit information about forensic accounting techniques</w:t>
      </w:r>
      <w:r w:rsidR="008A7421" w:rsidRPr="008B1465">
        <w:rPr>
          <w:rFonts w:ascii="Times New Roman" w:eastAsia="Calibri" w:hAnsi="Times New Roman"/>
          <w:bCs/>
          <w:sz w:val="24"/>
          <w:szCs w:val="24"/>
        </w:rPr>
        <w:t xml:space="preserve"> and financial misconduct</w:t>
      </w:r>
      <w:r w:rsidR="003F05E3" w:rsidRPr="008B1465">
        <w:rPr>
          <w:rFonts w:ascii="Times New Roman" w:eastAsia="Calibri" w:hAnsi="Times New Roman"/>
          <w:bCs/>
          <w:sz w:val="24"/>
          <w:szCs w:val="24"/>
        </w:rPr>
        <w:t xml:space="preserve">. </w:t>
      </w:r>
      <w:r w:rsidR="00212E15" w:rsidRPr="008B1465">
        <w:rPr>
          <w:rFonts w:ascii="Times New Roman" w:eastAsia="Calibri" w:hAnsi="Times New Roman"/>
          <w:bCs/>
          <w:sz w:val="24"/>
          <w:szCs w:val="24"/>
        </w:rPr>
        <w:t xml:space="preserve">The primary </w:t>
      </w:r>
      <w:r w:rsidR="00395587" w:rsidRPr="008B1465">
        <w:rPr>
          <w:rFonts w:ascii="Times New Roman" w:eastAsia="Calibri" w:hAnsi="Times New Roman"/>
          <w:bCs/>
          <w:sz w:val="24"/>
          <w:szCs w:val="24"/>
        </w:rPr>
        <w:t xml:space="preserve">data adopted </w:t>
      </w:r>
      <w:r w:rsidR="003F05E3" w:rsidRPr="008B1465">
        <w:rPr>
          <w:rFonts w:ascii="Times New Roman" w:eastAsia="Calibri" w:hAnsi="Times New Roman"/>
          <w:bCs/>
          <w:sz w:val="24"/>
          <w:szCs w:val="24"/>
        </w:rPr>
        <w:t>enhance</w:t>
      </w:r>
      <w:r w:rsidR="00212E15" w:rsidRPr="008B1465">
        <w:rPr>
          <w:rFonts w:ascii="Times New Roman" w:eastAsia="Calibri" w:hAnsi="Times New Roman"/>
          <w:bCs/>
          <w:sz w:val="24"/>
          <w:szCs w:val="24"/>
        </w:rPr>
        <w:t>d</w:t>
      </w:r>
      <w:r w:rsidR="003F05E3" w:rsidRPr="008B1465">
        <w:rPr>
          <w:rFonts w:ascii="Times New Roman" w:eastAsia="Calibri" w:hAnsi="Times New Roman"/>
          <w:bCs/>
          <w:sz w:val="24"/>
          <w:szCs w:val="24"/>
        </w:rPr>
        <w:t xml:space="preserve"> originality, options and perceptions of respondents under the study.  A structured questionnaire </w:t>
      </w:r>
      <w:r w:rsidR="006E7858" w:rsidRPr="008B1465">
        <w:rPr>
          <w:rFonts w:ascii="Times New Roman" w:eastAsia="Calibri" w:hAnsi="Times New Roman"/>
          <w:bCs/>
          <w:sz w:val="24"/>
          <w:szCs w:val="24"/>
        </w:rPr>
        <w:t>was</w:t>
      </w:r>
      <w:r w:rsidR="003F05E3" w:rsidRPr="008B1465">
        <w:rPr>
          <w:rFonts w:ascii="Times New Roman" w:eastAsia="Calibri" w:hAnsi="Times New Roman"/>
          <w:bCs/>
          <w:sz w:val="24"/>
          <w:szCs w:val="24"/>
        </w:rPr>
        <w:t xml:space="preserve"> considered appropriate for this study based on the nature of th</w:t>
      </w:r>
      <w:r w:rsidR="00C51A0D" w:rsidRPr="008B1465">
        <w:rPr>
          <w:rFonts w:ascii="Times New Roman" w:eastAsia="Calibri" w:hAnsi="Times New Roman"/>
          <w:bCs/>
          <w:sz w:val="24"/>
          <w:szCs w:val="24"/>
        </w:rPr>
        <w:t xml:space="preserve">e study variables. The </w:t>
      </w:r>
      <w:r w:rsidR="003F05E3" w:rsidRPr="008B1465">
        <w:rPr>
          <w:rFonts w:ascii="Times New Roman" w:eastAsia="Calibri" w:hAnsi="Times New Roman"/>
          <w:bCs/>
          <w:sz w:val="24"/>
          <w:szCs w:val="24"/>
        </w:rPr>
        <w:t xml:space="preserve">respondents </w:t>
      </w:r>
      <w:r w:rsidR="00395587" w:rsidRPr="008B1465">
        <w:rPr>
          <w:rFonts w:ascii="Times New Roman" w:eastAsia="Calibri" w:hAnsi="Times New Roman"/>
          <w:bCs/>
          <w:sz w:val="24"/>
          <w:szCs w:val="24"/>
        </w:rPr>
        <w:t xml:space="preserve">were </w:t>
      </w:r>
      <w:r w:rsidR="003F05E3" w:rsidRPr="008B1465">
        <w:rPr>
          <w:rFonts w:ascii="Times New Roman" w:eastAsia="Calibri" w:hAnsi="Times New Roman"/>
          <w:bCs/>
          <w:sz w:val="24"/>
          <w:szCs w:val="24"/>
        </w:rPr>
        <w:t xml:space="preserve">staff members on level seven (7) and above, and questions </w:t>
      </w:r>
      <w:r w:rsidR="00AF0707" w:rsidRPr="008B1465">
        <w:rPr>
          <w:rFonts w:ascii="Times New Roman" w:eastAsia="Calibri" w:hAnsi="Times New Roman"/>
          <w:bCs/>
          <w:sz w:val="24"/>
          <w:szCs w:val="24"/>
        </w:rPr>
        <w:t>were</w:t>
      </w:r>
      <w:r w:rsidR="003F05E3" w:rsidRPr="008B1465">
        <w:rPr>
          <w:rFonts w:ascii="Times New Roman" w:eastAsia="Calibri" w:hAnsi="Times New Roman"/>
          <w:bCs/>
          <w:sz w:val="24"/>
          <w:szCs w:val="24"/>
        </w:rPr>
        <w:t xml:space="preserve"> </w:t>
      </w:r>
      <w:r w:rsidR="00BA2D12" w:rsidRPr="008B1465">
        <w:rPr>
          <w:rFonts w:ascii="Times New Roman" w:eastAsia="Calibri" w:hAnsi="Times New Roman"/>
          <w:bCs/>
          <w:sz w:val="24"/>
          <w:szCs w:val="24"/>
        </w:rPr>
        <w:t>on five</w:t>
      </w:r>
      <w:r w:rsidR="003F05E3" w:rsidRPr="008B1465">
        <w:rPr>
          <w:rFonts w:ascii="Times New Roman" w:eastAsia="Calibri" w:hAnsi="Times New Roman"/>
          <w:bCs/>
          <w:sz w:val="24"/>
          <w:szCs w:val="24"/>
        </w:rPr>
        <w:t xml:space="preserve">-point Likert scale type, with a choice of strongly agree, agree, </w:t>
      </w:r>
      <w:r w:rsidR="004475E5" w:rsidRPr="008B1465">
        <w:rPr>
          <w:rFonts w:ascii="Times New Roman" w:eastAsia="Calibri" w:hAnsi="Times New Roman"/>
          <w:bCs/>
          <w:sz w:val="24"/>
          <w:szCs w:val="24"/>
        </w:rPr>
        <w:t>indifferent</w:t>
      </w:r>
      <w:r w:rsidR="003F05E3" w:rsidRPr="008B1465">
        <w:rPr>
          <w:rFonts w:ascii="Times New Roman" w:eastAsia="Calibri" w:hAnsi="Times New Roman"/>
          <w:bCs/>
          <w:sz w:val="24"/>
          <w:szCs w:val="24"/>
        </w:rPr>
        <w:t xml:space="preserve">, disagree and strongly disagree, Furthermore, the questionnaire </w:t>
      </w:r>
      <w:r w:rsidR="007823EF" w:rsidRPr="008B1465">
        <w:rPr>
          <w:rFonts w:ascii="Times New Roman" w:eastAsia="Calibri" w:hAnsi="Times New Roman"/>
          <w:bCs/>
          <w:sz w:val="24"/>
          <w:szCs w:val="24"/>
        </w:rPr>
        <w:t>was</w:t>
      </w:r>
      <w:r w:rsidR="003F05E3" w:rsidRPr="008B1465">
        <w:rPr>
          <w:rFonts w:ascii="Times New Roman" w:eastAsia="Calibri" w:hAnsi="Times New Roman"/>
          <w:bCs/>
          <w:sz w:val="24"/>
          <w:szCs w:val="24"/>
        </w:rPr>
        <w:t xml:space="preserve"> divided into two sections. </w:t>
      </w:r>
      <w:r w:rsidR="00CC2AA2">
        <w:rPr>
          <w:rFonts w:ascii="Times New Roman" w:eastAsia="Calibri" w:hAnsi="Times New Roman"/>
          <w:bCs/>
          <w:sz w:val="24"/>
          <w:szCs w:val="24"/>
        </w:rPr>
        <w:t>Factual s</w:t>
      </w:r>
      <w:r w:rsidR="003F05E3" w:rsidRPr="008B1465">
        <w:rPr>
          <w:rFonts w:ascii="Times New Roman" w:eastAsia="Calibri" w:hAnsi="Times New Roman"/>
          <w:bCs/>
          <w:sz w:val="24"/>
          <w:szCs w:val="24"/>
        </w:rPr>
        <w:t>ection contain</w:t>
      </w:r>
      <w:r w:rsidR="009E44BC" w:rsidRPr="008B1465">
        <w:rPr>
          <w:rFonts w:ascii="Times New Roman" w:eastAsia="Calibri" w:hAnsi="Times New Roman"/>
          <w:bCs/>
          <w:sz w:val="24"/>
          <w:szCs w:val="24"/>
        </w:rPr>
        <w:t>ed</w:t>
      </w:r>
      <w:r w:rsidR="003F05E3" w:rsidRPr="008B1465">
        <w:rPr>
          <w:rFonts w:ascii="Times New Roman" w:eastAsia="Calibri" w:hAnsi="Times New Roman"/>
          <w:bCs/>
          <w:sz w:val="24"/>
          <w:szCs w:val="24"/>
        </w:rPr>
        <w:t xml:space="preserve"> background information of the respondents and </w:t>
      </w:r>
      <w:r w:rsidR="00CC2AA2">
        <w:rPr>
          <w:rFonts w:ascii="Times New Roman" w:eastAsia="Calibri" w:hAnsi="Times New Roman"/>
          <w:bCs/>
          <w:sz w:val="24"/>
          <w:szCs w:val="24"/>
        </w:rPr>
        <w:t xml:space="preserve">perception </w:t>
      </w:r>
      <w:r w:rsidR="003F05E3" w:rsidRPr="008B1465">
        <w:rPr>
          <w:rFonts w:ascii="Times New Roman" w:eastAsia="Calibri" w:hAnsi="Times New Roman"/>
          <w:bCs/>
          <w:sz w:val="24"/>
          <w:szCs w:val="24"/>
        </w:rPr>
        <w:t>section with eight (8) sub-se</w:t>
      </w:r>
      <w:r w:rsidR="00E27E8C" w:rsidRPr="008B1465">
        <w:rPr>
          <w:rFonts w:ascii="Times New Roman" w:eastAsia="Calibri" w:hAnsi="Times New Roman"/>
          <w:bCs/>
          <w:sz w:val="24"/>
          <w:szCs w:val="24"/>
        </w:rPr>
        <w:t xml:space="preserve">ctions </w:t>
      </w:r>
      <w:r w:rsidR="003F05E3" w:rsidRPr="008B1465">
        <w:rPr>
          <w:rFonts w:ascii="Times New Roman" w:eastAsia="Calibri" w:hAnsi="Times New Roman"/>
          <w:bCs/>
          <w:sz w:val="24"/>
          <w:szCs w:val="24"/>
        </w:rPr>
        <w:t>contain</w:t>
      </w:r>
      <w:r w:rsidR="00F44910" w:rsidRPr="008B1465">
        <w:rPr>
          <w:rFonts w:ascii="Times New Roman" w:eastAsia="Calibri" w:hAnsi="Times New Roman"/>
          <w:bCs/>
          <w:sz w:val="24"/>
          <w:szCs w:val="24"/>
        </w:rPr>
        <w:t>ed</w:t>
      </w:r>
      <w:r w:rsidR="003F05E3" w:rsidRPr="008B1465">
        <w:rPr>
          <w:rFonts w:ascii="Times New Roman" w:eastAsia="Calibri" w:hAnsi="Times New Roman"/>
          <w:bCs/>
          <w:sz w:val="24"/>
          <w:szCs w:val="24"/>
        </w:rPr>
        <w:t xml:space="preserve"> questions on all the relevant variables.</w:t>
      </w:r>
    </w:p>
    <w:p w14:paraId="3CE8F28B" w14:textId="7D5585F4" w:rsidR="001616E5" w:rsidRPr="008B1465" w:rsidRDefault="006F6772" w:rsidP="007541CB">
      <w:pPr>
        <w:pStyle w:val="Heading3"/>
        <w:spacing w:line="360" w:lineRule="auto"/>
        <w:rPr>
          <w:rFonts w:cs="Times New Roman"/>
        </w:rPr>
      </w:pPr>
      <w:bookmarkStart w:id="92" w:name="_Toc145951113"/>
      <w:r w:rsidRPr="008B1465">
        <w:rPr>
          <w:rFonts w:cs="Times New Roman"/>
        </w:rPr>
        <w:t>I</w:t>
      </w:r>
      <w:r w:rsidR="003F05E3" w:rsidRPr="008B1465">
        <w:rPr>
          <w:rFonts w:cs="Times New Roman"/>
        </w:rPr>
        <w:t>nstrument of Data Collection</w:t>
      </w:r>
      <w:bookmarkEnd w:id="92"/>
    </w:p>
    <w:p w14:paraId="4FAD8108" w14:textId="3113EBD0"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An apparatus for gathering information or measuring the variables needed to respond to research inquiries and test</w:t>
      </w:r>
      <w:r w:rsidR="00342D1D" w:rsidRPr="008B1465">
        <w:rPr>
          <w:rFonts w:ascii="Times New Roman" w:eastAsia="Calibri" w:hAnsi="Times New Roman"/>
          <w:bCs/>
          <w:sz w:val="24"/>
          <w:szCs w:val="24"/>
        </w:rPr>
        <w:t xml:space="preserve"> of</w:t>
      </w:r>
      <w:r w:rsidRPr="008B1465">
        <w:rPr>
          <w:rFonts w:ascii="Times New Roman" w:eastAsia="Calibri" w:hAnsi="Times New Roman"/>
          <w:bCs/>
          <w:sz w:val="24"/>
          <w:szCs w:val="24"/>
        </w:rPr>
        <w:t xml:space="preserve"> hypotheses is a research instrument. A questionnaire with a five-point Likert scale w</w:t>
      </w:r>
      <w:r w:rsidR="00E824A5" w:rsidRPr="008B1465">
        <w:rPr>
          <w:rFonts w:ascii="Times New Roman" w:eastAsia="Calibri" w:hAnsi="Times New Roman"/>
          <w:bCs/>
          <w:sz w:val="24"/>
          <w:szCs w:val="24"/>
        </w:rPr>
        <w:t>as</w:t>
      </w:r>
      <w:r w:rsidRPr="008B1465">
        <w:rPr>
          <w:rFonts w:ascii="Times New Roman" w:eastAsia="Calibri" w:hAnsi="Times New Roman"/>
          <w:bCs/>
          <w:sz w:val="24"/>
          <w:szCs w:val="24"/>
        </w:rPr>
        <w:t xml:space="preserve"> used as the research instrument for t</w:t>
      </w:r>
      <w:r w:rsidR="007A484E" w:rsidRPr="008B1465">
        <w:rPr>
          <w:rFonts w:ascii="Times New Roman" w:eastAsia="Calibri" w:hAnsi="Times New Roman"/>
          <w:bCs/>
          <w:sz w:val="24"/>
          <w:szCs w:val="24"/>
        </w:rPr>
        <w:t xml:space="preserve">his study. The questionnaire was </w:t>
      </w:r>
      <w:r w:rsidRPr="008B1465">
        <w:rPr>
          <w:rFonts w:ascii="Times New Roman" w:eastAsia="Calibri" w:hAnsi="Times New Roman"/>
          <w:bCs/>
          <w:sz w:val="24"/>
          <w:szCs w:val="24"/>
        </w:rPr>
        <w:t xml:space="preserve">created in a way to include </w:t>
      </w:r>
      <w:r w:rsidR="00C025EE" w:rsidRPr="008B1465">
        <w:rPr>
          <w:rFonts w:ascii="Times New Roman" w:eastAsia="Calibri" w:hAnsi="Times New Roman"/>
          <w:bCs/>
          <w:sz w:val="24"/>
          <w:szCs w:val="24"/>
        </w:rPr>
        <w:t>relevant</w:t>
      </w:r>
      <w:r w:rsidRPr="008B1465">
        <w:rPr>
          <w:rFonts w:ascii="Times New Roman" w:eastAsia="Calibri" w:hAnsi="Times New Roman"/>
          <w:bCs/>
          <w:sz w:val="24"/>
          <w:szCs w:val="24"/>
        </w:rPr>
        <w:t xml:space="preserve"> information for the investigation of the research question and testing of the hypotheses. The questionnaire included information about the respondents' bio</w:t>
      </w:r>
      <w:r w:rsidR="00576F37" w:rsidRPr="008B1465">
        <w:rPr>
          <w:rFonts w:ascii="Times New Roman" w:eastAsia="Calibri" w:hAnsi="Times New Roman"/>
          <w:bCs/>
          <w:sz w:val="24"/>
          <w:szCs w:val="24"/>
        </w:rPr>
        <w:t>-</w:t>
      </w:r>
      <w:r w:rsidRPr="008B1465">
        <w:rPr>
          <w:rFonts w:ascii="Times New Roman" w:eastAsia="Calibri" w:hAnsi="Times New Roman"/>
          <w:bCs/>
          <w:sz w:val="24"/>
          <w:szCs w:val="24"/>
        </w:rPr>
        <w:t>data. The organization's location and duration of service in the educational sector. The inclusion of these biographical details is essential as it facilitate</w:t>
      </w:r>
      <w:r w:rsidR="00FF5E89" w:rsidRPr="008B1465">
        <w:rPr>
          <w:rFonts w:ascii="Times New Roman" w:eastAsia="Calibri" w:hAnsi="Times New Roman"/>
          <w:bCs/>
          <w:sz w:val="24"/>
          <w:szCs w:val="24"/>
        </w:rPr>
        <w:t>d</w:t>
      </w:r>
      <w:r w:rsidRPr="008B1465">
        <w:rPr>
          <w:rFonts w:ascii="Times New Roman" w:eastAsia="Calibri" w:hAnsi="Times New Roman"/>
          <w:bCs/>
          <w:sz w:val="24"/>
          <w:szCs w:val="24"/>
        </w:rPr>
        <w:t xml:space="preserve"> accurate classification of the respondents and response analysis. For each variable, statements of assertion and close-ended questions are included in Section B of the questionnaire. </w:t>
      </w:r>
      <w:r w:rsidR="003522CF" w:rsidRPr="008B1465">
        <w:rPr>
          <w:rFonts w:ascii="Times New Roman" w:eastAsia="Calibri" w:hAnsi="Times New Roman"/>
          <w:bCs/>
          <w:sz w:val="24"/>
          <w:szCs w:val="24"/>
        </w:rPr>
        <w:t>E</w:t>
      </w:r>
      <w:r w:rsidRPr="008B1465">
        <w:rPr>
          <w:rFonts w:ascii="Times New Roman" w:eastAsia="Calibri" w:hAnsi="Times New Roman"/>
          <w:bCs/>
          <w:sz w:val="24"/>
          <w:szCs w:val="24"/>
        </w:rPr>
        <w:t>ssential</w:t>
      </w:r>
      <w:r w:rsidR="00E533D4" w:rsidRPr="008B1465">
        <w:rPr>
          <w:rFonts w:ascii="Times New Roman" w:eastAsia="Calibri" w:hAnsi="Times New Roman"/>
          <w:bCs/>
          <w:sz w:val="24"/>
          <w:szCs w:val="24"/>
        </w:rPr>
        <w:t>ly,</w:t>
      </w:r>
      <w:r w:rsidRPr="008B1465">
        <w:rPr>
          <w:rFonts w:ascii="Times New Roman" w:eastAsia="Calibri" w:hAnsi="Times New Roman"/>
          <w:bCs/>
          <w:sz w:val="24"/>
          <w:szCs w:val="24"/>
        </w:rPr>
        <w:t xml:space="preserve"> these variables </w:t>
      </w:r>
      <w:r w:rsidR="00EF3658" w:rsidRPr="008B1465">
        <w:rPr>
          <w:rFonts w:ascii="Times New Roman" w:eastAsia="Calibri" w:hAnsi="Times New Roman"/>
          <w:bCs/>
          <w:sz w:val="24"/>
          <w:szCs w:val="24"/>
        </w:rPr>
        <w:t xml:space="preserve">were added </w:t>
      </w:r>
      <w:r w:rsidRPr="008B1465">
        <w:rPr>
          <w:rFonts w:ascii="Times New Roman" w:eastAsia="Calibri" w:hAnsi="Times New Roman"/>
          <w:bCs/>
          <w:sz w:val="24"/>
          <w:szCs w:val="24"/>
        </w:rPr>
        <w:t>because they aid</w:t>
      </w:r>
      <w:r w:rsidR="00B176DB" w:rsidRPr="008B1465">
        <w:rPr>
          <w:rFonts w:ascii="Times New Roman" w:eastAsia="Calibri" w:hAnsi="Times New Roman"/>
          <w:bCs/>
          <w:sz w:val="24"/>
          <w:szCs w:val="24"/>
        </w:rPr>
        <w:t>ed</w:t>
      </w:r>
      <w:r w:rsidRPr="008B1465">
        <w:rPr>
          <w:rFonts w:ascii="Times New Roman" w:eastAsia="Calibri" w:hAnsi="Times New Roman"/>
          <w:bCs/>
          <w:sz w:val="24"/>
          <w:szCs w:val="24"/>
        </w:rPr>
        <w:t xml:space="preserve"> accurate classification of respondents and analysis of responses retrieved. Respondents indicate</w:t>
      </w:r>
      <w:r w:rsidR="00A80D32" w:rsidRPr="008B1465">
        <w:rPr>
          <w:rFonts w:ascii="Times New Roman" w:eastAsia="Calibri" w:hAnsi="Times New Roman"/>
          <w:bCs/>
          <w:sz w:val="24"/>
          <w:szCs w:val="24"/>
        </w:rPr>
        <w:t>d</w:t>
      </w:r>
      <w:r w:rsidRPr="008B1465">
        <w:rPr>
          <w:rFonts w:ascii="Times New Roman" w:eastAsia="Calibri" w:hAnsi="Times New Roman"/>
          <w:bCs/>
          <w:sz w:val="24"/>
          <w:szCs w:val="24"/>
        </w:rPr>
        <w:t xml:space="preserve"> their level of agreement with a statement while answering to a Likert scale questionnaire item. </w:t>
      </w:r>
      <w:r w:rsidR="001B0245" w:rsidRPr="008B1465">
        <w:rPr>
          <w:rFonts w:ascii="Times New Roman" w:eastAsia="Calibri" w:hAnsi="Times New Roman"/>
          <w:bCs/>
          <w:sz w:val="24"/>
          <w:szCs w:val="24"/>
        </w:rPr>
        <w:t xml:space="preserve">A </w:t>
      </w:r>
      <w:r w:rsidRPr="008B1465">
        <w:rPr>
          <w:rFonts w:ascii="Times New Roman" w:eastAsia="Calibri" w:hAnsi="Times New Roman"/>
          <w:bCs/>
          <w:sz w:val="24"/>
          <w:szCs w:val="24"/>
        </w:rPr>
        <w:t xml:space="preserve">Likert scale </w:t>
      </w:r>
      <w:r w:rsidR="006050A1" w:rsidRPr="008B1465">
        <w:rPr>
          <w:rFonts w:ascii="Times New Roman" w:eastAsia="Calibri" w:hAnsi="Times New Roman"/>
          <w:bCs/>
          <w:sz w:val="24"/>
          <w:szCs w:val="24"/>
        </w:rPr>
        <w:t>used</w:t>
      </w:r>
      <w:r w:rsidRPr="008B1465">
        <w:rPr>
          <w:rFonts w:ascii="Times New Roman" w:eastAsia="Calibri" w:hAnsi="Times New Roman"/>
          <w:bCs/>
          <w:sz w:val="24"/>
          <w:szCs w:val="24"/>
        </w:rPr>
        <w:t xml:space="preserve"> evaluat</w:t>
      </w:r>
      <w:r w:rsidR="006050A1" w:rsidRPr="008B1465">
        <w:rPr>
          <w:rFonts w:ascii="Times New Roman" w:eastAsia="Calibri" w:hAnsi="Times New Roman"/>
          <w:bCs/>
          <w:sz w:val="24"/>
          <w:szCs w:val="24"/>
        </w:rPr>
        <w:t xml:space="preserve">ed </w:t>
      </w:r>
      <w:r w:rsidRPr="008B1465">
        <w:rPr>
          <w:rFonts w:ascii="Times New Roman" w:eastAsia="Calibri" w:hAnsi="Times New Roman"/>
          <w:bCs/>
          <w:sz w:val="24"/>
          <w:szCs w:val="24"/>
        </w:rPr>
        <w:t xml:space="preserve">the respondent's level of agreement with a claim about a phenomenon. The questionnaire was created using a five-point Likert scale that is appropriate for the situation. The points of degree of agreement were Strongly Agree (5), Agree (4), </w:t>
      </w:r>
      <w:r w:rsidR="00A10705" w:rsidRPr="008B1465">
        <w:rPr>
          <w:rFonts w:ascii="Times New Roman" w:eastAsia="Calibri" w:hAnsi="Times New Roman"/>
          <w:bCs/>
          <w:sz w:val="24"/>
          <w:szCs w:val="24"/>
        </w:rPr>
        <w:t>Indifferent</w:t>
      </w:r>
      <w:r w:rsidRPr="008B1465">
        <w:rPr>
          <w:rFonts w:ascii="Times New Roman" w:eastAsia="Calibri" w:hAnsi="Times New Roman"/>
          <w:bCs/>
          <w:sz w:val="24"/>
          <w:szCs w:val="24"/>
        </w:rPr>
        <w:t xml:space="preserve"> (3), Disagree (2), and Strongly Disagree (1).</w:t>
      </w:r>
    </w:p>
    <w:p w14:paraId="4E3BF522" w14:textId="6360FCE7" w:rsidR="001616E5" w:rsidRPr="008B1465" w:rsidRDefault="006F6772" w:rsidP="00993FB8">
      <w:pPr>
        <w:pStyle w:val="Heading2"/>
      </w:pPr>
      <w:r w:rsidRPr="008B1465">
        <w:t xml:space="preserve">   </w:t>
      </w:r>
      <w:bookmarkStart w:id="93" w:name="_Toc145951114"/>
      <w:r w:rsidR="003F05E3" w:rsidRPr="008B1465">
        <w:t>Validity and Reliability of Instrument</w:t>
      </w:r>
      <w:bookmarkEnd w:id="93"/>
    </w:p>
    <w:p w14:paraId="6D380266" w14:textId="1BCE8FD3" w:rsidR="001616E5" w:rsidRPr="008B1465" w:rsidRDefault="00FE083E" w:rsidP="006050A1">
      <w:pPr>
        <w:pStyle w:val="Heading3"/>
        <w:spacing w:line="360" w:lineRule="auto"/>
        <w:rPr>
          <w:rFonts w:cs="Times New Roman"/>
        </w:rPr>
      </w:pPr>
      <w:r>
        <w:rPr>
          <w:rFonts w:cs="Times New Roman"/>
        </w:rPr>
        <w:t xml:space="preserve"> </w:t>
      </w:r>
      <w:bookmarkStart w:id="94" w:name="_Toc145951115"/>
      <w:r w:rsidR="003F05E3" w:rsidRPr="008B1465">
        <w:rPr>
          <w:rFonts w:cs="Times New Roman"/>
        </w:rPr>
        <w:t>Validity of Research Instrument</w:t>
      </w:r>
      <w:bookmarkEnd w:id="94"/>
    </w:p>
    <w:p w14:paraId="18C0F639" w14:textId="55CC1FC4" w:rsidR="001B024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Val</w:t>
      </w:r>
      <w:r w:rsidR="001330B6" w:rsidRPr="008B1465">
        <w:rPr>
          <w:rFonts w:ascii="Times New Roman" w:eastAsia="Calibri" w:hAnsi="Times New Roman"/>
          <w:bCs/>
          <w:sz w:val="24"/>
          <w:szCs w:val="24"/>
        </w:rPr>
        <w:t xml:space="preserve">idity of the instrument was </w:t>
      </w:r>
      <w:r w:rsidR="0041302C" w:rsidRPr="008B1465">
        <w:rPr>
          <w:rFonts w:ascii="Times New Roman" w:eastAsia="Calibri" w:hAnsi="Times New Roman"/>
          <w:bCs/>
          <w:sz w:val="24"/>
          <w:szCs w:val="24"/>
        </w:rPr>
        <w:t>done</w:t>
      </w:r>
      <w:r w:rsidRPr="008B1465">
        <w:rPr>
          <w:rFonts w:ascii="Times New Roman" w:eastAsia="Calibri" w:hAnsi="Times New Roman"/>
          <w:bCs/>
          <w:sz w:val="24"/>
          <w:szCs w:val="24"/>
        </w:rPr>
        <w:t xml:space="preserve"> to ascertain the extent to which the resea</w:t>
      </w:r>
      <w:r w:rsidR="00B22B7E" w:rsidRPr="008B1465">
        <w:rPr>
          <w:rFonts w:ascii="Times New Roman" w:eastAsia="Calibri" w:hAnsi="Times New Roman"/>
          <w:bCs/>
          <w:sz w:val="24"/>
          <w:szCs w:val="24"/>
        </w:rPr>
        <w:t>rch instrument adopted wou</w:t>
      </w:r>
      <w:r w:rsidRPr="008B1465">
        <w:rPr>
          <w:rFonts w:ascii="Times New Roman" w:eastAsia="Calibri" w:hAnsi="Times New Roman"/>
          <w:bCs/>
          <w:sz w:val="24"/>
          <w:szCs w:val="24"/>
        </w:rPr>
        <w:t>l</w:t>
      </w:r>
      <w:r w:rsidR="00B22B7E" w:rsidRPr="008B1465">
        <w:rPr>
          <w:rFonts w:ascii="Times New Roman" w:eastAsia="Calibri" w:hAnsi="Times New Roman"/>
          <w:bCs/>
          <w:sz w:val="24"/>
          <w:szCs w:val="24"/>
        </w:rPr>
        <w:t>d</w:t>
      </w:r>
      <w:r w:rsidRPr="008B1465">
        <w:rPr>
          <w:rFonts w:ascii="Times New Roman" w:eastAsia="Calibri" w:hAnsi="Times New Roman"/>
          <w:bCs/>
          <w:sz w:val="24"/>
          <w:szCs w:val="24"/>
        </w:rPr>
        <w:t xml:space="preserve"> yield reasonable </w:t>
      </w:r>
      <w:r w:rsidR="00FC4C3F" w:rsidRPr="008B1465">
        <w:rPr>
          <w:rFonts w:ascii="Times New Roman" w:eastAsia="Calibri" w:hAnsi="Times New Roman"/>
          <w:bCs/>
          <w:sz w:val="24"/>
          <w:szCs w:val="24"/>
        </w:rPr>
        <w:t>intended results</w:t>
      </w:r>
      <w:r w:rsidRPr="008B1465">
        <w:rPr>
          <w:rFonts w:ascii="Times New Roman" w:eastAsia="Calibri" w:hAnsi="Times New Roman"/>
          <w:bCs/>
          <w:sz w:val="24"/>
          <w:szCs w:val="24"/>
        </w:rPr>
        <w:t>. As advised by Raza and Nawaz (2011), the validity of the study instrument is to be subjected to expert judgemen</w:t>
      </w:r>
      <w:r w:rsidR="000D2B39" w:rsidRPr="008B1465">
        <w:rPr>
          <w:rFonts w:ascii="Times New Roman" w:eastAsia="Calibri" w:hAnsi="Times New Roman"/>
          <w:bCs/>
          <w:sz w:val="24"/>
          <w:szCs w:val="24"/>
        </w:rPr>
        <w:t>t. The study instrument</w:t>
      </w:r>
      <w:r w:rsidR="006829BC" w:rsidRPr="008B1465">
        <w:rPr>
          <w:rFonts w:ascii="Times New Roman" w:eastAsia="Calibri" w:hAnsi="Times New Roman"/>
          <w:bCs/>
          <w:sz w:val="24"/>
          <w:szCs w:val="24"/>
        </w:rPr>
        <w:t xml:space="preserve"> was </w:t>
      </w:r>
      <w:r w:rsidRPr="008B1465">
        <w:rPr>
          <w:rFonts w:ascii="Times New Roman" w:eastAsia="Calibri" w:hAnsi="Times New Roman"/>
          <w:bCs/>
          <w:sz w:val="24"/>
          <w:szCs w:val="24"/>
        </w:rPr>
        <w:t xml:space="preserve">examined for content validity. A measure of </w:t>
      </w:r>
      <w:r w:rsidR="00945F95" w:rsidRPr="008B1465">
        <w:rPr>
          <w:rFonts w:ascii="Times New Roman" w:eastAsia="Calibri" w:hAnsi="Times New Roman"/>
          <w:bCs/>
          <w:sz w:val="24"/>
          <w:szCs w:val="24"/>
        </w:rPr>
        <w:t xml:space="preserve">an item's content validity </w:t>
      </w:r>
      <w:r w:rsidRPr="008B1465">
        <w:rPr>
          <w:rFonts w:ascii="Times New Roman" w:eastAsia="Calibri" w:hAnsi="Times New Roman"/>
          <w:bCs/>
          <w:sz w:val="24"/>
          <w:szCs w:val="24"/>
        </w:rPr>
        <w:t>enable</w:t>
      </w:r>
      <w:r w:rsidR="00945F95" w:rsidRPr="008B1465">
        <w:rPr>
          <w:rFonts w:ascii="Times New Roman" w:eastAsia="Calibri" w:hAnsi="Times New Roman"/>
          <w:bCs/>
          <w:sz w:val="24"/>
          <w:szCs w:val="24"/>
        </w:rPr>
        <w:t>d</w:t>
      </w:r>
      <w:r w:rsidRPr="008B1465">
        <w:rPr>
          <w:rFonts w:ascii="Times New Roman" w:eastAsia="Calibri" w:hAnsi="Times New Roman"/>
          <w:bCs/>
          <w:sz w:val="24"/>
          <w:szCs w:val="24"/>
        </w:rPr>
        <w:t xml:space="preserve"> an accurate representation of the entire set of pertinent opinion concerning the variable of interest being studied. In other w</w:t>
      </w:r>
      <w:r w:rsidR="00923317" w:rsidRPr="008B1465">
        <w:rPr>
          <w:rFonts w:ascii="Times New Roman" w:eastAsia="Calibri" w:hAnsi="Times New Roman"/>
          <w:bCs/>
          <w:sz w:val="24"/>
          <w:szCs w:val="24"/>
        </w:rPr>
        <w:t xml:space="preserve">ords, content validity was </w:t>
      </w:r>
      <w:r w:rsidRPr="008B1465">
        <w:rPr>
          <w:rFonts w:ascii="Times New Roman" w:eastAsia="Calibri" w:hAnsi="Times New Roman"/>
          <w:bCs/>
          <w:sz w:val="24"/>
          <w:szCs w:val="24"/>
        </w:rPr>
        <w:t xml:space="preserve">done to ensure that the scale's contents </w:t>
      </w:r>
      <w:r w:rsidR="00507990" w:rsidRPr="008B1465">
        <w:rPr>
          <w:rFonts w:ascii="Times New Roman" w:eastAsia="Calibri" w:hAnsi="Times New Roman"/>
          <w:bCs/>
          <w:sz w:val="24"/>
          <w:szCs w:val="24"/>
        </w:rPr>
        <w:t>were ad</w:t>
      </w:r>
      <w:r w:rsidR="00AB7152" w:rsidRPr="008B1465">
        <w:rPr>
          <w:rFonts w:ascii="Times New Roman" w:eastAsia="Calibri" w:hAnsi="Times New Roman"/>
          <w:bCs/>
          <w:sz w:val="24"/>
          <w:szCs w:val="24"/>
        </w:rPr>
        <w:t>equate</w:t>
      </w:r>
      <w:r w:rsidRPr="008B1465">
        <w:rPr>
          <w:rFonts w:ascii="Times New Roman" w:eastAsia="Calibri" w:hAnsi="Times New Roman"/>
          <w:bCs/>
          <w:sz w:val="24"/>
          <w:szCs w:val="24"/>
        </w:rPr>
        <w:t xml:space="preserve"> enough to address all forensic accounting methodologies and financial malfeasance among federal universities in Southwest, Nigeria. </w:t>
      </w:r>
    </w:p>
    <w:p w14:paraId="3DB2A33A" w14:textId="5BC5AB32" w:rsidR="001616E5" w:rsidRPr="008B1465" w:rsidRDefault="003F05E3" w:rsidP="007541CB">
      <w:pPr>
        <w:spacing w:after="0" w:line="360" w:lineRule="auto"/>
        <w:jc w:val="both"/>
        <w:rPr>
          <w:rFonts w:ascii="Times New Roman" w:eastAsia="Calibri" w:hAnsi="Times New Roman"/>
          <w:b/>
          <w:sz w:val="24"/>
          <w:szCs w:val="24"/>
        </w:rPr>
      </w:pPr>
      <w:r w:rsidRPr="008B1465">
        <w:rPr>
          <w:rFonts w:ascii="Times New Roman" w:eastAsia="Calibri" w:hAnsi="Times New Roman"/>
          <w:bCs/>
          <w:sz w:val="24"/>
          <w:szCs w:val="24"/>
        </w:rPr>
        <w:t xml:space="preserve">Through peer review method, this study </w:t>
      </w:r>
      <w:r w:rsidR="000670B1" w:rsidRPr="008B1465">
        <w:rPr>
          <w:rFonts w:ascii="Times New Roman" w:eastAsia="Calibri" w:hAnsi="Times New Roman"/>
          <w:bCs/>
          <w:sz w:val="24"/>
          <w:szCs w:val="24"/>
        </w:rPr>
        <w:t>has</w:t>
      </w:r>
      <w:r w:rsidRPr="008B1465">
        <w:rPr>
          <w:rFonts w:ascii="Times New Roman" w:eastAsia="Calibri" w:hAnsi="Times New Roman"/>
          <w:bCs/>
          <w:sz w:val="24"/>
          <w:szCs w:val="24"/>
        </w:rPr>
        <w:t xml:space="preserve"> guarantee</w:t>
      </w:r>
      <w:r w:rsidR="00216204" w:rsidRPr="008B1465">
        <w:rPr>
          <w:rFonts w:ascii="Times New Roman" w:eastAsia="Calibri" w:hAnsi="Times New Roman"/>
          <w:bCs/>
          <w:sz w:val="24"/>
          <w:szCs w:val="24"/>
        </w:rPr>
        <w:t>d</w:t>
      </w:r>
      <w:r w:rsidRPr="008B1465">
        <w:rPr>
          <w:rFonts w:ascii="Times New Roman" w:eastAsia="Calibri" w:hAnsi="Times New Roman"/>
          <w:bCs/>
          <w:sz w:val="24"/>
          <w:szCs w:val="24"/>
        </w:rPr>
        <w:t xml:space="preserve"> the questionnaire's content validity. The researcher's supervisors and other senior instructors in Crawford University who specialize in </w:t>
      </w:r>
      <w:r w:rsidR="00EB64E2" w:rsidRPr="008B1465">
        <w:rPr>
          <w:rFonts w:ascii="Times New Roman" w:eastAsia="Calibri" w:hAnsi="Times New Roman"/>
          <w:bCs/>
          <w:sz w:val="24"/>
          <w:szCs w:val="24"/>
        </w:rPr>
        <w:t xml:space="preserve">evaluation and measurement </w:t>
      </w:r>
      <w:r w:rsidRPr="008B1465">
        <w:rPr>
          <w:rFonts w:ascii="Times New Roman" w:eastAsia="Calibri" w:hAnsi="Times New Roman"/>
          <w:bCs/>
          <w:sz w:val="24"/>
          <w:szCs w:val="24"/>
        </w:rPr>
        <w:t>validate</w:t>
      </w:r>
      <w:r w:rsidR="00EB64E2" w:rsidRPr="008B1465">
        <w:rPr>
          <w:rFonts w:ascii="Times New Roman" w:eastAsia="Calibri" w:hAnsi="Times New Roman"/>
          <w:bCs/>
          <w:sz w:val="24"/>
          <w:szCs w:val="24"/>
        </w:rPr>
        <w:t>d</w:t>
      </w:r>
      <w:r w:rsidRPr="008B1465">
        <w:rPr>
          <w:rFonts w:ascii="Times New Roman" w:eastAsia="Calibri" w:hAnsi="Times New Roman"/>
          <w:bCs/>
          <w:sz w:val="24"/>
          <w:szCs w:val="24"/>
        </w:rPr>
        <w:t xml:space="preserve"> the</w:t>
      </w:r>
      <w:r w:rsidR="00561514" w:rsidRPr="008B1465">
        <w:rPr>
          <w:rFonts w:ascii="Times New Roman" w:eastAsia="Calibri" w:hAnsi="Times New Roman"/>
          <w:bCs/>
          <w:sz w:val="24"/>
          <w:szCs w:val="24"/>
        </w:rPr>
        <w:t xml:space="preserve"> questionnaire and </w:t>
      </w:r>
      <w:r w:rsidR="00363F72" w:rsidRPr="008B1465">
        <w:rPr>
          <w:rFonts w:ascii="Times New Roman" w:eastAsia="Calibri" w:hAnsi="Times New Roman"/>
          <w:bCs/>
          <w:sz w:val="24"/>
          <w:szCs w:val="24"/>
        </w:rPr>
        <w:t>in order to</w:t>
      </w:r>
      <w:r w:rsidRPr="008B1465">
        <w:rPr>
          <w:rFonts w:ascii="Times New Roman" w:eastAsia="Calibri" w:hAnsi="Times New Roman"/>
          <w:bCs/>
          <w:sz w:val="24"/>
          <w:szCs w:val="24"/>
        </w:rPr>
        <w:t xml:space="preserve"> guarantee that the research instrument is appropriate to accurately measure the variables under inv</w:t>
      </w:r>
      <w:r w:rsidR="00167321" w:rsidRPr="008B1465">
        <w:rPr>
          <w:rFonts w:ascii="Times New Roman" w:eastAsia="Calibri" w:hAnsi="Times New Roman"/>
          <w:bCs/>
          <w:sz w:val="24"/>
          <w:szCs w:val="24"/>
        </w:rPr>
        <w:t xml:space="preserve">estigation, their ideas were </w:t>
      </w:r>
      <w:r w:rsidRPr="008B1465">
        <w:rPr>
          <w:rFonts w:ascii="Times New Roman" w:eastAsia="Calibri" w:hAnsi="Times New Roman"/>
          <w:bCs/>
          <w:sz w:val="24"/>
          <w:szCs w:val="24"/>
        </w:rPr>
        <w:t>considered and implemented. To achieve construct validity that examines the precise measurement of the various phenomena connected to th</w:t>
      </w:r>
      <w:r w:rsidR="00AF2DA4" w:rsidRPr="008B1465">
        <w:rPr>
          <w:rFonts w:ascii="Times New Roman" w:eastAsia="Calibri" w:hAnsi="Times New Roman"/>
          <w:bCs/>
          <w:sz w:val="24"/>
          <w:szCs w:val="24"/>
        </w:rPr>
        <w:t>e construct, the questionnaire wa</w:t>
      </w:r>
      <w:r w:rsidRPr="008B1465">
        <w:rPr>
          <w:rFonts w:ascii="Times New Roman" w:eastAsia="Calibri" w:hAnsi="Times New Roman"/>
          <w:bCs/>
          <w:sz w:val="24"/>
          <w:szCs w:val="24"/>
        </w:rPr>
        <w:t xml:space="preserve">s broken down so that each section of the questionnaire is distinctly classified </w:t>
      </w:r>
      <w:r w:rsidR="00EB3BB4" w:rsidRPr="008B1465">
        <w:rPr>
          <w:rFonts w:ascii="Times New Roman" w:eastAsia="Calibri" w:hAnsi="Times New Roman"/>
          <w:bCs/>
          <w:sz w:val="24"/>
          <w:szCs w:val="24"/>
        </w:rPr>
        <w:t xml:space="preserve">to reflect </w:t>
      </w:r>
      <w:r w:rsidRPr="008B1465">
        <w:rPr>
          <w:rFonts w:ascii="Times New Roman" w:eastAsia="Calibri" w:hAnsi="Times New Roman"/>
          <w:bCs/>
          <w:sz w:val="24"/>
          <w:szCs w:val="24"/>
        </w:rPr>
        <w:t xml:space="preserve">that </w:t>
      </w:r>
      <w:r w:rsidR="00CB2270" w:rsidRPr="008B1465">
        <w:rPr>
          <w:rFonts w:ascii="Times New Roman" w:eastAsia="Calibri" w:hAnsi="Times New Roman"/>
          <w:bCs/>
          <w:sz w:val="24"/>
          <w:szCs w:val="24"/>
        </w:rPr>
        <w:t>the instrument for the study</w:t>
      </w:r>
      <w:r w:rsidRPr="008B1465">
        <w:rPr>
          <w:rFonts w:ascii="Times New Roman" w:eastAsia="Calibri" w:hAnsi="Times New Roman"/>
          <w:bCs/>
          <w:sz w:val="24"/>
          <w:szCs w:val="24"/>
        </w:rPr>
        <w:t xml:space="preserve"> attain</w:t>
      </w:r>
      <w:r w:rsidR="00CB2270" w:rsidRPr="008B1465">
        <w:rPr>
          <w:rFonts w:ascii="Times New Roman" w:eastAsia="Calibri" w:hAnsi="Times New Roman"/>
          <w:bCs/>
          <w:sz w:val="24"/>
          <w:szCs w:val="24"/>
        </w:rPr>
        <w:t>ed</w:t>
      </w:r>
      <w:r w:rsidRPr="008B1465">
        <w:rPr>
          <w:rFonts w:ascii="Times New Roman" w:eastAsia="Calibri" w:hAnsi="Times New Roman"/>
          <w:bCs/>
          <w:sz w:val="24"/>
          <w:szCs w:val="24"/>
        </w:rPr>
        <w:t xml:space="preserve"> construct validity.</w:t>
      </w:r>
    </w:p>
    <w:p w14:paraId="092CBC98" w14:textId="743E7802" w:rsidR="001616E5" w:rsidRDefault="003F05E3" w:rsidP="007541CB">
      <w:pPr>
        <w:pStyle w:val="Heading3"/>
        <w:spacing w:line="360" w:lineRule="auto"/>
        <w:rPr>
          <w:rFonts w:cs="Times New Roman"/>
        </w:rPr>
      </w:pPr>
      <w:bookmarkStart w:id="95" w:name="_Toc145951116"/>
      <w:bookmarkStart w:id="96" w:name="_Hlk121218427"/>
      <w:r w:rsidRPr="008B1465">
        <w:rPr>
          <w:rFonts w:cs="Times New Roman"/>
        </w:rPr>
        <w:t>Reliability of Research Instrument</w:t>
      </w:r>
      <w:bookmarkEnd w:id="95"/>
    </w:p>
    <w:p w14:paraId="533398BE" w14:textId="77777777" w:rsidR="00FE62BF" w:rsidRPr="00431199" w:rsidRDefault="00FE62BF" w:rsidP="00FE62BF">
      <w:pPr>
        <w:pStyle w:val="Caption"/>
        <w:keepNext/>
        <w:jc w:val="center"/>
        <w:rPr>
          <w:rFonts w:ascii="Times New Roman" w:hAnsi="Times New Roman"/>
          <w:i w:val="0"/>
          <w:iCs w:val="0"/>
          <w:color w:val="auto"/>
          <w:sz w:val="24"/>
          <w:szCs w:val="24"/>
        </w:rPr>
      </w:pPr>
      <w:bookmarkStart w:id="97" w:name="_Toc145952333"/>
      <w:r w:rsidRPr="00431199">
        <w:rPr>
          <w:rFonts w:ascii="Times New Roman" w:hAnsi="Times New Roman"/>
          <w:i w:val="0"/>
          <w:iCs w:val="0"/>
          <w:color w:val="auto"/>
          <w:sz w:val="24"/>
          <w:szCs w:val="24"/>
        </w:rPr>
        <w:t xml:space="preserve">Table </w:t>
      </w:r>
      <w:r>
        <w:rPr>
          <w:rFonts w:ascii="Times New Roman" w:hAnsi="Times New Roman"/>
          <w:i w:val="0"/>
          <w:iCs w:val="0"/>
          <w:color w:val="auto"/>
          <w:sz w:val="24"/>
          <w:szCs w:val="24"/>
        </w:rPr>
        <w:fldChar w:fldCharType="begin"/>
      </w:r>
      <w:r>
        <w:rPr>
          <w:rFonts w:ascii="Times New Roman" w:hAnsi="Times New Roman"/>
          <w:i w:val="0"/>
          <w:iCs w:val="0"/>
          <w:color w:val="auto"/>
          <w:sz w:val="24"/>
          <w:szCs w:val="24"/>
        </w:rPr>
        <w:instrText xml:space="preserve"> STYLEREF 1 \s </w:instrText>
      </w:r>
      <w:r>
        <w:rPr>
          <w:rFonts w:ascii="Times New Roman" w:hAnsi="Times New Roman"/>
          <w:i w:val="0"/>
          <w:iCs w:val="0"/>
          <w:color w:val="auto"/>
          <w:sz w:val="24"/>
          <w:szCs w:val="24"/>
        </w:rPr>
        <w:fldChar w:fldCharType="separate"/>
      </w:r>
      <w:r>
        <w:rPr>
          <w:rFonts w:ascii="Times New Roman" w:hAnsi="Times New Roman"/>
          <w:i w:val="0"/>
          <w:iCs w:val="0"/>
          <w:noProof/>
          <w:color w:val="auto"/>
          <w:sz w:val="24"/>
          <w:szCs w:val="24"/>
        </w:rPr>
        <w:t>3</w:t>
      </w:r>
      <w:r>
        <w:rPr>
          <w:rFonts w:ascii="Times New Roman" w:hAnsi="Times New Roman"/>
          <w:i w:val="0"/>
          <w:iCs w:val="0"/>
          <w:color w:val="auto"/>
          <w:sz w:val="24"/>
          <w:szCs w:val="24"/>
        </w:rPr>
        <w:fldChar w:fldCharType="end"/>
      </w:r>
      <w:r>
        <w:rPr>
          <w:rFonts w:ascii="Times New Roman" w:hAnsi="Times New Roman"/>
          <w:i w:val="0"/>
          <w:iCs w:val="0"/>
          <w:color w:val="auto"/>
          <w:sz w:val="24"/>
          <w:szCs w:val="24"/>
        </w:rPr>
        <w:t>.</w:t>
      </w:r>
      <w:r>
        <w:rPr>
          <w:rFonts w:ascii="Times New Roman" w:hAnsi="Times New Roman"/>
          <w:i w:val="0"/>
          <w:iCs w:val="0"/>
          <w:color w:val="auto"/>
          <w:sz w:val="24"/>
          <w:szCs w:val="24"/>
        </w:rPr>
        <w:fldChar w:fldCharType="begin"/>
      </w:r>
      <w:r>
        <w:rPr>
          <w:rFonts w:ascii="Times New Roman" w:hAnsi="Times New Roman"/>
          <w:i w:val="0"/>
          <w:iCs w:val="0"/>
          <w:color w:val="auto"/>
          <w:sz w:val="24"/>
          <w:szCs w:val="24"/>
        </w:rPr>
        <w:instrText xml:space="preserve"> SEQ Table \* ARABIC \s 1 </w:instrText>
      </w:r>
      <w:r>
        <w:rPr>
          <w:rFonts w:ascii="Times New Roman" w:hAnsi="Times New Roman"/>
          <w:i w:val="0"/>
          <w:iCs w:val="0"/>
          <w:color w:val="auto"/>
          <w:sz w:val="24"/>
          <w:szCs w:val="24"/>
        </w:rPr>
        <w:fldChar w:fldCharType="separate"/>
      </w:r>
      <w:r>
        <w:rPr>
          <w:rFonts w:ascii="Times New Roman" w:hAnsi="Times New Roman"/>
          <w:i w:val="0"/>
          <w:iCs w:val="0"/>
          <w:noProof/>
          <w:color w:val="auto"/>
          <w:sz w:val="24"/>
          <w:szCs w:val="24"/>
        </w:rPr>
        <w:t>2</w:t>
      </w:r>
      <w:r>
        <w:rPr>
          <w:rFonts w:ascii="Times New Roman" w:hAnsi="Times New Roman"/>
          <w:i w:val="0"/>
          <w:iCs w:val="0"/>
          <w:color w:val="auto"/>
          <w:sz w:val="24"/>
          <w:szCs w:val="24"/>
        </w:rPr>
        <w:fldChar w:fldCharType="end"/>
      </w:r>
      <w:r w:rsidRPr="00431199">
        <w:rPr>
          <w:rFonts w:ascii="Times New Roman" w:hAnsi="Times New Roman"/>
          <w:i w:val="0"/>
          <w:iCs w:val="0"/>
          <w:color w:val="auto"/>
          <w:sz w:val="24"/>
          <w:szCs w:val="24"/>
        </w:rPr>
        <w:t>: Reliability Statistics</w:t>
      </w:r>
      <w:bookmarkEnd w:id="97"/>
    </w:p>
    <w:tbl>
      <w:tblPr>
        <w:tblStyle w:val="TableGrid"/>
        <w:tblW w:w="9270" w:type="dxa"/>
        <w:jc w:val="center"/>
        <w:tblBorders>
          <w:top w:val="thinThickSmallGap" w:sz="24" w:space="0" w:color="auto"/>
          <w:left w:val="none" w:sz="0" w:space="0" w:color="auto"/>
          <w:bottom w:val="thinThickSmallGap" w:sz="24" w:space="0" w:color="auto"/>
          <w:right w:val="none" w:sz="0" w:space="0" w:color="auto"/>
          <w:insideH w:val="none" w:sz="0" w:space="0" w:color="auto"/>
          <w:insideV w:val="none" w:sz="0" w:space="0" w:color="auto"/>
        </w:tblBorders>
        <w:tblLook w:val="04A0" w:firstRow="1" w:lastRow="0" w:firstColumn="1" w:lastColumn="0" w:noHBand="0" w:noVBand="1"/>
      </w:tblPr>
      <w:tblGrid>
        <w:gridCol w:w="2160"/>
        <w:gridCol w:w="2621"/>
        <w:gridCol w:w="2419"/>
        <w:gridCol w:w="2070"/>
      </w:tblGrid>
      <w:tr w:rsidR="00FE62BF" w:rsidRPr="008B1465" w14:paraId="09C4C5F7" w14:textId="77777777" w:rsidTr="00F933ED">
        <w:trPr>
          <w:trHeight w:val="337"/>
          <w:jc w:val="center"/>
        </w:trPr>
        <w:tc>
          <w:tcPr>
            <w:tcW w:w="2160" w:type="dxa"/>
            <w:tcBorders>
              <w:top w:val="thinThickSmallGap" w:sz="24" w:space="0" w:color="auto"/>
              <w:bottom w:val="single" w:sz="4" w:space="0" w:color="auto"/>
            </w:tcBorders>
          </w:tcPr>
          <w:p w14:paraId="7D7794D3" w14:textId="77777777" w:rsidR="00FE62BF" w:rsidRPr="008B1465" w:rsidRDefault="00FE62BF" w:rsidP="00F933ED">
            <w:pPr>
              <w:spacing w:after="0" w:line="360" w:lineRule="auto"/>
              <w:jc w:val="center"/>
              <w:rPr>
                <w:rFonts w:ascii="Times New Roman" w:eastAsia="Calibri" w:hAnsi="Times New Roman"/>
                <w:b/>
                <w:sz w:val="24"/>
                <w:szCs w:val="24"/>
              </w:rPr>
            </w:pPr>
            <w:r w:rsidRPr="008B1465">
              <w:rPr>
                <w:rFonts w:ascii="Times New Roman" w:eastAsia="Calibri" w:hAnsi="Times New Roman"/>
                <w:b/>
                <w:sz w:val="24"/>
                <w:szCs w:val="24"/>
              </w:rPr>
              <w:t>Variables</w:t>
            </w:r>
          </w:p>
        </w:tc>
        <w:tc>
          <w:tcPr>
            <w:tcW w:w="2621" w:type="dxa"/>
            <w:tcBorders>
              <w:top w:val="thinThickSmallGap" w:sz="24" w:space="0" w:color="auto"/>
              <w:bottom w:val="single" w:sz="4" w:space="0" w:color="auto"/>
            </w:tcBorders>
          </w:tcPr>
          <w:p w14:paraId="6F9560C1" w14:textId="77777777" w:rsidR="00FE62BF" w:rsidRPr="008B1465" w:rsidRDefault="00FE62BF" w:rsidP="00F933ED">
            <w:pPr>
              <w:spacing w:after="0" w:line="360" w:lineRule="auto"/>
              <w:jc w:val="center"/>
              <w:rPr>
                <w:rFonts w:ascii="Times New Roman" w:eastAsia="Calibri" w:hAnsi="Times New Roman"/>
                <w:b/>
                <w:sz w:val="24"/>
                <w:szCs w:val="24"/>
              </w:rPr>
            </w:pPr>
            <w:r w:rsidRPr="008B1465">
              <w:rPr>
                <w:rFonts w:ascii="Times New Roman" w:eastAsia="Calibri" w:hAnsi="Times New Roman"/>
                <w:b/>
                <w:sz w:val="24"/>
                <w:szCs w:val="24"/>
              </w:rPr>
              <w:t>Cronbach’s Alpha</w:t>
            </w:r>
          </w:p>
        </w:tc>
        <w:tc>
          <w:tcPr>
            <w:tcW w:w="2419" w:type="dxa"/>
            <w:tcBorders>
              <w:top w:val="thinThickSmallGap" w:sz="24" w:space="0" w:color="auto"/>
              <w:bottom w:val="single" w:sz="4" w:space="0" w:color="auto"/>
            </w:tcBorders>
          </w:tcPr>
          <w:p w14:paraId="50ADC0ED" w14:textId="77777777" w:rsidR="00FE62BF" w:rsidRPr="008B1465" w:rsidRDefault="00FE62BF" w:rsidP="00F933ED">
            <w:pPr>
              <w:spacing w:after="0" w:line="360" w:lineRule="auto"/>
              <w:jc w:val="center"/>
              <w:rPr>
                <w:rFonts w:ascii="Times New Roman" w:eastAsia="Calibri" w:hAnsi="Times New Roman"/>
                <w:b/>
                <w:sz w:val="24"/>
                <w:szCs w:val="24"/>
              </w:rPr>
            </w:pPr>
            <w:r>
              <w:rPr>
                <w:rFonts w:ascii="Times New Roman" w:eastAsia="Calibri" w:hAnsi="Times New Roman"/>
                <w:b/>
                <w:sz w:val="24"/>
                <w:szCs w:val="24"/>
              </w:rPr>
              <w:t>Averages</w:t>
            </w:r>
          </w:p>
        </w:tc>
        <w:tc>
          <w:tcPr>
            <w:tcW w:w="2070" w:type="dxa"/>
            <w:tcBorders>
              <w:top w:val="thinThickSmallGap" w:sz="24" w:space="0" w:color="auto"/>
              <w:bottom w:val="single" w:sz="4" w:space="0" w:color="auto"/>
            </w:tcBorders>
          </w:tcPr>
          <w:p w14:paraId="34CF24D5" w14:textId="77777777" w:rsidR="00FE62BF" w:rsidRPr="008B1465" w:rsidRDefault="00FE62BF" w:rsidP="00F933ED">
            <w:pPr>
              <w:spacing w:after="0" w:line="360" w:lineRule="auto"/>
              <w:jc w:val="center"/>
              <w:rPr>
                <w:rFonts w:ascii="Times New Roman" w:eastAsia="Calibri" w:hAnsi="Times New Roman"/>
                <w:b/>
                <w:sz w:val="24"/>
                <w:szCs w:val="24"/>
              </w:rPr>
            </w:pPr>
            <w:r w:rsidRPr="008B1465">
              <w:rPr>
                <w:rFonts w:ascii="Times New Roman" w:eastAsia="Calibri" w:hAnsi="Times New Roman"/>
                <w:b/>
                <w:sz w:val="24"/>
                <w:szCs w:val="24"/>
              </w:rPr>
              <w:t>No. of Items</w:t>
            </w:r>
          </w:p>
        </w:tc>
      </w:tr>
      <w:tr w:rsidR="00FE62BF" w:rsidRPr="008B1465" w14:paraId="258502E5" w14:textId="77777777" w:rsidTr="00F933ED">
        <w:trPr>
          <w:trHeight w:val="337"/>
          <w:jc w:val="center"/>
        </w:trPr>
        <w:tc>
          <w:tcPr>
            <w:tcW w:w="2160" w:type="dxa"/>
            <w:tcBorders>
              <w:top w:val="single" w:sz="4" w:space="0" w:color="auto"/>
            </w:tcBorders>
          </w:tcPr>
          <w:p w14:paraId="5CEB4C40" w14:textId="77777777" w:rsidR="00FE62BF" w:rsidRPr="008B1465" w:rsidRDefault="00FE62BF" w:rsidP="00F933ED">
            <w:pPr>
              <w:spacing w:after="0" w:line="360" w:lineRule="auto"/>
              <w:jc w:val="center"/>
              <w:rPr>
                <w:rFonts w:ascii="Times New Roman" w:eastAsia="Calibri" w:hAnsi="Times New Roman"/>
                <w:bCs/>
                <w:sz w:val="24"/>
                <w:szCs w:val="24"/>
              </w:rPr>
            </w:pPr>
            <w:r w:rsidRPr="008B1465">
              <w:rPr>
                <w:rFonts w:ascii="Times New Roman" w:eastAsia="Calibri" w:hAnsi="Times New Roman"/>
                <w:bCs/>
                <w:sz w:val="24"/>
                <w:szCs w:val="24"/>
              </w:rPr>
              <w:t>IF</w:t>
            </w:r>
          </w:p>
        </w:tc>
        <w:tc>
          <w:tcPr>
            <w:tcW w:w="2621" w:type="dxa"/>
            <w:tcBorders>
              <w:top w:val="single" w:sz="4" w:space="0" w:color="auto"/>
            </w:tcBorders>
          </w:tcPr>
          <w:p w14:paraId="49D923F1" w14:textId="77777777" w:rsidR="00FE62BF" w:rsidRPr="008B1465" w:rsidRDefault="00FE62BF" w:rsidP="00F933ED">
            <w:pPr>
              <w:spacing w:after="0" w:line="360" w:lineRule="auto"/>
              <w:jc w:val="center"/>
              <w:rPr>
                <w:rFonts w:ascii="Times New Roman" w:eastAsia="Calibri" w:hAnsi="Times New Roman"/>
                <w:bCs/>
                <w:sz w:val="24"/>
                <w:szCs w:val="24"/>
              </w:rPr>
            </w:pPr>
            <w:r w:rsidRPr="008B1465">
              <w:rPr>
                <w:rFonts w:ascii="Times New Roman" w:eastAsia="Calibri" w:hAnsi="Times New Roman"/>
                <w:bCs/>
                <w:sz w:val="24"/>
                <w:szCs w:val="24"/>
              </w:rPr>
              <w:t>0.704</w:t>
            </w:r>
          </w:p>
        </w:tc>
        <w:tc>
          <w:tcPr>
            <w:tcW w:w="2419" w:type="dxa"/>
            <w:tcBorders>
              <w:top w:val="single" w:sz="4" w:space="0" w:color="auto"/>
            </w:tcBorders>
          </w:tcPr>
          <w:p w14:paraId="2A44B596" w14:textId="77777777" w:rsidR="00FE62BF" w:rsidRPr="008B1465" w:rsidRDefault="00FE62BF" w:rsidP="00F933ED">
            <w:pPr>
              <w:spacing w:after="0" w:line="360" w:lineRule="auto"/>
              <w:jc w:val="center"/>
              <w:rPr>
                <w:rFonts w:ascii="Times New Roman" w:eastAsia="Calibri" w:hAnsi="Times New Roman"/>
                <w:bCs/>
                <w:sz w:val="24"/>
                <w:szCs w:val="24"/>
              </w:rPr>
            </w:pPr>
            <w:r>
              <w:rPr>
                <w:rFonts w:ascii="Times New Roman" w:eastAsia="Calibri" w:hAnsi="Times New Roman"/>
                <w:bCs/>
                <w:sz w:val="24"/>
                <w:szCs w:val="24"/>
              </w:rPr>
              <w:t>0.778</w:t>
            </w:r>
          </w:p>
        </w:tc>
        <w:tc>
          <w:tcPr>
            <w:tcW w:w="2070" w:type="dxa"/>
            <w:tcBorders>
              <w:top w:val="single" w:sz="4" w:space="0" w:color="auto"/>
            </w:tcBorders>
          </w:tcPr>
          <w:p w14:paraId="28F6F796" w14:textId="77777777" w:rsidR="00FE62BF" w:rsidRPr="008B1465" w:rsidRDefault="00FE62BF" w:rsidP="00F933ED">
            <w:pPr>
              <w:spacing w:after="0" w:line="360" w:lineRule="auto"/>
              <w:jc w:val="center"/>
              <w:rPr>
                <w:rFonts w:ascii="Times New Roman" w:eastAsia="Calibri" w:hAnsi="Times New Roman"/>
                <w:bCs/>
                <w:sz w:val="24"/>
                <w:szCs w:val="24"/>
              </w:rPr>
            </w:pPr>
            <w:r w:rsidRPr="008B1465">
              <w:rPr>
                <w:rFonts w:ascii="Times New Roman" w:eastAsia="Calibri" w:hAnsi="Times New Roman"/>
                <w:bCs/>
                <w:sz w:val="24"/>
                <w:szCs w:val="24"/>
              </w:rPr>
              <w:t>7</w:t>
            </w:r>
          </w:p>
        </w:tc>
      </w:tr>
      <w:tr w:rsidR="00FE62BF" w:rsidRPr="008B1465" w14:paraId="4D8A9A1E" w14:textId="77777777" w:rsidTr="00F933ED">
        <w:trPr>
          <w:trHeight w:val="337"/>
          <w:jc w:val="center"/>
        </w:trPr>
        <w:tc>
          <w:tcPr>
            <w:tcW w:w="2160" w:type="dxa"/>
          </w:tcPr>
          <w:p w14:paraId="7ACCD704" w14:textId="77777777" w:rsidR="00FE62BF" w:rsidRPr="008B1465" w:rsidRDefault="00FE62BF" w:rsidP="00F933ED">
            <w:pPr>
              <w:spacing w:after="0" w:line="360" w:lineRule="auto"/>
              <w:jc w:val="center"/>
              <w:rPr>
                <w:rFonts w:ascii="Times New Roman" w:eastAsia="Calibri" w:hAnsi="Times New Roman"/>
                <w:bCs/>
                <w:sz w:val="24"/>
                <w:szCs w:val="24"/>
              </w:rPr>
            </w:pPr>
            <w:r w:rsidRPr="008B1465">
              <w:rPr>
                <w:rFonts w:ascii="Times New Roman" w:eastAsia="Calibri" w:hAnsi="Times New Roman"/>
                <w:bCs/>
                <w:sz w:val="24"/>
                <w:szCs w:val="24"/>
              </w:rPr>
              <w:t>LS</w:t>
            </w:r>
          </w:p>
        </w:tc>
        <w:tc>
          <w:tcPr>
            <w:tcW w:w="2621" w:type="dxa"/>
          </w:tcPr>
          <w:p w14:paraId="1F61ADC4" w14:textId="77777777" w:rsidR="00FE62BF" w:rsidRPr="008B1465" w:rsidRDefault="00FE62BF" w:rsidP="00F933ED">
            <w:pPr>
              <w:spacing w:after="0" w:line="360" w:lineRule="auto"/>
              <w:jc w:val="center"/>
              <w:rPr>
                <w:rFonts w:ascii="Times New Roman" w:eastAsia="Calibri" w:hAnsi="Times New Roman"/>
                <w:bCs/>
                <w:sz w:val="24"/>
                <w:szCs w:val="24"/>
              </w:rPr>
            </w:pPr>
            <w:r w:rsidRPr="008B1465">
              <w:rPr>
                <w:rFonts w:ascii="Times New Roman" w:eastAsia="Calibri" w:hAnsi="Times New Roman"/>
                <w:bCs/>
                <w:sz w:val="24"/>
                <w:szCs w:val="24"/>
              </w:rPr>
              <w:t>0.743</w:t>
            </w:r>
          </w:p>
        </w:tc>
        <w:tc>
          <w:tcPr>
            <w:tcW w:w="2419" w:type="dxa"/>
          </w:tcPr>
          <w:p w14:paraId="0153EEAE" w14:textId="77777777" w:rsidR="00FE62BF" w:rsidRPr="008B1465" w:rsidRDefault="00FE62BF" w:rsidP="00F933ED">
            <w:pPr>
              <w:spacing w:after="0" w:line="360" w:lineRule="auto"/>
              <w:jc w:val="center"/>
              <w:rPr>
                <w:rFonts w:ascii="Times New Roman" w:eastAsia="Calibri" w:hAnsi="Times New Roman"/>
                <w:bCs/>
                <w:sz w:val="24"/>
                <w:szCs w:val="24"/>
              </w:rPr>
            </w:pPr>
            <w:r>
              <w:rPr>
                <w:rFonts w:ascii="Times New Roman" w:eastAsia="Calibri" w:hAnsi="Times New Roman"/>
                <w:bCs/>
                <w:sz w:val="24"/>
                <w:szCs w:val="24"/>
              </w:rPr>
              <w:t>0.778</w:t>
            </w:r>
          </w:p>
        </w:tc>
        <w:tc>
          <w:tcPr>
            <w:tcW w:w="2070" w:type="dxa"/>
          </w:tcPr>
          <w:p w14:paraId="0BF83EB7" w14:textId="77777777" w:rsidR="00FE62BF" w:rsidRPr="008B1465" w:rsidRDefault="00FE62BF" w:rsidP="00F933ED">
            <w:pPr>
              <w:spacing w:after="0" w:line="360" w:lineRule="auto"/>
              <w:jc w:val="center"/>
              <w:rPr>
                <w:rFonts w:ascii="Times New Roman" w:eastAsia="Calibri" w:hAnsi="Times New Roman"/>
                <w:bCs/>
                <w:sz w:val="24"/>
                <w:szCs w:val="24"/>
              </w:rPr>
            </w:pPr>
            <w:r w:rsidRPr="008B1465">
              <w:rPr>
                <w:rFonts w:ascii="Times New Roman" w:eastAsia="Calibri" w:hAnsi="Times New Roman"/>
                <w:bCs/>
                <w:sz w:val="24"/>
                <w:szCs w:val="24"/>
              </w:rPr>
              <w:t>5</w:t>
            </w:r>
          </w:p>
        </w:tc>
      </w:tr>
      <w:tr w:rsidR="00FE62BF" w:rsidRPr="008B1465" w14:paraId="02CB34A6" w14:textId="77777777" w:rsidTr="00F933ED">
        <w:trPr>
          <w:trHeight w:val="346"/>
          <w:jc w:val="center"/>
        </w:trPr>
        <w:tc>
          <w:tcPr>
            <w:tcW w:w="2160" w:type="dxa"/>
          </w:tcPr>
          <w:p w14:paraId="5947599C" w14:textId="77777777" w:rsidR="00FE62BF" w:rsidRPr="008B1465" w:rsidRDefault="00FE62BF" w:rsidP="00F933ED">
            <w:pPr>
              <w:spacing w:after="0" w:line="360" w:lineRule="auto"/>
              <w:jc w:val="center"/>
              <w:rPr>
                <w:rFonts w:ascii="Times New Roman" w:eastAsia="Calibri" w:hAnsi="Times New Roman"/>
                <w:bCs/>
                <w:sz w:val="24"/>
                <w:szCs w:val="24"/>
              </w:rPr>
            </w:pPr>
            <w:r w:rsidRPr="008B1465">
              <w:rPr>
                <w:rFonts w:ascii="Times New Roman" w:eastAsia="Calibri" w:hAnsi="Times New Roman"/>
                <w:bCs/>
                <w:sz w:val="24"/>
                <w:szCs w:val="24"/>
              </w:rPr>
              <w:t>SCCP</w:t>
            </w:r>
          </w:p>
        </w:tc>
        <w:tc>
          <w:tcPr>
            <w:tcW w:w="2621" w:type="dxa"/>
          </w:tcPr>
          <w:p w14:paraId="21459CA0" w14:textId="77777777" w:rsidR="00FE62BF" w:rsidRPr="008B1465" w:rsidRDefault="00FE62BF" w:rsidP="00F933ED">
            <w:pPr>
              <w:spacing w:after="0" w:line="360" w:lineRule="auto"/>
              <w:jc w:val="center"/>
              <w:rPr>
                <w:rFonts w:ascii="Times New Roman" w:eastAsia="Calibri" w:hAnsi="Times New Roman"/>
                <w:bCs/>
                <w:sz w:val="24"/>
                <w:szCs w:val="24"/>
              </w:rPr>
            </w:pPr>
            <w:r w:rsidRPr="008B1465">
              <w:rPr>
                <w:rFonts w:ascii="Times New Roman" w:eastAsia="Calibri" w:hAnsi="Times New Roman"/>
                <w:bCs/>
                <w:sz w:val="24"/>
                <w:szCs w:val="24"/>
              </w:rPr>
              <w:t>0.737</w:t>
            </w:r>
          </w:p>
        </w:tc>
        <w:tc>
          <w:tcPr>
            <w:tcW w:w="2419" w:type="dxa"/>
          </w:tcPr>
          <w:p w14:paraId="06966FA2" w14:textId="77777777" w:rsidR="00FE62BF" w:rsidRPr="008B1465" w:rsidRDefault="00FE62BF" w:rsidP="00F933ED">
            <w:pPr>
              <w:spacing w:after="0" w:line="360" w:lineRule="auto"/>
              <w:jc w:val="center"/>
              <w:rPr>
                <w:rFonts w:ascii="Times New Roman" w:eastAsia="Calibri" w:hAnsi="Times New Roman"/>
                <w:bCs/>
                <w:sz w:val="24"/>
                <w:szCs w:val="24"/>
              </w:rPr>
            </w:pPr>
            <w:r>
              <w:rPr>
                <w:rFonts w:ascii="Times New Roman" w:eastAsia="Calibri" w:hAnsi="Times New Roman"/>
                <w:bCs/>
                <w:sz w:val="24"/>
                <w:szCs w:val="24"/>
              </w:rPr>
              <w:t>0.778</w:t>
            </w:r>
          </w:p>
        </w:tc>
        <w:tc>
          <w:tcPr>
            <w:tcW w:w="2070" w:type="dxa"/>
          </w:tcPr>
          <w:p w14:paraId="54455498" w14:textId="77777777" w:rsidR="00FE62BF" w:rsidRPr="008B1465" w:rsidRDefault="00FE62BF" w:rsidP="00F933ED">
            <w:pPr>
              <w:spacing w:after="0" w:line="360" w:lineRule="auto"/>
              <w:jc w:val="center"/>
              <w:rPr>
                <w:rFonts w:ascii="Times New Roman" w:eastAsia="Calibri" w:hAnsi="Times New Roman"/>
                <w:bCs/>
                <w:sz w:val="24"/>
                <w:szCs w:val="24"/>
              </w:rPr>
            </w:pPr>
            <w:r w:rsidRPr="008B1465">
              <w:rPr>
                <w:rFonts w:ascii="Times New Roman" w:eastAsia="Calibri" w:hAnsi="Times New Roman"/>
                <w:bCs/>
                <w:sz w:val="24"/>
                <w:szCs w:val="24"/>
              </w:rPr>
              <w:t>5</w:t>
            </w:r>
          </w:p>
        </w:tc>
      </w:tr>
      <w:tr w:rsidR="00FE62BF" w:rsidRPr="008B1465" w14:paraId="335DA0DE" w14:textId="77777777" w:rsidTr="00F933ED">
        <w:trPr>
          <w:trHeight w:val="337"/>
          <w:jc w:val="center"/>
        </w:trPr>
        <w:tc>
          <w:tcPr>
            <w:tcW w:w="2160" w:type="dxa"/>
          </w:tcPr>
          <w:p w14:paraId="48AF6739" w14:textId="77777777" w:rsidR="00FE62BF" w:rsidRPr="008B1465" w:rsidRDefault="00FE62BF" w:rsidP="00F933ED">
            <w:pPr>
              <w:spacing w:after="0" w:line="360" w:lineRule="auto"/>
              <w:jc w:val="center"/>
              <w:rPr>
                <w:rFonts w:ascii="Times New Roman" w:eastAsia="Calibri" w:hAnsi="Times New Roman"/>
                <w:bCs/>
                <w:sz w:val="24"/>
                <w:szCs w:val="24"/>
              </w:rPr>
            </w:pPr>
            <w:r w:rsidRPr="008B1465">
              <w:rPr>
                <w:rFonts w:ascii="Times New Roman" w:eastAsia="Calibri" w:hAnsi="Times New Roman"/>
                <w:bCs/>
                <w:sz w:val="24"/>
                <w:szCs w:val="24"/>
              </w:rPr>
              <w:t>ADE</w:t>
            </w:r>
          </w:p>
        </w:tc>
        <w:tc>
          <w:tcPr>
            <w:tcW w:w="2621" w:type="dxa"/>
          </w:tcPr>
          <w:p w14:paraId="0C17C1EA" w14:textId="77777777" w:rsidR="00FE62BF" w:rsidRPr="008B1465" w:rsidRDefault="00FE62BF" w:rsidP="00F933ED">
            <w:pPr>
              <w:spacing w:after="0" w:line="360" w:lineRule="auto"/>
              <w:jc w:val="center"/>
              <w:rPr>
                <w:rFonts w:ascii="Times New Roman" w:eastAsia="Calibri" w:hAnsi="Times New Roman"/>
                <w:bCs/>
                <w:sz w:val="24"/>
                <w:szCs w:val="24"/>
              </w:rPr>
            </w:pPr>
            <w:r w:rsidRPr="008B1465">
              <w:rPr>
                <w:rFonts w:ascii="Times New Roman" w:eastAsia="Calibri" w:hAnsi="Times New Roman"/>
                <w:bCs/>
                <w:sz w:val="24"/>
                <w:szCs w:val="24"/>
              </w:rPr>
              <w:t>0.664</w:t>
            </w:r>
          </w:p>
        </w:tc>
        <w:tc>
          <w:tcPr>
            <w:tcW w:w="2419" w:type="dxa"/>
          </w:tcPr>
          <w:p w14:paraId="0676EE13" w14:textId="77777777" w:rsidR="00FE62BF" w:rsidRPr="008B1465" w:rsidRDefault="00FE62BF" w:rsidP="00F933ED">
            <w:pPr>
              <w:spacing w:after="0" w:line="360" w:lineRule="auto"/>
              <w:jc w:val="center"/>
              <w:rPr>
                <w:rFonts w:ascii="Times New Roman" w:eastAsia="Calibri" w:hAnsi="Times New Roman"/>
                <w:bCs/>
                <w:sz w:val="24"/>
                <w:szCs w:val="24"/>
              </w:rPr>
            </w:pPr>
            <w:r>
              <w:rPr>
                <w:rFonts w:ascii="Times New Roman" w:eastAsia="Calibri" w:hAnsi="Times New Roman"/>
                <w:bCs/>
                <w:sz w:val="24"/>
                <w:szCs w:val="24"/>
              </w:rPr>
              <w:t>0.778</w:t>
            </w:r>
          </w:p>
        </w:tc>
        <w:tc>
          <w:tcPr>
            <w:tcW w:w="2070" w:type="dxa"/>
          </w:tcPr>
          <w:p w14:paraId="1B980DFF" w14:textId="77777777" w:rsidR="00FE62BF" w:rsidRPr="008B1465" w:rsidRDefault="00FE62BF" w:rsidP="00F933ED">
            <w:pPr>
              <w:spacing w:after="0" w:line="360" w:lineRule="auto"/>
              <w:jc w:val="center"/>
              <w:rPr>
                <w:rFonts w:ascii="Times New Roman" w:eastAsia="Calibri" w:hAnsi="Times New Roman"/>
                <w:bCs/>
                <w:sz w:val="24"/>
                <w:szCs w:val="24"/>
              </w:rPr>
            </w:pPr>
            <w:r w:rsidRPr="008B1465">
              <w:rPr>
                <w:rFonts w:ascii="Times New Roman" w:eastAsia="Calibri" w:hAnsi="Times New Roman"/>
                <w:bCs/>
                <w:sz w:val="24"/>
                <w:szCs w:val="24"/>
              </w:rPr>
              <w:t>4</w:t>
            </w:r>
          </w:p>
        </w:tc>
      </w:tr>
      <w:tr w:rsidR="00FE62BF" w:rsidRPr="008B1465" w14:paraId="6D8F6BA8" w14:textId="77777777" w:rsidTr="00F933ED">
        <w:trPr>
          <w:trHeight w:val="337"/>
          <w:jc w:val="center"/>
        </w:trPr>
        <w:tc>
          <w:tcPr>
            <w:tcW w:w="2160" w:type="dxa"/>
          </w:tcPr>
          <w:p w14:paraId="29F12517" w14:textId="77777777" w:rsidR="00FE62BF" w:rsidRPr="008B1465" w:rsidRDefault="00FE62BF" w:rsidP="00F933ED">
            <w:pPr>
              <w:spacing w:after="0" w:line="360" w:lineRule="auto"/>
              <w:jc w:val="center"/>
              <w:rPr>
                <w:rFonts w:ascii="Times New Roman" w:eastAsia="Calibri" w:hAnsi="Times New Roman"/>
                <w:bCs/>
                <w:sz w:val="24"/>
                <w:szCs w:val="24"/>
              </w:rPr>
            </w:pPr>
            <w:r w:rsidRPr="008B1465">
              <w:rPr>
                <w:rFonts w:ascii="Times New Roman" w:eastAsia="Calibri" w:hAnsi="Times New Roman"/>
                <w:bCs/>
                <w:sz w:val="24"/>
                <w:szCs w:val="24"/>
              </w:rPr>
              <w:t>VMP</w:t>
            </w:r>
          </w:p>
        </w:tc>
        <w:tc>
          <w:tcPr>
            <w:tcW w:w="2621" w:type="dxa"/>
          </w:tcPr>
          <w:p w14:paraId="23289EED" w14:textId="77777777" w:rsidR="00FE62BF" w:rsidRPr="008B1465" w:rsidRDefault="00FE62BF" w:rsidP="00F933ED">
            <w:pPr>
              <w:spacing w:after="0" w:line="360" w:lineRule="auto"/>
              <w:jc w:val="center"/>
              <w:rPr>
                <w:rFonts w:ascii="Times New Roman" w:eastAsia="Calibri" w:hAnsi="Times New Roman"/>
                <w:bCs/>
                <w:sz w:val="24"/>
                <w:szCs w:val="24"/>
              </w:rPr>
            </w:pPr>
            <w:r w:rsidRPr="008B1465">
              <w:rPr>
                <w:rFonts w:ascii="Times New Roman" w:eastAsia="Calibri" w:hAnsi="Times New Roman"/>
                <w:bCs/>
                <w:sz w:val="24"/>
                <w:szCs w:val="24"/>
              </w:rPr>
              <w:t>0.871</w:t>
            </w:r>
          </w:p>
        </w:tc>
        <w:tc>
          <w:tcPr>
            <w:tcW w:w="2419" w:type="dxa"/>
          </w:tcPr>
          <w:p w14:paraId="6865AD15" w14:textId="77777777" w:rsidR="00FE62BF" w:rsidRPr="008B1465" w:rsidRDefault="00FE62BF" w:rsidP="00F933ED">
            <w:pPr>
              <w:spacing w:after="0" w:line="360" w:lineRule="auto"/>
              <w:jc w:val="center"/>
              <w:rPr>
                <w:rFonts w:ascii="Times New Roman" w:eastAsia="Calibri" w:hAnsi="Times New Roman"/>
                <w:bCs/>
                <w:sz w:val="24"/>
                <w:szCs w:val="24"/>
              </w:rPr>
            </w:pPr>
            <w:r>
              <w:rPr>
                <w:rFonts w:ascii="Times New Roman" w:eastAsia="Calibri" w:hAnsi="Times New Roman"/>
                <w:bCs/>
                <w:sz w:val="24"/>
                <w:szCs w:val="24"/>
              </w:rPr>
              <w:t>0.778</w:t>
            </w:r>
          </w:p>
        </w:tc>
        <w:tc>
          <w:tcPr>
            <w:tcW w:w="2070" w:type="dxa"/>
          </w:tcPr>
          <w:p w14:paraId="1FADE74E" w14:textId="77777777" w:rsidR="00FE62BF" w:rsidRPr="008B1465" w:rsidRDefault="00FE62BF" w:rsidP="00F933ED">
            <w:pPr>
              <w:spacing w:after="0" w:line="360" w:lineRule="auto"/>
              <w:jc w:val="center"/>
              <w:rPr>
                <w:rFonts w:ascii="Times New Roman" w:eastAsia="Calibri" w:hAnsi="Times New Roman"/>
                <w:bCs/>
                <w:sz w:val="24"/>
                <w:szCs w:val="24"/>
              </w:rPr>
            </w:pPr>
            <w:r w:rsidRPr="008B1465">
              <w:rPr>
                <w:rFonts w:ascii="Times New Roman" w:eastAsia="Calibri" w:hAnsi="Times New Roman"/>
                <w:bCs/>
                <w:sz w:val="24"/>
                <w:szCs w:val="24"/>
              </w:rPr>
              <w:t>7</w:t>
            </w:r>
          </w:p>
        </w:tc>
      </w:tr>
      <w:tr w:rsidR="00FE62BF" w:rsidRPr="008B1465" w14:paraId="4F5F9AC0" w14:textId="77777777" w:rsidTr="00F933ED">
        <w:trPr>
          <w:trHeight w:val="346"/>
          <w:jc w:val="center"/>
        </w:trPr>
        <w:tc>
          <w:tcPr>
            <w:tcW w:w="2160" w:type="dxa"/>
          </w:tcPr>
          <w:p w14:paraId="32220172" w14:textId="77777777" w:rsidR="00FE62BF" w:rsidRPr="008B1465" w:rsidRDefault="00FE62BF" w:rsidP="00F933ED">
            <w:pPr>
              <w:spacing w:after="0" w:line="360" w:lineRule="auto"/>
              <w:jc w:val="center"/>
              <w:rPr>
                <w:rFonts w:ascii="Times New Roman" w:eastAsia="Calibri" w:hAnsi="Times New Roman"/>
                <w:bCs/>
                <w:sz w:val="24"/>
                <w:szCs w:val="24"/>
              </w:rPr>
            </w:pPr>
            <w:r w:rsidRPr="008B1465">
              <w:rPr>
                <w:rFonts w:ascii="Times New Roman" w:eastAsia="Calibri" w:hAnsi="Times New Roman"/>
                <w:bCs/>
                <w:sz w:val="24"/>
                <w:szCs w:val="24"/>
              </w:rPr>
              <w:t>CAP</w:t>
            </w:r>
          </w:p>
        </w:tc>
        <w:tc>
          <w:tcPr>
            <w:tcW w:w="2621" w:type="dxa"/>
          </w:tcPr>
          <w:p w14:paraId="5D9E3E2A" w14:textId="77777777" w:rsidR="00FE62BF" w:rsidRPr="008B1465" w:rsidRDefault="00FE62BF" w:rsidP="00F933ED">
            <w:pPr>
              <w:spacing w:after="0" w:line="360" w:lineRule="auto"/>
              <w:jc w:val="center"/>
              <w:rPr>
                <w:rFonts w:ascii="Times New Roman" w:eastAsia="Calibri" w:hAnsi="Times New Roman"/>
                <w:bCs/>
                <w:sz w:val="24"/>
                <w:szCs w:val="24"/>
              </w:rPr>
            </w:pPr>
            <w:r w:rsidRPr="008B1465">
              <w:rPr>
                <w:rFonts w:ascii="Times New Roman" w:eastAsia="Calibri" w:hAnsi="Times New Roman"/>
                <w:bCs/>
                <w:sz w:val="24"/>
                <w:szCs w:val="24"/>
              </w:rPr>
              <w:t>0.790</w:t>
            </w:r>
          </w:p>
        </w:tc>
        <w:tc>
          <w:tcPr>
            <w:tcW w:w="2419" w:type="dxa"/>
          </w:tcPr>
          <w:p w14:paraId="1AC3C39A" w14:textId="77777777" w:rsidR="00FE62BF" w:rsidRPr="008B1465" w:rsidRDefault="00FE62BF" w:rsidP="00F933ED">
            <w:pPr>
              <w:spacing w:after="0" w:line="360" w:lineRule="auto"/>
              <w:jc w:val="center"/>
              <w:rPr>
                <w:rFonts w:ascii="Times New Roman" w:eastAsia="Calibri" w:hAnsi="Times New Roman"/>
                <w:bCs/>
                <w:sz w:val="24"/>
                <w:szCs w:val="24"/>
              </w:rPr>
            </w:pPr>
            <w:r>
              <w:rPr>
                <w:rFonts w:ascii="Times New Roman" w:eastAsia="Calibri" w:hAnsi="Times New Roman"/>
                <w:bCs/>
                <w:sz w:val="24"/>
                <w:szCs w:val="24"/>
              </w:rPr>
              <w:t>0.778</w:t>
            </w:r>
          </w:p>
        </w:tc>
        <w:tc>
          <w:tcPr>
            <w:tcW w:w="2070" w:type="dxa"/>
          </w:tcPr>
          <w:p w14:paraId="6333A576" w14:textId="77777777" w:rsidR="00FE62BF" w:rsidRPr="008B1465" w:rsidRDefault="00FE62BF" w:rsidP="00F933ED">
            <w:pPr>
              <w:spacing w:after="0" w:line="360" w:lineRule="auto"/>
              <w:jc w:val="center"/>
              <w:rPr>
                <w:rFonts w:ascii="Times New Roman" w:eastAsia="Calibri" w:hAnsi="Times New Roman"/>
                <w:bCs/>
                <w:sz w:val="24"/>
                <w:szCs w:val="24"/>
              </w:rPr>
            </w:pPr>
            <w:r w:rsidRPr="008B1465">
              <w:rPr>
                <w:rFonts w:ascii="Times New Roman" w:eastAsia="Calibri" w:hAnsi="Times New Roman"/>
                <w:bCs/>
                <w:sz w:val="24"/>
                <w:szCs w:val="24"/>
              </w:rPr>
              <w:t>6</w:t>
            </w:r>
          </w:p>
        </w:tc>
      </w:tr>
      <w:tr w:rsidR="00FE62BF" w:rsidRPr="008B1465" w14:paraId="5C52AF41" w14:textId="77777777" w:rsidTr="00F933ED">
        <w:trPr>
          <w:trHeight w:val="337"/>
          <w:jc w:val="center"/>
        </w:trPr>
        <w:tc>
          <w:tcPr>
            <w:tcW w:w="2160" w:type="dxa"/>
          </w:tcPr>
          <w:p w14:paraId="21C08D65" w14:textId="77777777" w:rsidR="00FE62BF" w:rsidRPr="008B1465" w:rsidRDefault="00FE62BF" w:rsidP="00F933ED">
            <w:pPr>
              <w:spacing w:after="0" w:line="360" w:lineRule="auto"/>
              <w:jc w:val="center"/>
              <w:rPr>
                <w:rFonts w:ascii="Times New Roman" w:eastAsia="Calibri" w:hAnsi="Times New Roman"/>
                <w:bCs/>
                <w:sz w:val="24"/>
                <w:szCs w:val="24"/>
              </w:rPr>
            </w:pPr>
            <w:r w:rsidRPr="008B1465">
              <w:rPr>
                <w:rFonts w:ascii="Times New Roman" w:eastAsia="Calibri" w:hAnsi="Times New Roman"/>
                <w:bCs/>
                <w:sz w:val="24"/>
                <w:szCs w:val="24"/>
              </w:rPr>
              <w:t>PP</w:t>
            </w:r>
          </w:p>
        </w:tc>
        <w:tc>
          <w:tcPr>
            <w:tcW w:w="2621" w:type="dxa"/>
          </w:tcPr>
          <w:p w14:paraId="72FD26C4" w14:textId="77777777" w:rsidR="00FE62BF" w:rsidRPr="008B1465" w:rsidRDefault="00FE62BF" w:rsidP="00F933ED">
            <w:pPr>
              <w:spacing w:after="0" w:line="360" w:lineRule="auto"/>
              <w:jc w:val="center"/>
              <w:rPr>
                <w:rFonts w:ascii="Times New Roman" w:eastAsia="Calibri" w:hAnsi="Times New Roman"/>
                <w:bCs/>
                <w:sz w:val="24"/>
                <w:szCs w:val="24"/>
              </w:rPr>
            </w:pPr>
            <w:r w:rsidRPr="008B1465">
              <w:rPr>
                <w:rFonts w:ascii="Times New Roman" w:eastAsia="Calibri" w:hAnsi="Times New Roman"/>
                <w:bCs/>
                <w:sz w:val="24"/>
                <w:szCs w:val="24"/>
              </w:rPr>
              <w:t>0.814</w:t>
            </w:r>
          </w:p>
        </w:tc>
        <w:tc>
          <w:tcPr>
            <w:tcW w:w="2419" w:type="dxa"/>
          </w:tcPr>
          <w:p w14:paraId="74C52D8D" w14:textId="77777777" w:rsidR="00FE62BF" w:rsidRPr="008B1465" w:rsidRDefault="00FE62BF" w:rsidP="00F933ED">
            <w:pPr>
              <w:spacing w:after="0" w:line="360" w:lineRule="auto"/>
              <w:jc w:val="center"/>
              <w:rPr>
                <w:rFonts w:ascii="Times New Roman" w:eastAsia="Calibri" w:hAnsi="Times New Roman"/>
                <w:bCs/>
                <w:sz w:val="24"/>
                <w:szCs w:val="24"/>
              </w:rPr>
            </w:pPr>
            <w:r>
              <w:rPr>
                <w:rFonts w:ascii="Times New Roman" w:eastAsia="Calibri" w:hAnsi="Times New Roman"/>
                <w:bCs/>
                <w:sz w:val="24"/>
                <w:szCs w:val="24"/>
              </w:rPr>
              <w:t>0.778</w:t>
            </w:r>
          </w:p>
        </w:tc>
        <w:tc>
          <w:tcPr>
            <w:tcW w:w="2070" w:type="dxa"/>
          </w:tcPr>
          <w:p w14:paraId="4B718045" w14:textId="77777777" w:rsidR="00FE62BF" w:rsidRPr="008B1465" w:rsidRDefault="00FE62BF" w:rsidP="00F933ED">
            <w:pPr>
              <w:spacing w:after="0" w:line="360" w:lineRule="auto"/>
              <w:jc w:val="center"/>
              <w:rPr>
                <w:rFonts w:ascii="Times New Roman" w:eastAsia="Calibri" w:hAnsi="Times New Roman"/>
                <w:bCs/>
                <w:sz w:val="24"/>
                <w:szCs w:val="24"/>
              </w:rPr>
            </w:pPr>
            <w:r w:rsidRPr="008B1465">
              <w:rPr>
                <w:rFonts w:ascii="Times New Roman" w:eastAsia="Calibri" w:hAnsi="Times New Roman"/>
                <w:bCs/>
                <w:sz w:val="24"/>
                <w:szCs w:val="24"/>
              </w:rPr>
              <w:t>7</w:t>
            </w:r>
          </w:p>
        </w:tc>
      </w:tr>
      <w:tr w:rsidR="00FE62BF" w:rsidRPr="008B1465" w14:paraId="6B00C5BC" w14:textId="77777777" w:rsidTr="00F933ED">
        <w:trPr>
          <w:trHeight w:val="337"/>
          <w:jc w:val="center"/>
        </w:trPr>
        <w:tc>
          <w:tcPr>
            <w:tcW w:w="2160" w:type="dxa"/>
          </w:tcPr>
          <w:p w14:paraId="6B1A48CC" w14:textId="77777777" w:rsidR="00FE62BF" w:rsidRPr="008B1465" w:rsidRDefault="00FE62BF" w:rsidP="00F933ED">
            <w:pPr>
              <w:spacing w:after="0" w:line="360" w:lineRule="auto"/>
              <w:jc w:val="center"/>
              <w:rPr>
                <w:rFonts w:ascii="Times New Roman" w:eastAsia="Calibri" w:hAnsi="Times New Roman"/>
                <w:bCs/>
                <w:sz w:val="24"/>
                <w:szCs w:val="24"/>
              </w:rPr>
            </w:pPr>
            <w:r w:rsidRPr="008B1465">
              <w:rPr>
                <w:rFonts w:ascii="Times New Roman" w:eastAsia="Calibri" w:hAnsi="Times New Roman"/>
                <w:bCs/>
                <w:sz w:val="24"/>
                <w:szCs w:val="24"/>
              </w:rPr>
              <w:t>FM</w:t>
            </w:r>
          </w:p>
        </w:tc>
        <w:tc>
          <w:tcPr>
            <w:tcW w:w="2621" w:type="dxa"/>
          </w:tcPr>
          <w:p w14:paraId="6A67A16F" w14:textId="77777777" w:rsidR="00FE62BF" w:rsidRPr="008B1465" w:rsidRDefault="00FE62BF" w:rsidP="00F933ED">
            <w:pPr>
              <w:spacing w:after="0" w:line="360" w:lineRule="auto"/>
              <w:jc w:val="center"/>
              <w:rPr>
                <w:rFonts w:ascii="Times New Roman" w:eastAsia="Calibri" w:hAnsi="Times New Roman"/>
                <w:bCs/>
                <w:sz w:val="24"/>
                <w:szCs w:val="24"/>
              </w:rPr>
            </w:pPr>
            <w:r w:rsidRPr="008B1465">
              <w:rPr>
                <w:rFonts w:ascii="Times New Roman" w:eastAsia="Calibri" w:hAnsi="Times New Roman"/>
                <w:bCs/>
                <w:sz w:val="24"/>
                <w:szCs w:val="24"/>
              </w:rPr>
              <w:t>0.909</w:t>
            </w:r>
          </w:p>
        </w:tc>
        <w:tc>
          <w:tcPr>
            <w:tcW w:w="2419" w:type="dxa"/>
          </w:tcPr>
          <w:p w14:paraId="24A90BBF" w14:textId="77777777" w:rsidR="00FE62BF" w:rsidRPr="008B1465" w:rsidRDefault="00FE62BF" w:rsidP="00F933ED">
            <w:pPr>
              <w:spacing w:after="0" w:line="360" w:lineRule="auto"/>
              <w:jc w:val="center"/>
              <w:rPr>
                <w:rFonts w:ascii="Times New Roman" w:eastAsia="Calibri" w:hAnsi="Times New Roman"/>
                <w:bCs/>
                <w:sz w:val="24"/>
                <w:szCs w:val="24"/>
              </w:rPr>
            </w:pPr>
            <w:r>
              <w:rPr>
                <w:rFonts w:ascii="Times New Roman" w:eastAsia="Calibri" w:hAnsi="Times New Roman"/>
                <w:bCs/>
                <w:sz w:val="24"/>
                <w:szCs w:val="24"/>
              </w:rPr>
              <w:t>0.778</w:t>
            </w:r>
          </w:p>
        </w:tc>
        <w:tc>
          <w:tcPr>
            <w:tcW w:w="2070" w:type="dxa"/>
          </w:tcPr>
          <w:p w14:paraId="043471DC" w14:textId="77777777" w:rsidR="00FE62BF" w:rsidRPr="008B1465" w:rsidRDefault="00FE62BF" w:rsidP="00F933ED">
            <w:pPr>
              <w:spacing w:after="0" w:line="360" w:lineRule="auto"/>
              <w:jc w:val="center"/>
              <w:rPr>
                <w:rFonts w:ascii="Times New Roman" w:eastAsia="Calibri" w:hAnsi="Times New Roman"/>
                <w:bCs/>
                <w:sz w:val="24"/>
                <w:szCs w:val="24"/>
              </w:rPr>
            </w:pPr>
            <w:r w:rsidRPr="008B1465">
              <w:rPr>
                <w:rFonts w:ascii="Times New Roman" w:eastAsia="Calibri" w:hAnsi="Times New Roman"/>
                <w:bCs/>
                <w:sz w:val="24"/>
                <w:szCs w:val="24"/>
              </w:rPr>
              <w:t>7</w:t>
            </w:r>
          </w:p>
        </w:tc>
      </w:tr>
    </w:tbl>
    <w:p w14:paraId="1B8EDFFC" w14:textId="31B1A3A7" w:rsidR="00FE62BF" w:rsidRPr="00FE62BF" w:rsidRDefault="00FE62BF" w:rsidP="00FE62BF">
      <w:pPr>
        <w:pStyle w:val="NoSpacing"/>
        <w:spacing w:line="360" w:lineRule="auto"/>
        <w:rPr>
          <w:rFonts w:asciiTheme="minorHAnsi" w:hAnsiTheme="minorHAnsi" w:cstheme="minorHAnsi"/>
          <w:b/>
          <w:bCs/>
          <w:sz w:val="18"/>
          <w:szCs w:val="18"/>
        </w:rPr>
      </w:pPr>
      <w:r w:rsidRPr="008B1465">
        <w:rPr>
          <w:rFonts w:ascii="Times New Roman" w:hAnsi="Times New Roman"/>
          <w:b/>
          <w:sz w:val="18"/>
          <w:szCs w:val="18"/>
        </w:rPr>
        <w:t xml:space="preserve">Source: Researcher’s field survey, 2023, SPSS 25.0 </w:t>
      </w:r>
      <w:r w:rsidRPr="008B1465">
        <w:rPr>
          <w:rFonts w:asciiTheme="minorHAnsi" w:hAnsiTheme="minorHAnsi" w:cstheme="minorHAnsi"/>
          <w:b/>
          <w:bCs/>
          <w:sz w:val="18"/>
          <w:szCs w:val="18"/>
        </w:rPr>
        <w:t>Version</w:t>
      </w:r>
    </w:p>
    <w:p w14:paraId="2DF019DA" w14:textId="5E2385B3" w:rsidR="00EA15EA"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Reliability, according to Newstrom (2011), is a function of the research instrument's degree of internal consistency.</w:t>
      </w:r>
      <w:bookmarkEnd w:id="96"/>
      <w:r w:rsidRPr="008B1465">
        <w:rPr>
          <w:rFonts w:ascii="Times New Roman" w:eastAsia="Calibri" w:hAnsi="Times New Roman"/>
          <w:bCs/>
          <w:sz w:val="24"/>
          <w:szCs w:val="24"/>
        </w:rPr>
        <w:t xml:space="preserve"> Additionally, he asserted that a survey instrument's reliability refers to its ability to yield consistent results. A high level of reliability is demonstrated by the consistency and similarity of the outcomes. This implies that the output or result of the procedure should be the same when the instrument is used consistently to acquire data. The instrument is regarded as dependable once this has been accomplished. </w:t>
      </w:r>
      <w:bookmarkStart w:id="98" w:name="_Hlk121252246"/>
      <w:r w:rsidRPr="008B1465">
        <w:rPr>
          <w:rFonts w:ascii="Times New Roman" w:eastAsia="Calibri" w:hAnsi="Times New Roman"/>
          <w:bCs/>
          <w:sz w:val="24"/>
          <w:szCs w:val="24"/>
        </w:rPr>
        <w:t xml:space="preserve">Cronbach's Alpha </w:t>
      </w:r>
      <w:bookmarkEnd w:id="98"/>
      <w:r w:rsidRPr="008B1465">
        <w:rPr>
          <w:rFonts w:ascii="Times New Roman" w:eastAsia="Calibri" w:hAnsi="Times New Roman"/>
          <w:bCs/>
          <w:sz w:val="24"/>
          <w:szCs w:val="24"/>
        </w:rPr>
        <w:t>coefficient w</w:t>
      </w:r>
      <w:r w:rsidR="002B3272" w:rsidRPr="008B1465">
        <w:rPr>
          <w:rFonts w:ascii="Times New Roman" w:eastAsia="Calibri" w:hAnsi="Times New Roman"/>
          <w:bCs/>
          <w:sz w:val="24"/>
          <w:szCs w:val="24"/>
        </w:rPr>
        <w:t>as</w:t>
      </w:r>
      <w:r w:rsidRPr="008B1465">
        <w:rPr>
          <w:rFonts w:ascii="Times New Roman" w:eastAsia="Calibri" w:hAnsi="Times New Roman"/>
          <w:bCs/>
          <w:sz w:val="24"/>
          <w:szCs w:val="24"/>
        </w:rPr>
        <w:t xml:space="preserve"> used to determine the research instrument's internal consistency after applying </w:t>
      </w:r>
      <w:r w:rsidR="00DC30B9" w:rsidRPr="008B1465">
        <w:rPr>
          <w:rFonts w:ascii="Times New Roman" w:eastAsia="Calibri" w:hAnsi="Times New Roman"/>
          <w:bCs/>
          <w:sz w:val="24"/>
          <w:szCs w:val="24"/>
        </w:rPr>
        <w:t>(</w:t>
      </w:r>
      <w:r w:rsidR="00F6453C" w:rsidRPr="008B1465">
        <w:rPr>
          <w:rFonts w:ascii="Times New Roman" w:hAnsi="Times New Roman"/>
          <w:sz w:val="24"/>
          <w:szCs w:val="24"/>
          <w:shd w:val="clear" w:color="auto" w:fill="FFFFFF"/>
        </w:rPr>
        <w:t xml:space="preserve">Malek, Mohamed, </w:t>
      </w:r>
      <w:r w:rsidR="00DC30B9" w:rsidRPr="008B1465">
        <w:rPr>
          <w:rFonts w:ascii="Times New Roman" w:hAnsi="Times New Roman"/>
          <w:sz w:val="24"/>
          <w:szCs w:val="24"/>
          <w:shd w:val="clear" w:color="auto" w:fill="FFFFFF"/>
        </w:rPr>
        <w:t>&amp;</w:t>
      </w:r>
      <w:r w:rsidR="00F6453C" w:rsidRPr="008B1465">
        <w:rPr>
          <w:rFonts w:ascii="Times New Roman" w:hAnsi="Times New Roman"/>
          <w:sz w:val="24"/>
          <w:szCs w:val="24"/>
          <w:shd w:val="clear" w:color="auto" w:fill="FFFFFF"/>
        </w:rPr>
        <w:t xml:space="preserve"> Ekiz</w:t>
      </w:r>
      <w:r w:rsidR="00DC30B9" w:rsidRPr="008B1465">
        <w:rPr>
          <w:rFonts w:ascii="Times New Roman" w:hAnsi="Times New Roman"/>
          <w:sz w:val="24"/>
          <w:szCs w:val="24"/>
          <w:shd w:val="clear" w:color="auto" w:fill="FFFFFF"/>
        </w:rPr>
        <w:t>,</w:t>
      </w:r>
      <w:r w:rsidR="00F6453C" w:rsidRPr="008B1465">
        <w:rPr>
          <w:rFonts w:ascii="Times New Roman" w:hAnsi="Times New Roman"/>
          <w:sz w:val="24"/>
          <w:szCs w:val="24"/>
          <w:shd w:val="clear" w:color="auto" w:fill="FFFFFF"/>
        </w:rPr>
        <w:t xml:space="preserve"> 2011) </w:t>
      </w:r>
      <w:r w:rsidRPr="008B1465">
        <w:rPr>
          <w:rFonts w:ascii="Times New Roman" w:eastAsia="Calibri" w:hAnsi="Times New Roman"/>
          <w:bCs/>
          <w:sz w:val="24"/>
          <w:szCs w:val="24"/>
        </w:rPr>
        <w:t xml:space="preserve">study recommendations. In order to determine the reliability of the study instrument, a pilot study </w:t>
      </w:r>
      <w:r w:rsidR="00D46236" w:rsidRPr="008B1465">
        <w:rPr>
          <w:rFonts w:ascii="Times New Roman" w:eastAsia="Calibri" w:hAnsi="Times New Roman"/>
          <w:bCs/>
          <w:sz w:val="24"/>
          <w:szCs w:val="24"/>
        </w:rPr>
        <w:t xml:space="preserve">was </w:t>
      </w:r>
      <w:r w:rsidR="00FC4C3F" w:rsidRPr="008B1465">
        <w:rPr>
          <w:rFonts w:ascii="Times New Roman" w:eastAsia="Calibri" w:hAnsi="Times New Roman"/>
          <w:bCs/>
          <w:sz w:val="24"/>
          <w:szCs w:val="24"/>
        </w:rPr>
        <w:t xml:space="preserve">undertaken among </w:t>
      </w:r>
      <w:r w:rsidRPr="008B1465">
        <w:rPr>
          <w:rFonts w:ascii="Times New Roman" w:eastAsia="Calibri" w:hAnsi="Times New Roman"/>
          <w:bCs/>
          <w:sz w:val="24"/>
          <w:szCs w:val="24"/>
        </w:rPr>
        <w:t xml:space="preserve">two </w:t>
      </w:r>
      <w:r w:rsidR="00FC4C3F" w:rsidRPr="008B1465">
        <w:rPr>
          <w:rFonts w:ascii="Times New Roman" w:eastAsia="Calibri" w:hAnsi="Times New Roman"/>
          <w:bCs/>
          <w:sz w:val="24"/>
          <w:szCs w:val="24"/>
        </w:rPr>
        <w:t>state owned public universities i</w:t>
      </w:r>
      <w:r w:rsidRPr="008B1465">
        <w:rPr>
          <w:rFonts w:ascii="Times New Roman" w:eastAsia="Calibri" w:hAnsi="Times New Roman"/>
          <w:bCs/>
          <w:sz w:val="24"/>
          <w:szCs w:val="24"/>
        </w:rPr>
        <w:t>n Southw</w:t>
      </w:r>
      <w:r w:rsidR="00FC4C3F" w:rsidRPr="008B1465">
        <w:rPr>
          <w:rFonts w:ascii="Times New Roman" w:eastAsia="Calibri" w:hAnsi="Times New Roman"/>
          <w:bCs/>
          <w:sz w:val="24"/>
          <w:szCs w:val="24"/>
        </w:rPr>
        <w:t>est, Nigeria</w:t>
      </w:r>
      <w:r w:rsidRPr="008B1465">
        <w:rPr>
          <w:rFonts w:ascii="Times New Roman" w:eastAsia="Calibri" w:hAnsi="Times New Roman"/>
          <w:bCs/>
          <w:sz w:val="24"/>
          <w:szCs w:val="24"/>
        </w:rPr>
        <w:t xml:space="preserve">. From the two </w:t>
      </w:r>
      <w:r w:rsidR="00FC4C3F" w:rsidRPr="008B1465">
        <w:rPr>
          <w:rFonts w:ascii="Times New Roman" w:eastAsia="Calibri" w:hAnsi="Times New Roman"/>
          <w:bCs/>
          <w:sz w:val="24"/>
          <w:szCs w:val="24"/>
        </w:rPr>
        <w:t>U</w:t>
      </w:r>
      <w:r w:rsidRPr="008B1465">
        <w:rPr>
          <w:rFonts w:ascii="Times New Roman" w:eastAsia="Calibri" w:hAnsi="Times New Roman"/>
          <w:bCs/>
          <w:sz w:val="24"/>
          <w:szCs w:val="24"/>
        </w:rPr>
        <w:t>nivers</w:t>
      </w:r>
      <w:r w:rsidR="00FC4C3F" w:rsidRPr="008B1465">
        <w:rPr>
          <w:rFonts w:ascii="Times New Roman" w:eastAsia="Calibri" w:hAnsi="Times New Roman"/>
          <w:bCs/>
          <w:sz w:val="24"/>
          <w:szCs w:val="24"/>
        </w:rPr>
        <w:t>ities for the pilot study, twenty</w:t>
      </w:r>
      <w:r w:rsidR="00E911E5" w:rsidRPr="008B1465">
        <w:rPr>
          <w:rFonts w:ascii="Times New Roman" w:eastAsia="Calibri" w:hAnsi="Times New Roman"/>
          <w:bCs/>
          <w:sz w:val="24"/>
          <w:szCs w:val="24"/>
        </w:rPr>
        <w:t xml:space="preserve"> (20</w:t>
      </w:r>
      <w:r w:rsidRPr="008B1465">
        <w:rPr>
          <w:rFonts w:ascii="Times New Roman" w:eastAsia="Calibri" w:hAnsi="Times New Roman"/>
          <w:bCs/>
          <w:sz w:val="24"/>
          <w:szCs w:val="24"/>
        </w:rPr>
        <w:t xml:space="preserve">) respondents </w:t>
      </w:r>
      <w:r w:rsidR="00E911E5" w:rsidRPr="008B1465">
        <w:rPr>
          <w:rFonts w:ascii="Times New Roman" w:eastAsia="Calibri" w:hAnsi="Times New Roman"/>
          <w:bCs/>
          <w:sz w:val="24"/>
          <w:szCs w:val="24"/>
        </w:rPr>
        <w:t xml:space="preserve">from </w:t>
      </w:r>
      <w:r w:rsidRPr="008B1465">
        <w:rPr>
          <w:rFonts w:ascii="Times New Roman" w:eastAsia="Calibri" w:hAnsi="Times New Roman"/>
          <w:bCs/>
          <w:sz w:val="24"/>
          <w:szCs w:val="24"/>
        </w:rPr>
        <w:t xml:space="preserve">each </w:t>
      </w:r>
      <w:r w:rsidR="00E911E5" w:rsidRPr="008B1465">
        <w:rPr>
          <w:rFonts w:ascii="Times New Roman" w:eastAsia="Calibri" w:hAnsi="Times New Roman"/>
          <w:bCs/>
          <w:sz w:val="24"/>
          <w:szCs w:val="24"/>
        </w:rPr>
        <w:t>University giving a total of forty</w:t>
      </w:r>
      <w:r w:rsidRPr="008B1465">
        <w:rPr>
          <w:rFonts w:ascii="Times New Roman" w:eastAsia="Calibri" w:hAnsi="Times New Roman"/>
          <w:bCs/>
          <w:sz w:val="24"/>
          <w:szCs w:val="24"/>
        </w:rPr>
        <w:t xml:space="preserve"> respondents</w:t>
      </w:r>
      <w:r w:rsidR="00671B39" w:rsidRPr="008B1465">
        <w:rPr>
          <w:rFonts w:ascii="Times New Roman" w:eastAsia="Calibri" w:hAnsi="Times New Roman"/>
          <w:bCs/>
          <w:sz w:val="24"/>
          <w:szCs w:val="24"/>
        </w:rPr>
        <w:t>.</w:t>
      </w:r>
      <w:r w:rsidR="00E911E5" w:rsidRPr="008B1465">
        <w:rPr>
          <w:rFonts w:ascii="Times New Roman" w:eastAsia="Calibri" w:hAnsi="Times New Roman"/>
          <w:bCs/>
          <w:sz w:val="24"/>
          <w:szCs w:val="24"/>
        </w:rPr>
        <w:t xml:space="preserve"> The</w:t>
      </w:r>
      <w:r w:rsidRPr="008B1465">
        <w:rPr>
          <w:rFonts w:ascii="Times New Roman" w:eastAsia="Calibri" w:hAnsi="Times New Roman"/>
          <w:bCs/>
          <w:sz w:val="24"/>
          <w:szCs w:val="24"/>
        </w:rPr>
        <w:t xml:space="preserve"> rese</w:t>
      </w:r>
      <w:r w:rsidR="00E911E5" w:rsidRPr="008B1465">
        <w:rPr>
          <w:rFonts w:ascii="Times New Roman" w:eastAsia="Calibri" w:hAnsi="Times New Roman"/>
          <w:bCs/>
          <w:sz w:val="24"/>
          <w:szCs w:val="24"/>
        </w:rPr>
        <w:t xml:space="preserve">arch instrument </w:t>
      </w:r>
      <w:r w:rsidR="00DE0864" w:rsidRPr="008B1465">
        <w:rPr>
          <w:rFonts w:ascii="Times New Roman" w:eastAsia="Calibri" w:hAnsi="Times New Roman"/>
          <w:bCs/>
          <w:sz w:val="24"/>
          <w:szCs w:val="24"/>
        </w:rPr>
        <w:t>was</w:t>
      </w:r>
      <w:r w:rsidR="00E911E5" w:rsidRPr="008B1465">
        <w:rPr>
          <w:rFonts w:ascii="Times New Roman" w:eastAsia="Calibri" w:hAnsi="Times New Roman"/>
          <w:bCs/>
          <w:sz w:val="24"/>
          <w:szCs w:val="24"/>
        </w:rPr>
        <w:t xml:space="preserve"> administered on those forty </w:t>
      </w:r>
      <w:r w:rsidRPr="008B1465">
        <w:rPr>
          <w:rFonts w:ascii="Times New Roman" w:eastAsia="Calibri" w:hAnsi="Times New Roman"/>
          <w:bCs/>
          <w:sz w:val="24"/>
          <w:szCs w:val="24"/>
        </w:rPr>
        <w:t xml:space="preserve">respondents, and thereafter analyzed </w:t>
      </w:r>
      <w:r w:rsidR="00E911E5" w:rsidRPr="008B1465">
        <w:rPr>
          <w:rFonts w:ascii="Times New Roman" w:eastAsia="Calibri" w:hAnsi="Times New Roman"/>
          <w:bCs/>
          <w:sz w:val="24"/>
          <w:szCs w:val="24"/>
        </w:rPr>
        <w:t xml:space="preserve">to determine </w:t>
      </w:r>
      <w:r w:rsidRPr="008B1465">
        <w:rPr>
          <w:rFonts w:ascii="Times New Roman" w:eastAsia="Calibri" w:hAnsi="Times New Roman"/>
          <w:bCs/>
          <w:sz w:val="24"/>
          <w:szCs w:val="24"/>
        </w:rPr>
        <w:t xml:space="preserve">the Cronbach Alpha. Using the results of the pilot study, based on the alpha coefficient of the instrument as a whole, and that of each variable, the internal consistency of the study instrument </w:t>
      </w:r>
      <w:r w:rsidR="005807B4" w:rsidRPr="008B1465">
        <w:rPr>
          <w:rFonts w:ascii="Times New Roman" w:eastAsia="Calibri" w:hAnsi="Times New Roman"/>
          <w:bCs/>
          <w:sz w:val="24"/>
          <w:szCs w:val="24"/>
        </w:rPr>
        <w:t xml:space="preserve">was </w:t>
      </w:r>
      <w:r w:rsidRPr="008B1465">
        <w:rPr>
          <w:rFonts w:ascii="Times New Roman" w:eastAsia="Calibri" w:hAnsi="Times New Roman"/>
          <w:bCs/>
          <w:sz w:val="24"/>
          <w:szCs w:val="24"/>
        </w:rPr>
        <w:t xml:space="preserve">determined. The Cronbach alpha for the scales used in this study </w:t>
      </w:r>
      <w:r w:rsidR="00AC0990" w:rsidRPr="008B1465">
        <w:rPr>
          <w:rFonts w:ascii="Times New Roman" w:eastAsia="Calibri" w:hAnsi="Times New Roman"/>
          <w:bCs/>
          <w:sz w:val="24"/>
          <w:szCs w:val="24"/>
        </w:rPr>
        <w:t>were</w:t>
      </w:r>
      <w:r w:rsidR="00720D51">
        <w:rPr>
          <w:rFonts w:ascii="Times New Roman" w:eastAsia="Calibri" w:hAnsi="Times New Roman"/>
          <w:bCs/>
          <w:sz w:val="24"/>
          <w:szCs w:val="24"/>
        </w:rPr>
        <w:t xml:space="preserve"> based on the average</w:t>
      </w:r>
      <w:r w:rsidR="0008416C">
        <w:rPr>
          <w:rFonts w:ascii="Times New Roman" w:eastAsia="Calibri" w:hAnsi="Times New Roman"/>
          <w:bCs/>
          <w:sz w:val="24"/>
          <w:szCs w:val="24"/>
        </w:rPr>
        <w:t xml:space="preserve"> </w:t>
      </w:r>
      <w:r w:rsidR="006B5DE4">
        <w:rPr>
          <w:rFonts w:ascii="Times New Roman" w:eastAsia="Calibri" w:hAnsi="Times New Roman"/>
          <w:bCs/>
          <w:sz w:val="24"/>
          <w:szCs w:val="24"/>
        </w:rPr>
        <w:t>(0.778)</w:t>
      </w:r>
      <w:r w:rsidR="00720D51">
        <w:rPr>
          <w:rFonts w:ascii="Times New Roman" w:eastAsia="Calibri" w:hAnsi="Times New Roman"/>
          <w:bCs/>
          <w:sz w:val="24"/>
          <w:szCs w:val="24"/>
        </w:rPr>
        <w:t xml:space="preserve"> </w:t>
      </w:r>
      <w:r w:rsidR="00F51957">
        <w:rPr>
          <w:rFonts w:ascii="Times New Roman" w:eastAsia="Calibri" w:hAnsi="Times New Roman"/>
          <w:bCs/>
          <w:sz w:val="24"/>
          <w:szCs w:val="24"/>
        </w:rPr>
        <w:t>because one</w:t>
      </w:r>
      <w:r w:rsidR="007D3C23">
        <w:rPr>
          <w:rFonts w:ascii="Times New Roman" w:eastAsia="Calibri" w:hAnsi="Times New Roman"/>
          <w:bCs/>
          <w:sz w:val="24"/>
          <w:szCs w:val="24"/>
        </w:rPr>
        <w:t xml:space="preserve"> </w:t>
      </w:r>
      <w:r w:rsidR="00EA547F">
        <w:rPr>
          <w:rFonts w:ascii="Times New Roman" w:eastAsia="Calibri" w:hAnsi="Times New Roman"/>
          <w:bCs/>
          <w:sz w:val="24"/>
          <w:szCs w:val="24"/>
        </w:rPr>
        <w:t xml:space="preserve">the variables </w:t>
      </w:r>
      <w:r w:rsidR="007D3C23">
        <w:rPr>
          <w:rFonts w:ascii="Times New Roman" w:eastAsia="Calibri" w:hAnsi="Times New Roman"/>
          <w:bCs/>
          <w:sz w:val="24"/>
          <w:szCs w:val="24"/>
        </w:rPr>
        <w:t>(Accounting and Digital Environment</w:t>
      </w:r>
      <w:r w:rsidR="00EA547F">
        <w:rPr>
          <w:rFonts w:ascii="Times New Roman" w:eastAsia="Calibri" w:hAnsi="Times New Roman"/>
          <w:bCs/>
          <w:sz w:val="24"/>
          <w:szCs w:val="24"/>
        </w:rPr>
        <w:t>s</w:t>
      </w:r>
      <w:r w:rsidR="007D3C23">
        <w:rPr>
          <w:rFonts w:ascii="Times New Roman" w:eastAsia="Calibri" w:hAnsi="Times New Roman"/>
          <w:bCs/>
          <w:sz w:val="24"/>
          <w:szCs w:val="24"/>
        </w:rPr>
        <w:t>)</w:t>
      </w:r>
      <w:r w:rsidR="00F51957">
        <w:rPr>
          <w:rFonts w:ascii="Times New Roman" w:eastAsia="Calibri" w:hAnsi="Times New Roman"/>
          <w:bCs/>
          <w:sz w:val="24"/>
          <w:szCs w:val="24"/>
        </w:rPr>
        <w:t xml:space="preserve"> fall below</w:t>
      </w:r>
      <w:r w:rsidR="00533A31">
        <w:rPr>
          <w:rFonts w:ascii="Times New Roman" w:eastAsia="Calibri" w:hAnsi="Times New Roman"/>
          <w:bCs/>
          <w:sz w:val="24"/>
          <w:szCs w:val="24"/>
        </w:rPr>
        <w:t xml:space="preserve"> 0.7, hence </w:t>
      </w:r>
      <w:r w:rsidR="006B5DE4">
        <w:rPr>
          <w:rFonts w:ascii="Times New Roman" w:eastAsia="Calibri" w:hAnsi="Times New Roman"/>
          <w:bCs/>
          <w:sz w:val="24"/>
          <w:szCs w:val="24"/>
        </w:rPr>
        <w:t>average</w:t>
      </w:r>
      <w:r w:rsidR="0008416C">
        <w:rPr>
          <w:rFonts w:ascii="Times New Roman" w:eastAsia="Calibri" w:hAnsi="Times New Roman"/>
          <w:bCs/>
          <w:sz w:val="24"/>
          <w:szCs w:val="24"/>
        </w:rPr>
        <w:t>s</w:t>
      </w:r>
      <w:r w:rsidR="006B5DE4">
        <w:rPr>
          <w:rFonts w:ascii="Times New Roman" w:eastAsia="Calibri" w:hAnsi="Times New Roman"/>
          <w:bCs/>
          <w:sz w:val="24"/>
          <w:szCs w:val="24"/>
        </w:rPr>
        <w:t xml:space="preserve"> were used</w:t>
      </w:r>
      <w:r w:rsidR="005C305F">
        <w:rPr>
          <w:rFonts w:ascii="Times New Roman" w:eastAsia="Calibri" w:hAnsi="Times New Roman"/>
          <w:bCs/>
          <w:sz w:val="24"/>
          <w:szCs w:val="24"/>
        </w:rPr>
        <w:t xml:space="preserve">, </w:t>
      </w:r>
      <w:r w:rsidR="00924A42" w:rsidRPr="008B1465">
        <w:rPr>
          <w:rFonts w:ascii="Times New Roman" w:eastAsia="Calibri" w:hAnsi="Times New Roman"/>
          <w:bCs/>
          <w:sz w:val="24"/>
          <w:szCs w:val="24"/>
        </w:rPr>
        <w:t>establishing the reliability of the instrument</w:t>
      </w:r>
      <w:r w:rsidRPr="008B1465">
        <w:rPr>
          <w:rFonts w:ascii="Times New Roman" w:eastAsia="Calibri" w:hAnsi="Times New Roman"/>
          <w:bCs/>
          <w:sz w:val="24"/>
          <w:szCs w:val="24"/>
        </w:rPr>
        <w:t>.</w:t>
      </w:r>
    </w:p>
    <w:p w14:paraId="39717394" w14:textId="6D8ADC82" w:rsidR="001616E5" w:rsidRPr="008B1465" w:rsidRDefault="003F05E3" w:rsidP="007541CB">
      <w:pPr>
        <w:pStyle w:val="Heading2"/>
        <w:spacing w:line="360" w:lineRule="auto"/>
        <w:rPr>
          <w:rFonts w:cs="Times New Roman"/>
          <w:sz w:val="24"/>
          <w:szCs w:val="24"/>
        </w:rPr>
      </w:pPr>
      <w:bookmarkStart w:id="99" w:name="_Toc145951117"/>
      <w:r w:rsidRPr="008B1465">
        <w:rPr>
          <w:rFonts w:cs="Times New Roman"/>
          <w:sz w:val="24"/>
          <w:szCs w:val="24"/>
        </w:rPr>
        <w:t>Method of Data Analysis</w:t>
      </w:r>
      <w:bookmarkEnd w:id="99"/>
    </w:p>
    <w:p w14:paraId="506BCEC1" w14:textId="4BE62269" w:rsidR="001616E5" w:rsidRPr="008B1465" w:rsidRDefault="00203455"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The study </w:t>
      </w:r>
      <w:r w:rsidR="003F05E3" w:rsidRPr="008B1465">
        <w:rPr>
          <w:rFonts w:ascii="Times New Roman" w:eastAsia="Calibri" w:hAnsi="Times New Roman"/>
          <w:bCs/>
          <w:sz w:val="24"/>
          <w:szCs w:val="24"/>
        </w:rPr>
        <w:t>employ</w:t>
      </w:r>
      <w:r w:rsidRPr="008B1465">
        <w:rPr>
          <w:rFonts w:ascii="Times New Roman" w:eastAsia="Calibri" w:hAnsi="Times New Roman"/>
          <w:bCs/>
          <w:sz w:val="24"/>
          <w:szCs w:val="24"/>
        </w:rPr>
        <w:t>ed</w:t>
      </w:r>
      <w:r w:rsidR="003F05E3" w:rsidRPr="008B1465">
        <w:rPr>
          <w:rFonts w:ascii="Times New Roman" w:eastAsia="Calibri" w:hAnsi="Times New Roman"/>
          <w:bCs/>
          <w:sz w:val="24"/>
          <w:szCs w:val="24"/>
        </w:rPr>
        <w:t xml:space="preserve"> quantitative method of analysis with the aid o</w:t>
      </w:r>
      <w:r w:rsidR="00B50DAB" w:rsidRPr="008B1465">
        <w:rPr>
          <w:rFonts w:ascii="Times New Roman" w:eastAsia="Calibri" w:hAnsi="Times New Roman"/>
          <w:bCs/>
          <w:sz w:val="24"/>
          <w:szCs w:val="24"/>
        </w:rPr>
        <w:t xml:space="preserve">f SPSS software. The study </w:t>
      </w:r>
      <w:r w:rsidR="003F05E3" w:rsidRPr="008B1465">
        <w:rPr>
          <w:rFonts w:ascii="Times New Roman" w:eastAsia="Calibri" w:hAnsi="Times New Roman"/>
          <w:bCs/>
          <w:sz w:val="24"/>
          <w:szCs w:val="24"/>
        </w:rPr>
        <w:t>use</w:t>
      </w:r>
      <w:r w:rsidR="00B50DAB" w:rsidRPr="008B1465">
        <w:rPr>
          <w:rFonts w:ascii="Times New Roman" w:eastAsia="Calibri" w:hAnsi="Times New Roman"/>
          <w:bCs/>
          <w:sz w:val="24"/>
          <w:szCs w:val="24"/>
        </w:rPr>
        <w:t>d</w:t>
      </w:r>
      <w:r w:rsidR="003F05E3" w:rsidRPr="008B1465">
        <w:rPr>
          <w:rFonts w:ascii="Times New Roman" w:eastAsia="Calibri" w:hAnsi="Times New Roman"/>
          <w:bCs/>
          <w:sz w:val="24"/>
          <w:szCs w:val="24"/>
        </w:rPr>
        <w:t xml:space="preserve"> descriptive analysis </w:t>
      </w:r>
      <w:r w:rsidR="00671B39" w:rsidRPr="008B1465">
        <w:rPr>
          <w:rFonts w:ascii="Times New Roman" w:eastAsia="Calibri" w:hAnsi="Times New Roman"/>
          <w:bCs/>
          <w:sz w:val="24"/>
          <w:szCs w:val="24"/>
        </w:rPr>
        <w:t xml:space="preserve">to </w:t>
      </w:r>
      <w:r w:rsidR="003F05E3" w:rsidRPr="008B1465">
        <w:rPr>
          <w:rFonts w:ascii="Times New Roman" w:eastAsia="Calibri" w:hAnsi="Times New Roman"/>
          <w:bCs/>
          <w:sz w:val="24"/>
          <w:szCs w:val="24"/>
        </w:rPr>
        <w:t>arriv</w:t>
      </w:r>
      <w:r w:rsidR="00671B39" w:rsidRPr="008B1465">
        <w:rPr>
          <w:rFonts w:ascii="Times New Roman" w:eastAsia="Calibri" w:hAnsi="Times New Roman"/>
          <w:bCs/>
          <w:sz w:val="24"/>
          <w:szCs w:val="24"/>
        </w:rPr>
        <w:t>e</w:t>
      </w:r>
      <w:r w:rsidR="003F05E3" w:rsidRPr="008B1465">
        <w:rPr>
          <w:rFonts w:ascii="Times New Roman" w:eastAsia="Calibri" w:hAnsi="Times New Roman"/>
          <w:bCs/>
          <w:sz w:val="24"/>
          <w:szCs w:val="24"/>
        </w:rPr>
        <w:t xml:space="preserve"> at the mean, maximum, minimum, skewness, and kurtosis of the primary data that </w:t>
      </w:r>
      <w:r w:rsidR="00E0120E" w:rsidRPr="008B1465">
        <w:rPr>
          <w:rFonts w:ascii="Times New Roman" w:eastAsia="Calibri" w:hAnsi="Times New Roman"/>
          <w:bCs/>
          <w:sz w:val="24"/>
          <w:szCs w:val="24"/>
        </w:rPr>
        <w:t>were</w:t>
      </w:r>
      <w:r w:rsidR="003F05E3" w:rsidRPr="008B1465">
        <w:rPr>
          <w:rFonts w:ascii="Times New Roman" w:eastAsia="Calibri" w:hAnsi="Times New Roman"/>
          <w:bCs/>
          <w:sz w:val="24"/>
          <w:szCs w:val="24"/>
        </w:rPr>
        <w:t xml:space="preserve"> gathered. The major r</w:t>
      </w:r>
      <w:r w:rsidR="00F26E60" w:rsidRPr="008B1465">
        <w:rPr>
          <w:rFonts w:ascii="Times New Roman" w:eastAsia="Calibri" w:hAnsi="Times New Roman"/>
          <w:bCs/>
          <w:sz w:val="24"/>
          <w:szCs w:val="24"/>
        </w:rPr>
        <w:t>eason for descriptive analysis wa</w:t>
      </w:r>
      <w:r w:rsidR="003F05E3" w:rsidRPr="008B1465">
        <w:rPr>
          <w:rFonts w:ascii="Times New Roman" w:eastAsia="Calibri" w:hAnsi="Times New Roman"/>
          <w:bCs/>
          <w:sz w:val="24"/>
          <w:szCs w:val="24"/>
        </w:rPr>
        <w:t>s to find the average values and standard deviation of both the forensic accounting techniques and financial misconduct variables across all sampled respondents from the different universities for the study.</w:t>
      </w:r>
      <w:r w:rsidR="0068364C" w:rsidRPr="008B1465">
        <w:rPr>
          <w:rFonts w:ascii="Times New Roman" w:eastAsia="Calibri" w:hAnsi="Times New Roman"/>
          <w:bCs/>
          <w:sz w:val="24"/>
          <w:szCs w:val="24"/>
        </w:rPr>
        <w:t xml:space="preserve"> The study’s hypotheses w</w:t>
      </w:r>
      <w:r w:rsidR="00070DE8" w:rsidRPr="008B1465">
        <w:rPr>
          <w:rFonts w:ascii="Times New Roman" w:eastAsia="Calibri" w:hAnsi="Times New Roman"/>
          <w:bCs/>
          <w:sz w:val="24"/>
          <w:szCs w:val="24"/>
        </w:rPr>
        <w:t>ere</w:t>
      </w:r>
      <w:r w:rsidR="003F05E3" w:rsidRPr="008B1465">
        <w:rPr>
          <w:rFonts w:ascii="Times New Roman" w:eastAsia="Calibri" w:hAnsi="Times New Roman"/>
          <w:bCs/>
          <w:sz w:val="24"/>
          <w:szCs w:val="24"/>
        </w:rPr>
        <w:t xml:space="preserve"> tested using descriptive and inferential statistics. The Variance Inflation Factor (VIF) tes</w:t>
      </w:r>
      <w:r w:rsidR="00561340" w:rsidRPr="008B1465">
        <w:rPr>
          <w:rFonts w:ascii="Times New Roman" w:eastAsia="Calibri" w:hAnsi="Times New Roman"/>
          <w:bCs/>
          <w:sz w:val="24"/>
          <w:szCs w:val="24"/>
        </w:rPr>
        <w:t xml:space="preserve">t for multicollinearity was </w:t>
      </w:r>
      <w:r w:rsidR="003F05E3" w:rsidRPr="008B1465">
        <w:rPr>
          <w:rFonts w:ascii="Times New Roman" w:eastAsia="Calibri" w:hAnsi="Times New Roman"/>
          <w:bCs/>
          <w:sz w:val="24"/>
          <w:szCs w:val="24"/>
        </w:rPr>
        <w:t>conducted for each regression model. For all the hypotheses in this study, multiple regre</w:t>
      </w:r>
      <w:r w:rsidR="00132295" w:rsidRPr="008B1465">
        <w:rPr>
          <w:rFonts w:ascii="Times New Roman" w:eastAsia="Calibri" w:hAnsi="Times New Roman"/>
          <w:bCs/>
          <w:sz w:val="24"/>
          <w:szCs w:val="24"/>
        </w:rPr>
        <w:t>ssion method of analysis was</w:t>
      </w:r>
      <w:r w:rsidR="0077531D" w:rsidRPr="008B1465">
        <w:rPr>
          <w:rFonts w:ascii="Times New Roman" w:eastAsia="Calibri" w:hAnsi="Times New Roman"/>
          <w:bCs/>
          <w:sz w:val="24"/>
          <w:szCs w:val="24"/>
        </w:rPr>
        <w:t xml:space="preserve"> employed and the tests w</w:t>
      </w:r>
      <w:r w:rsidR="00BB79E2" w:rsidRPr="008B1465">
        <w:rPr>
          <w:rFonts w:ascii="Times New Roman" w:eastAsia="Calibri" w:hAnsi="Times New Roman"/>
          <w:bCs/>
          <w:sz w:val="24"/>
          <w:szCs w:val="24"/>
        </w:rPr>
        <w:t xml:space="preserve">ere </w:t>
      </w:r>
      <w:r w:rsidR="003F05E3" w:rsidRPr="008B1465">
        <w:rPr>
          <w:rFonts w:ascii="Times New Roman" w:eastAsia="Calibri" w:hAnsi="Times New Roman"/>
          <w:bCs/>
          <w:sz w:val="24"/>
          <w:szCs w:val="24"/>
        </w:rPr>
        <w:t xml:space="preserve">conducted at 5% significance level.  </w:t>
      </w:r>
    </w:p>
    <w:p w14:paraId="52E7A1B9" w14:textId="4E6E5DB5" w:rsidR="001616E5" w:rsidRPr="008B1465" w:rsidRDefault="003F05E3" w:rsidP="007541CB">
      <w:pPr>
        <w:pStyle w:val="Heading2"/>
        <w:spacing w:line="360" w:lineRule="auto"/>
        <w:rPr>
          <w:rFonts w:cs="Times New Roman"/>
          <w:sz w:val="24"/>
          <w:szCs w:val="24"/>
        </w:rPr>
      </w:pPr>
      <w:bookmarkStart w:id="100" w:name="_Toc145951118"/>
      <w:r w:rsidRPr="008B1465">
        <w:rPr>
          <w:rFonts w:cs="Times New Roman"/>
          <w:sz w:val="24"/>
          <w:szCs w:val="24"/>
        </w:rPr>
        <w:t>Model Specification</w:t>
      </w:r>
      <w:bookmarkEnd w:id="100"/>
    </w:p>
    <w:p w14:paraId="1B34075B" w14:textId="1E6415D6"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There are two types of variable involved in this study, namely, the dependent variable and the independent variable. The independent variable is forensic accounting techniques with the proxies including Investigation </w:t>
      </w:r>
      <w:r w:rsidR="0081122B" w:rsidRPr="008B1465">
        <w:rPr>
          <w:rFonts w:ascii="Times New Roman" w:eastAsia="Calibri" w:hAnsi="Times New Roman"/>
          <w:bCs/>
          <w:sz w:val="24"/>
          <w:szCs w:val="24"/>
        </w:rPr>
        <w:t>o</w:t>
      </w:r>
      <w:r w:rsidRPr="008B1465">
        <w:rPr>
          <w:rFonts w:ascii="Times New Roman" w:eastAsia="Calibri" w:hAnsi="Times New Roman"/>
          <w:bCs/>
          <w:sz w:val="24"/>
          <w:szCs w:val="24"/>
        </w:rPr>
        <w:t>f Fraud (IF), Litigation Service</w:t>
      </w:r>
      <w:r w:rsidR="00182ECB" w:rsidRPr="008B1465">
        <w:rPr>
          <w:rFonts w:ascii="Times New Roman" w:eastAsia="Calibri" w:hAnsi="Times New Roman"/>
          <w:bCs/>
          <w:sz w:val="24"/>
          <w:szCs w:val="24"/>
        </w:rPr>
        <w:t>s</w:t>
      </w:r>
      <w:r w:rsidRPr="008B1465">
        <w:rPr>
          <w:rFonts w:ascii="Times New Roman" w:eastAsia="Calibri" w:hAnsi="Times New Roman"/>
          <w:bCs/>
          <w:sz w:val="24"/>
          <w:szCs w:val="24"/>
        </w:rPr>
        <w:t xml:space="preserve"> (LS), Surprise Cash Count Practices (SCCP) and Accounting and Digital Environment (ADE), while the dependent variable is financial misconduct which is represented by Fund Misappropriation (FM), Value for Money</w:t>
      </w:r>
      <w:r w:rsidR="007E20B6" w:rsidRPr="008B1465">
        <w:rPr>
          <w:rFonts w:ascii="Times New Roman" w:eastAsia="Calibri" w:hAnsi="Times New Roman"/>
          <w:bCs/>
          <w:sz w:val="24"/>
          <w:szCs w:val="24"/>
        </w:rPr>
        <w:t xml:space="preserve"> Practices</w:t>
      </w:r>
      <w:r w:rsidRPr="008B1465">
        <w:rPr>
          <w:rFonts w:ascii="Times New Roman" w:eastAsia="Calibri" w:hAnsi="Times New Roman"/>
          <w:bCs/>
          <w:sz w:val="24"/>
          <w:szCs w:val="24"/>
        </w:rPr>
        <w:t xml:space="preserve"> (VM</w:t>
      </w:r>
      <w:r w:rsidR="007E20B6" w:rsidRPr="008B1465">
        <w:rPr>
          <w:rFonts w:ascii="Times New Roman" w:eastAsia="Calibri" w:hAnsi="Times New Roman"/>
          <w:bCs/>
          <w:sz w:val="24"/>
          <w:szCs w:val="24"/>
        </w:rPr>
        <w:t>P</w:t>
      </w:r>
      <w:r w:rsidRPr="008B1465">
        <w:rPr>
          <w:rFonts w:ascii="Times New Roman" w:eastAsia="Calibri" w:hAnsi="Times New Roman"/>
          <w:bCs/>
          <w:sz w:val="24"/>
          <w:szCs w:val="24"/>
        </w:rPr>
        <w:t>), Creative Accounting Practices (CAP) and Procurement Practices (PP).</w:t>
      </w:r>
    </w:p>
    <w:p w14:paraId="360AFD09" w14:textId="32CA7E84"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Therefore, </w:t>
      </w:r>
    </w:p>
    <w:p w14:paraId="5E9A06FA" w14:textId="77777777"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Y = f(X)</w:t>
      </w:r>
    </w:p>
    <w:p w14:paraId="560A9450" w14:textId="77777777"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Where;</w:t>
      </w:r>
    </w:p>
    <w:p w14:paraId="6EE8A5B0" w14:textId="77777777"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Y = Financial Misconduct (FM)</w:t>
      </w:r>
    </w:p>
    <w:p w14:paraId="6E294EF7" w14:textId="77777777"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Y = (y</w:t>
      </w:r>
      <w:r w:rsidRPr="008B1465">
        <w:rPr>
          <w:rFonts w:ascii="Times New Roman" w:eastAsia="Calibri" w:hAnsi="Times New Roman"/>
          <w:bCs/>
          <w:sz w:val="24"/>
          <w:szCs w:val="24"/>
          <w:vertAlign w:val="subscript"/>
        </w:rPr>
        <w:t>1</w:t>
      </w:r>
      <w:r w:rsidRPr="008B1465">
        <w:rPr>
          <w:rFonts w:ascii="Times New Roman" w:eastAsia="Calibri" w:hAnsi="Times New Roman"/>
          <w:bCs/>
          <w:sz w:val="24"/>
          <w:szCs w:val="24"/>
        </w:rPr>
        <w:t>, y</w:t>
      </w:r>
      <w:r w:rsidRPr="008B1465">
        <w:rPr>
          <w:rFonts w:ascii="Times New Roman" w:eastAsia="Calibri" w:hAnsi="Times New Roman"/>
          <w:bCs/>
          <w:sz w:val="24"/>
          <w:szCs w:val="24"/>
          <w:vertAlign w:val="subscript"/>
        </w:rPr>
        <w:t>2</w:t>
      </w:r>
      <w:r w:rsidRPr="008B1465">
        <w:rPr>
          <w:rFonts w:ascii="Times New Roman" w:eastAsia="Calibri" w:hAnsi="Times New Roman"/>
          <w:bCs/>
          <w:sz w:val="24"/>
          <w:szCs w:val="24"/>
        </w:rPr>
        <w:t>, y</w:t>
      </w:r>
      <w:r w:rsidRPr="008B1465">
        <w:rPr>
          <w:rFonts w:ascii="Times New Roman" w:eastAsia="Calibri" w:hAnsi="Times New Roman"/>
          <w:bCs/>
          <w:sz w:val="24"/>
          <w:szCs w:val="24"/>
          <w:vertAlign w:val="subscript"/>
        </w:rPr>
        <w:t>3,</w:t>
      </w:r>
      <w:r w:rsidRPr="008B1465">
        <w:rPr>
          <w:rFonts w:ascii="Times New Roman" w:eastAsia="Calibri" w:hAnsi="Times New Roman"/>
          <w:bCs/>
          <w:sz w:val="24"/>
          <w:szCs w:val="24"/>
        </w:rPr>
        <w:t xml:space="preserve"> y</w:t>
      </w:r>
      <w:r w:rsidRPr="008B1465">
        <w:rPr>
          <w:rFonts w:ascii="Times New Roman" w:eastAsia="Calibri" w:hAnsi="Times New Roman"/>
          <w:bCs/>
          <w:sz w:val="24"/>
          <w:szCs w:val="24"/>
          <w:vertAlign w:val="subscript"/>
        </w:rPr>
        <w:t>4</w:t>
      </w:r>
      <w:r w:rsidRPr="008B1465">
        <w:rPr>
          <w:rFonts w:ascii="Times New Roman" w:eastAsia="Calibri" w:hAnsi="Times New Roman"/>
          <w:bCs/>
          <w:sz w:val="24"/>
          <w:szCs w:val="24"/>
        </w:rPr>
        <w:t>)</w:t>
      </w:r>
    </w:p>
    <w:p w14:paraId="41C747A7" w14:textId="6790F214" w:rsidR="001616E5" w:rsidRPr="008B1465" w:rsidRDefault="00D04ABB" w:rsidP="00D04ABB">
      <w:pPr>
        <w:spacing w:after="0" w:line="360" w:lineRule="auto"/>
        <w:jc w:val="both"/>
        <w:rPr>
          <w:rFonts w:ascii="Times New Roman" w:eastAsia="Calibri" w:hAnsi="Times New Roman"/>
          <w:bCs/>
          <w:sz w:val="24"/>
          <w:szCs w:val="24"/>
        </w:rPr>
      </w:pPr>
      <w:r>
        <w:rPr>
          <w:rFonts w:ascii="Times New Roman" w:eastAsia="Calibri" w:hAnsi="Times New Roman"/>
          <w:bCs/>
          <w:sz w:val="24"/>
          <w:szCs w:val="24"/>
        </w:rPr>
        <w:t xml:space="preserve">   </w:t>
      </w:r>
      <w:r w:rsidR="003F05E3" w:rsidRPr="008B1465">
        <w:rPr>
          <w:rFonts w:ascii="Times New Roman" w:eastAsia="Calibri" w:hAnsi="Times New Roman"/>
          <w:bCs/>
          <w:sz w:val="24"/>
          <w:szCs w:val="24"/>
        </w:rPr>
        <w:t>y</w:t>
      </w:r>
      <w:r w:rsidR="003F05E3" w:rsidRPr="008B1465">
        <w:rPr>
          <w:rFonts w:ascii="Times New Roman" w:eastAsia="Calibri" w:hAnsi="Times New Roman"/>
          <w:bCs/>
          <w:sz w:val="24"/>
          <w:szCs w:val="24"/>
          <w:vertAlign w:val="subscript"/>
        </w:rPr>
        <w:t>1</w:t>
      </w:r>
      <w:r w:rsidR="003F05E3" w:rsidRPr="008B1465">
        <w:rPr>
          <w:rFonts w:ascii="Times New Roman" w:eastAsia="Calibri" w:hAnsi="Times New Roman"/>
          <w:bCs/>
          <w:sz w:val="24"/>
          <w:szCs w:val="24"/>
        </w:rPr>
        <w:t xml:space="preserve"> = Fund Misappropriation (FM)</w:t>
      </w:r>
    </w:p>
    <w:p w14:paraId="15149721" w14:textId="23DDD66B" w:rsidR="001616E5" w:rsidRPr="008B1465" w:rsidRDefault="00D04ABB" w:rsidP="007541CB">
      <w:pPr>
        <w:spacing w:after="0" w:line="360" w:lineRule="auto"/>
        <w:jc w:val="both"/>
        <w:rPr>
          <w:rFonts w:ascii="Times New Roman" w:eastAsia="Calibri" w:hAnsi="Times New Roman"/>
          <w:bCs/>
          <w:sz w:val="24"/>
          <w:szCs w:val="24"/>
        </w:rPr>
      </w:pPr>
      <w:r>
        <w:rPr>
          <w:rFonts w:ascii="Times New Roman" w:eastAsia="Calibri" w:hAnsi="Times New Roman"/>
          <w:bCs/>
          <w:sz w:val="24"/>
          <w:szCs w:val="24"/>
        </w:rPr>
        <w:t xml:space="preserve">   </w:t>
      </w:r>
      <w:r w:rsidR="003F05E3" w:rsidRPr="008B1465">
        <w:rPr>
          <w:rFonts w:ascii="Times New Roman" w:eastAsia="Calibri" w:hAnsi="Times New Roman"/>
          <w:bCs/>
          <w:sz w:val="24"/>
          <w:szCs w:val="24"/>
        </w:rPr>
        <w:t>y</w:t>
      </w:r>
      <w:r w:rsidR="003F05E3" w:rsidRPr="008B1465">
        <w:rPr>
          <w:rFonts w:ascii="Times New Roman" w:eastAsia="Calibri" w:hAnsi="Times New Roman"/>
          <w:bCs/>
          <w:sz w:val="24"/>
          <w:szCs w:val="24"/>
          <w:vertAlign w:val="subscript"/>
        </w:rPr>
        <w:t>2</w:t>
      </w:r>
      <w:r w:rsidR="003F05E3" w:rsidRPr="008B1465">
        <w:rPr>
          <w:rFonts w:ascii="Times New Roman" w:eastAsia="Calibri" w:hAnsi="Times New Roman"/>
          <w:bCs/>
          <w:sz w:val="24"/>
          <w:szCs w:val="24"/>
        </w:rPr>
        <w:t xml:space="preserve"> = Value for Money</w:t>
      </w:r>
      <w:r w:rsidR="007E20B6" w:rsidRPr="008B1465">
        <w:rPr>
          <w:rFonts w:ascii="Times New Roman" w:eastAsia="Calibri" w:hAnsi="Times New Roman"/>
          <w:bCs/>
          <w:sz w:val="24"/>
          <w:szCs w:val="24"/>
        </w:rPr>
        <w:t xml:space="preserve"> Practices</w:t>
      </w:r>
      <w:r w:rsidR="003F05E3" w:rsidRPr="008B1465">
        <w:rPr>
          <w:rFonts w:ascii="Times New Roman" w:eastAsia="Calibri" w:hAnsi="Times New Roman"/>
          <w:bCs/>
          <w:sz w:val="24"/>
          <w:szCs w:val="24"/>
        </w:rPr>
        <w:t xml:space="preserve"> (VM</w:t>
      </w:r>
      <w:r w:rsidR="007E20B6" w:rsidRPr="008B1465">
        <w:rPr>
          <w:rFonts w:ascii="Times New Roman" w:eastAsia="Calibri" w:hAnsi="Times New Roman"/>
          <w:bCs/>
          <w:sz w:val="24"/>
          <w:szCs w:val="24"/>
        </w:rPr>
        <w:t>P</w:t>
      </w:r>
      <w:r w:rsidR="003F05E3" w:rsidRPr="008B1465">
        <w:rPr>
          <w:rFonts w:ascii="Times New Roman" w:eastAsia="Calibri" w:hAnsi="Times New Roman"/>
          <w:bCs/>
          <w:sz w:val="24"/>
          <w:szCs w:val="24"/>
        </w:rPr>
        <w:t>)</w:t>
      </w:r>
    </w:p>
    <w:p w14:paraId="51F68F13" w14:textId="0FD9ADA7" w:rsidR="001616E5" w:rsidRPr="008B1465" w:rsidRDefault="00D04ABB" w:rsidP="007541CB">
      <w:pPr>
        <w:spacing w:after="0" w:line="360" w:lineRule="auto"/>
        <w:jc w:val="both"/>
        <w:rPr>
          <w:rFonts w:ascii="Times New Roman" w:eastAsia="Calibri" w:hAnsi="Times New Roman"/>
          <w:bCs/>
          <w:sz w:val="24"/>
          <w:szCs w:val="24"/>
        </w:rPr>
      </w:pPr>
      <w:r>
        <w:rPr>
          <w:rFonts w:ascii="Times New Roman" w:eastAsia="Calibri" w:hAnsi="Times New Roman"/>
          <w:bCs/>
          <w:sz w:val="24"/>
          <w:szCs w:val="24"/>
        </w:rPr>
        <w:t xml:space="preserve">   </w:t>
      </w:r>
      <w:r w:rsidR="003F05E3" w:rsidRPr="008B1465">
        <w:rPr>
          <w:rFonts w:ascii="Times New Roman" w:eastAsia="Calibri" w:hAnsi="Times New Roman"/>
          <w:bCs/>
          <w:sz w:val="24"/>
          <w:szCs w:val="24"/>
        </w:rPr>
        <w:t>y</w:t>
      </w:r>
      <w:r w:rsidR="003F05E3" w:rsidRPr="008B1465">
        <w:rPr>
          <w:rFonts w:ascii="Times New Roman" w:eastAsia="Calibri" w:hAnsi="Times New Roman"/>
          <w:bCs/>
          <w:sz w:val="24"/>
          <w:szCs w:val="24"/>
          <w:vertAlign w:val="subscript"/>
        </w:rPr>
        <w:t>3</w:t>
      </w:r>
      <w:r w:rsidR="003F05E3" w:rsidRPr="008B1465">
        <w:rPr>
          <w:rFonts w:ascii="Times New Roman" w:eastAsia="Calibri" w:hAnsi="Times New Roman"/>
          <w:bCs/>
          <w:sz w:val="24"/>
          <w:szCs w:val="24"/>
        </w:rPr>
        <w:t xml:space="preserve"> = Creative Accounting Practices (CAP)</w:t>
      </w:r>
    </w:p>
    <w:p w14:paraId="7ADBADAE" w14:textId="16D74C55" w:rsidR="001616E5" w:rsidRPr="008B1465" w:rsidRDefault="00D04ABB" w:rsidP="007541CB">
      <w:pPr>
        <w:spacing w:after="0" w:line="360" w:lineRule="auto"/>
        <w:jc w:val="both"/>
        <w:rPr>
          <w:rFonts w:ascii="Times New Roman" w:eastAsia="Calibri" w:hAnsi="Times New Roman"/>
          <w:bCs/>
          <w:sz w:val="24"/>
          <w:szCs w:val="24"/>
        </w:rPr>
      </w:pPr>
      <w:r>
        <w:rPr>
          <w:rFonts w:ascii="Times New Roman" w:eastAsia="Calibri" w:hAnsi="Times New Roman"/>
          <w:bCs/>
          <w:sz w:val="24"/>
          <w:szCs w:val="24"/>
        </w:rPr>
        <w:t xml:space="preserve">   </w:t>
      </w:r>
      <w:r w:rsidR="003F05E3" w:rsidRPr="008B1465">
        <w:rPr>
          <w:rFonts w:ascii="Times New Roman" w:eastAsia="Calibri" w:hAnsi="Times New Roman"/>
          <w:bCs/>
          <w:sz w:val="24"/>
          <w:szCs w:val="24"/>
        </w:rPr>
        <w:t>y</w:t>
      </w:r>
      <w:r w:rsidR="003F05E3" w:rsidRPr="008B1465">
        <w:rPr>
          <w:rFonts w:ascii="Times New Roman" w:eastAsia="Calibri" w:hAnsi="Times New Roman"/>
          <w:bCs/>
          <w:sz w:val="24"/>
          <w:szCs w:val="24"/>
          <w:vertAlign w:val="subscript"/>
        </w:rPr>
        <w:t xml:space="preserve">4 </w:t>
      </w:r>
      <w:r w:rsidR="003F05E3" w:rsidRPr="008B1465">
        <w:rPr>
          <w:rFonts w:ascii="Times New Roman" w:eastAsia="Calibri" w:hAnsi="Times New Roman"/>
          <w:bCs/>
          <w:sz w:val="24"/>
          <w:szCs w:val="24"/>
        </w:rPr>
        <w:t>= Procurement Practices (PP)</w:t>
      </w:r>
    </w:p>
    <w:p w14:paraId="58A2EDFC" w14:textId="77777777"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X = Forensic Accounting Techniques (FAT)</w:t>
      </w:r>
    </w:p>
    <w:p w14:paraId="7D90CD76" w14:textId="77777777"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X = (x</w:t>
      </w:r>
      <w:r w:rsidRPr="008B1465">
        <w:rPr>
          <w:rFonts w:ascii="Times New Roman" w:eastAsia="Calibri" w:hAnsi="Times New Roman"/>
          <w:bCs/>
          <w:sz w:val="24"/>
          <w:szCs w:val="24"/>
          <w:vertAlign w:val="subscript"/>
        </w:rPr>
        <w:t>1</w:t>
      </w:r>
      <w:r w:rsidRPr="008B1465">
        <w:rPr>
          <w:rFonts w:ascii="Times New Roman" w:eastAsia="Calibri" w:hAnsi="Times New Roman"/>
          <w:bCs/>
          <w:sz w:val="24"/>
          <w:szCs w:val="24"/>
        </w:rPr>
        <w:t>, x</w:t>
      </w:r>
      <w:r w:rsidRPr="008B1465">
        <w:rPr>
          <w:rFonts w:ascii="Times New Roman" w:eastAsia="Calibri" w:hAnsi="Times New Roman"/>
          <w:bCs/>
          <w:sz w:val="24"/>
          <w:szCs w:val="24"/>
          <w:vertAlign w:val="subscript"/>
        </w:rPr>
        <w:t>2</w:t>
      </w:r>
      <w:r w:rsidRPr="008B1465">
        <w:rPr>
          <w:rFonts w:ascii="Times New Roman" w:eastAsia="Calibri" w:hAnsi="Times New Roman"/>
          <w:bCs/>
          <w:sz w:val="24"/>
          <w:szCs w:val="24"/>
        </w:rPr>
        <w:t>, x</w:t>
      </w:r>
      <w:r w:rsidRPr="008B1465">
        <w:rPr>
          <w:rFonts w:ascii="Times New Roman" w:eastAsia="Calibri" w:hAnsi="Times New Roman"/>
          <w:bCs/>
          <w:sz w:val="24"/>
          <w:szCs w:val="24"/>
          <w:vertAlign w:val="subscript"/>
        </w:rPr>
        <w:t>3</w:t>
      </w:r>
      <w:r w:rsidRPr="008B1465">
        <w:rPr>
          <w:rFonts w:ascii="Times New Roman" w:eastAsia="Calibri" w:hAnsi="Times New Roman"/>
          <w:bCs/>
          <w:sz w:val="24"/>
          <w:szCs w:val="24"/>
        </w:rPr>
        <w:t>, x</w:t>
      </w:r>
      <w:r w:rsidRPr="008B1465">
        <w:rPr>
          <w:rFonts w:ascii="Times New Roman" w:eastAsia="Calibri" w:hAnsi="Times New Roman"/>
          <w:bCs/>
          <w:sz w:val="24"/>
          <w:szCs w:val="24"/>
          <w:vertAlign w:val="subscript"/>
        </w:rPr>
        <w:t>4</w:t>
      </w:r>
      <w:r w:rsidRPr="008B1465">
        <w:rPr>
          <w:rFonts w:ascii="Times New Roman" w:eastAsia="Calibri" w:hAnsi="Times New Roman"/>
          <w:bCs/>
          <w:sz w:val="24"/>
          <w:szCs w:val="24"/>
        </w:rPr>
        <w:t>)</w:t>
      </w:r>
    </w:p>
    <w:p w14:paraId="37271DCE" w14:textId="2F2A9A51" w:rsidR="001616E5" w:rsidRPr="008B1465" w:rsidRDefault="00D04ABB" w:rsidP="007541CB">
      <w:pPr>
        <w:spacing w:after="0" w:line="360" w:lineRule="auto"/>
        <w:jc w:val="both"/>
        <w:rPr>
          <w:rFonts w:ascii="Times New Roman" w:eastAsia="Calibri" w:hAnsi="Times New Roman"/>
          <w:bCs/>
          <w:sz w:val="24"/>
          <w:szCs w:val="24"/>
        </w:rPr>
      </w:pPr>
      <w:r>
        <w:rPr>
          <w:rFonts w:ascii="Times New Roman" w:eastAsia="Calibri" w:hAnsi="Times New Roman"/>
          <w:bCs/>
          <w:sz w:val="24"/>
          <w:szCs w:val="24"/>
        </w:rPr>
        <w:t xml:space="preserve">   </w:t>
      </w:r>
      <w:r w:rsidR="003F05E3" w:rsidRPr="008B1465">
        <w:rPr>
          <w:rFonts w:ascii="Times New Roman" w:eastAsia="Calibri" w:hAnsi="Times New Roman"/>
          <w:bCs/>
          <w:sz w:val="24"/>
          <w:szCs w:val="24"/>
        </w:rPr>
        <w:t>x</w:t>
      </w:r>
      <w:r w:rsidR="003F05E3" w:rsidRPr="008B1465">
        <w:rPr>
          <w:rFonts w:ascii="Times New Roman" w:eastAsia="Calibri" w:hAnsi="Times New Roman"/>
          <w:bCs/>
          <w:sz w:val="24"/>
          <w:szCs w:val="24"/>
          <w:vertAlign w:val="subscript"/>
        </w:rPr>
        <w:t>1</w:t>
      </w:r>
      <w:r w:rsidR="003F05E3" w:rsidRPr="008B1465">
        <w:rPr>
          <w:rFonts w:ascii="Times New Roman" w:eastAsia="Calibri" w:hAnsi="Times New Roman"/>
          <w:bCs/>
          <w:sz w:val="24"/>
          <w:szCs w:val="24"/>
        </w:rPr>
        <w:t xml:space="preserve"> = Investigation of Fraud (IF)</w:t>
      </w:r>
    </w:p>
    <w:p w14:paraId="72AF3E13" w14:textId="1AB6C725" w:rsidR="001616E5" w:rsidRPr="008B1465" w:rsidRDefault="00D04ABB" w:rsidP="007541CB">
      <w:pPr>
        <w:spacing w:after="0" w:line="360" w:lineRule="auto"/>
        <w:jc w:val="both"/>
        <w:rPr>
          <w:rFonts w:ascii="Times New Roman" w:eastAsia="Calibri" w:hAnsi="Times New Roman"/>
          <w:bCs/>
          <w:sz w:val="24"/>
          <w:szCs w:val="24"/>
        </w:rPr>
      </w:pPr>
      <w:r>
        <w:rPr>
          <w:rFonts w:ascii="Times New Roman" w:eastAsia="Calibri" w:hAnsi="Times New Roman"/>
          <w:bCs/>
          <w:sz w:val="24"/>
          <w:szCs w:val="24"/>
        </w:rPr>
        <w:t xml:space="preserve">   </w:t>
      </w:r>
      <w:r w:rsidR="003F05E3" w:rsidRPr="008B1465">
        <w:rPr>
          <w:rFonts w:ascii="Times New Roman" w:eastAsia="Calibri" w:hAnsi="Times New Roman"/>
          <w:bCs/>
          <w:sz w:val="24"/>
          <w:szCs w:val="24"/>
        </w:rPr>
        <w:t>x</w:t>
      </w:r>
      <w:r w:rsidR="003F05E3" w:rsidRPr="008B1465">
        <w:rPr>
          <w:rFonts w:ascii="Times New Roman" w:eastAsia="Calibri" w:hAnsi="Times New Roman"/>
          <w:bCs/>
          <w:sz w:val="24"/>
          <w:szCs w:val="24"/>
          <w:vertAlign w:val="subscript"/>
        </w:rPr>
        <w:t>2</w:t>
      </w:r>
      <w:r w:rsidR="003F05E3" w:rsidRPr="008B1465">
        <w:rPr>
          <w:rFonts w:ascii="Times New Roman" w:eastAsia="Calibri" w:hAnsi="Times New Roman"/>
          <w:bCs/>
          <w:sz w:val="24"/>
          <w:szCs w:val="24"/>
        </w:rPr>
        <w:t xml:space="preserve"> = Litigation Services (LS)</w:t>
      </w:r>
    </w:p>
    <w:p w14:paraId="47ED61BA" w14:textId="465C09CB" w:rsidR="001616E5" w:rsidRPr="008B1465" w:rsidRDefault="00D04ABB" w:rsidP="007541CB">
      <w:pPr>
        <w:spacing w:after="0" w:line="360" w:lineRule="auto"/>
        <w:jc w:val="both"/>
        <w:rPr>
          <w:rFonts w:ascii="Times New Roman" w:eastAsia="Calibri" w:hAnsi="Times New Roman"/>
          <w:bCs/>
          <w:sz w:val="24"/>
          <w:szCs w:val="24"/>
        </w:rPr>
      </w:pPr>
      <w:r>
        <w:rPr>
          <w:rFonts w:ascii="Times New Roman" w:eastAsia="Calibri" w:hAnsi="Times New Roman"/>
          <w:bCs/>
          <w:sz w:val="24"/>
          <w:szCs w:val="24"/>
        </w:rPr>
        <w:t xml:space="preserve">   </w:t>
      </w:r>
      <w:r w:rsidR="003F05E3" w:rsidRPr="008B1465">
        <w:rPr>
          <w:rFonts w:ascii="Times New Roman" w:eastAsia="Calibri" w:hAnsi="Times New Roman"/>
          <w:bCs/>
          <w:sz w:val="24"/>
          <w:szCs w:val="24"/>
        </w:rPr>
        <w:t>x</w:t>
      </w:r>
      <w:r w:rsidR="003F05E3" w:rsidRPr="008B1465">
        <w:rPr>
          <w:rFonts w:ascii="Times New Roman" w:eastAsia="Calibri" w:hAnsi="Times New Roman"/>
          <w:bCs/>
          <w:sz w:val="24"/>
          <w:szCs w:val="24"/>
          <w:vertAlign w:val="subscript"/>
        </w:rPr>
        <w:t>3</w:t>
      </w:r>
      <w:r w:rsidR="003F05E3" w:rsidRPr="008B1465">
        <w:rPr>
          <w:rFonts w:ascii="Times New Roman" w:eastAsia="Calibri" w:hAnsi="Times New Roman"/>
          <w:bCs/>
          <w:sz w:val="24"/>
          <w:szCs w:val="24"/>
        </w:rPr>
        <w:t xml:space="preserve"> = Surprise Cash Count Practices (SCCP)</w:t>
      </w:r>
    </w:p>
    <w:p w14:paraId="78CAFC1A" w14:textId="1FF33313" w:rsidR="001616E5" w:rsidRPr="008B1465" w:rsidRDefault="00D04ABB" w:rsidP="007541CB">
      <w:pPr>
        <w:spacing w:after="0" w:line="360" w:lineRule="auto"/>
        <w:jc w:val="both"/>
        <w:rPr>
          <w:rFonts w:ascii="Times New Roman" w:eastAsia="Calibri" w:hAnsi="Times New Roman"/>
          <w:bCs/>
          <w:sz w:val="24"/>
          <w:szCs w:val="24"/>
        </w:rPr>
      </w:pPr>
      <w:r>
        <w:rPr>
          <w:rFonts w:ascii="Times New Roman" w:eastAsia="Calibri" w:hAnsi="Times New Roman"/>
          <w:bCs/>
          <w:sz w:val="24"/>
          <w:szCs w:val="24"/>
        </w:rPr>
        <w:t xml:space="preserve">   </w:t>
      </w:r>
      <w:r w:rsidR="003F05E3" w:rsidRPr="008B1465">
        <w:rPr>
          <w:rFonts w:ascii="Times New Roman" w:eastAsia="Calibri" w:hAnsi="Times New Roman"/>
          <w:bCs/>
          <w:sz w:val="24"/>
          <w:szCs w:val="24"/>
        </w:rPr>
        <w:t>x</w:t>
      </w:r>
      <w:r w:rsidR="003F05E3" w:rsidRPr="008B1465">
        <w:rPr>
          <w:rFonts w:ascii="Times New Roman" w:eastAsia="Calibri" w:hAnsi="Times New Roman"/>
          <w:bCs/>
          <w:sz w:val="24"/>
          <w:szCs w:val="24"/>
          <w:vertAlign w:val="subscript"/>
        </w:rPr>
        <w:t>4</w:t>
      </w:r>
      <w:r w:rsidR="003F05E3" w:rsidRPr="008B1465">
        <w:rPr>
          <w:rFonts w:ascii="Times New Roman" w:eastAsia="Calibri" w:hAnsi="Times New Roman"/>
          <w:bCs/>
          <w:sz w:val="24"/>
          <w:szCs w:val="24"/>
        </w:rPr>
        <w:t xml:space="preserve"> = Accounting and Digital Environment (ADE)</w:t>
      </w:r>
    </w:p>
    <w:p w14:paraId="1E3661FD" w14:textId="59608574" w:rsidR="001616E5" w:rsidRPr="008B1465" w:rsidRDefault="003F05E3" w:rsidP="007541CB">
      <w:pPr>
        <w:spacing w:after="0" w:line="360" w:lineRule="auto"/>
        <w:jc w:val="both"/>
        <w:rPr>
          <w:rFonts w:ascii="Times New Roman" w:eastAsia="Calibri" w:hAnsi="Times New Roman"/>
          <w:b/>
          <w:bCs/>
          <w:sz w:val="24"/>
          <w:szCs w:val="24"/>
        </w:rPr>
      </w:pPr>
      <w:r w:rsidRPr="008B1465">
        <w:rPr>
          <w:rFonts w:ascii="Times New Roman" w:eastAsia="Calibri" w:hAnsi="Times New Roman"/>
          <w:b/>
          <w:bCs/>
          <w:sz w:val="24"/>
          <w:szCs w:val="24"/>
        </w:rPr>
        <w:t xml:space="preserve">Therefore, </w:t>
      </w:r>
    </w:p>
    <w:p w14:paraId="2759FA28" w14:textId="16852BA3" w:rsidR="00E911E5" w:rsidRPr="008B1465" w:rsidRDefault="003F05E3" w:rsidP="00E911E5">
      <w:pPr>
        <w:pStyle w:val="NoSpacing"/>
        <w:spacing w:line="360" w:lineRule="auto"/>
        <w:rPr>
          <w:rFonts w:ascii="Times New Roman" w:eastAsia="DengXian" w:hAnsi="Times New Roman"/>
          <w:sz w:val="24"/>
          <w:szCs w:val="24"/>
        </w:rPr>
      </w:pPr>
      <w:r w:rsidRPr="008B1465">
        <w:rPr>
          <w:rFonts w:ascii="Times New Roman" w:eastAsia="DengXian" w:hAnsi="Times New Roman"/>
          <w:sz w:val="24"/>
          <w:szCs w:val="24"/>
        </w:rPr>
        <w:t xml:space="preserve">FM= </w:t>
      </w:r>
      <w:r w:rsidR="00D76605" w:rsidRPr="008B1465">
        <w:rPr>
          <w:rFonts w:ascii="Times New Roman" w:eastAsia="DengXian" w:hAnsi="Times New Roman"/>
          <w:bCs/>
          <w:sz w:val="24"/>
          <w:szCs w:val="24"/>
        </w:rPr>
        <w:t>β</w:t>
      </w:r>
      <w:r w:rsidRPr="008B1465">
        <w:rPr>
          <w:rFonts w:ascii="Times New Roman" w:eastAsia="DengXian" w:hAnsi="Times New Roman"/>
          <w:sz w:val="24"/>
          <w:szCs w:val="24"/>
          <w:vertAlign w:val="subscript"/>
        </w:rPr>
        <w:t>0</w:t>
      </w:r>
      <w:r w:rsidRPr="008B1465">
        <w:rPr>
          <w:rFonts w:ascii="Times New Roman" w:eastAsia="DengXian" w:hAnsi="Times New Roman"/>
          <w:sz w:val="24"/>
          <w:szCs w:val="24"/>
        </w:rPr>
        <w:t xml:space="preserve"> + </w:t>
      </w:r>
      <w:r w:rsidRPr="008B1465">
        <w:rPr>
          <w:rFonts w:ascii="Times New Roman" w:hAnsi="Times New Roman"/>
          <w:noProof/>
          <w:sz w:val="24"/>
          <w:szCs w:val="24"/>
        </w:rPr>
        <w:drawing>
          <wp:inline distT="0" distB="0" distL="0" distR="0" wp14:anchorId="265D0274" wp14:editId="66EC9897">
            <wp:extent cx="84455" cy="173355"/>
            <wp:effectExtent l="0" t="0" r="0"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Picture 8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Pr="008B1465">
        <w:rPr>
          <w:rFonts w:ascii="Times New Roman" w:eastAsia="DengXian" w:hAnsi="Times New Roman"/>
          <w:sz w:val="24"/>
          <w:szCs w:val="24"/>
          <w:vertAlign w:val="subscript"/>
        </w:rPr>
        <w:t>1</w:t>
      </w:r>
      <w:r w:rsidRPr="008B1465">
        <w:rPr>
          <w:rFonts w:ascii="Times New Roman" w:eastAsia="DengXian" w:hAnsi="Times New Roman"/>
          <w:sz w:val="24"/>
          <w:szCs w:val="24"/>
        </w:rPr>
        <w:t>IF</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Pr="008B1465">
        <w:rPr>
          <w:rFonts w:ascii="Times New Roman" w:hAnsi="Times New Roman"/>
          <w:noProof/>
          <w:sz w:val="24"/>
          <w:szCs w:val="24"/>
        </w:rPr>
        <w:drawing>
          <wp:inline distT="0" distB="0" distL="0" distR="0" wp14:anchorId="35CD19C2" wp14:editId="1861F960">
            <wp:extent cx="84455" cy="173355"/>
            <wp:effectExtent l="0" t="0" r="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Picture 8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Pr="008B1465">
        <w:rPr>
          <w:rFonts w:ascii="Times New Roman" w:eastAsia="DengXian" w:hAnsi="Times New Roman"/>
          <w:sz w:val="24"/>
          <w:szCs w:val="24"/>
          <w:vertAlign w:val="subscript"/>
        </w:rPr>
        <w:t>2</w:t>
      </w:r>
      <w:r w:rsidRPr="008B1465">
        <w:rPr>
          <w:rFonts w:ascii="Times New Roman" w:eastAsia="DengXian" w:hAnsi="Times New Roman"/>
          <w:sz w:val="24"/>
          <w:szCs w:val="24"/>
        </w:rPr>
        <w:t>LS</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Pr="008B1465">
        <w:rPr>
          <w:rFonts w:ascii="Times New Roman" w:hAnsi="Times New Roman"/>
          <w:noProof/>
          <w:sz w:val="24"/>
          <w:szCs w:val="24"/>
        </w:rPr>
        <w:drawing>
          <wp:inline distT="0" distB="0" distL="0" distR="0" wp14:anchorId="01A89FCF" wp14:editId="3D078A10">
            <wp:extent cx="84455" cy="173355"/>
            <wp:effectExtent l="0" t="0" r="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Picture 8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Pr="008B1465">
        <w:rPr>
          <w:rFonts w:ascii="Times New Roman" w:eastAsia="DengXian" w:hAnsi="Times New Roman"/>
          <w:sz w:val="24"/>
          <w:szCs w:val="24"/>
          <w:vertAlign w:val="subscript"/>
        </w:rPr>
        <w:t>3</w:t>
      </w:r>
      <w:r w:rsidRPr="008B1465">
        <w:rPr>
          <w:rFonts w:ascii="Times New Roman" w:eastAsia="DengXian" w:hAnsi="Times New Roman"/>
          <w:sz w:val="24"/>
          <w:szCs w:val="24"/>
        </w:rPr>
        <w:t>SCCP</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Pr="008B1465">
        <w:rPr>
          <w:rFonts w:ascii="Times New Roman" w:hAnsi="Times New Roman"/>
          <w:noProof/>
          <w:sz w:val="24"/>
          <w:szCs w:val="24"/>
        </w:rPr>
        <w:drawing>
          <wp:inline distT="0" distB="0" distL="0" distR="0" wp14:anchorId="654854B0" wp14:editId="22E5D72E">
            <wp:extent cx="84455" cy="173355"/>
            <wp:effectExtent l="0" t="0" r="0" b="0"/>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icture 23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Pr="008B1465">
        <w:rPr>
          <w:rFonts w:ascii="Times New Roman" w:eastAsia="DengXian" w:hAnsi="Times New Roman"/>
          <w:sz w:val="24"/>
          <w:szCs w:val="24"/>
          <w:vertAlign w:val="subscript"/>
        </w:rPr>
        <w:t>4</w:t>
      </w:r>
      <w:r w:rsidRPr="008B1465">
        <w:rPr>
          <w:rFonts w:ascii="Times New Roman" w:eastAsia="DengXian" w:hAnsi="Times New Roman"/>
          <w:sz w:val="24"/>
          <w:szCs w:val="24"/>
        </w:rPr>
        <w:t>ADE</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Pr="008B1465">
        <w:rPr>
          <w:rFonts w:ascii="Times New Roman" w:hAnsi="Times New Roman"/>
          <w:sz w:val="32"/>
          <w:szCs w:val="32"/>
        </w:rPr>
        <w:t>ԑ</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Model 1</w:t>
      </w:r>
    </w:p>
    <w:p w14:paraId="41DEA2CD" w14:textId="3D48BE8D" w:rsidR="001616E5" w:rsidRPr="008B1465" w:rsidRDefault="003F05E3" w:rsidP="00E911E5">
      <w:pPr>
        <w:pStyle w:val="NoSpacing"/>
        <w:spacing w:line="360" w:lineRule="auto"/>
        <w:rPr>
          <w:rFonts w:ascii="Times New Roman" w:eastAsia="DengXian" w:hAnsi="Times New Roman"/>
          <w:sz w:val="24"/>
          <w:szCs w:val="24"/>
        </w:rPr>
      </w:pPr>
      <w:r w:rsidRPr="008B1465">
        <w:rPr>
          <w:rFonts w:ascii="Times New Roman" w:eastAsia="DengXian" w:hAnsi="Times New Roman"/>
          <w:sz w:val="24"/>
          <w:szCs w:val="24"/>
        </w:rPr>
        <w:t xml:space="preserve">VM = </w:t>
      </w:r>
      <w:r w:rsidR="00D76605" w:rsidRPr="008B1465">
        <w:rPr>
          <w:rFonts w:ascii="Times New Roman" w:eastAsia="DengXian" w:hAnsi="Times New Roman"/>
          <w:bCs/>
          <w:sz w:val="24"/>
          <w:szCs w:val="24"/>
        </w:rPr>
        <w:t>β</w:t>
      </w:r>
      <w:r w:rsidRPr="008B1465">
        <w:rPr>
          <w:rFonts w:ascii="Times New Roman" w:eastAsia="DengXian" w:hAnsi="Times New Roman"/>
          <w:sz w:val="24"/>
          <w:szCs w:val="24"/>
          <w:vertAlign w:val="subscript"/>
        </w:rPr>
        <w:t>0</w:t>
      </w:r>
      <w:r w:rsidRPr="008B1465">
        <w:rPr>
          <w:rFonts w:ascii="Times New Roman" w:eastAsia="DengXian" w:hAnsi="Times New Roman"/>
          <w:sz w:val="24"/>
          <w:szCs w:val="24"/>
        </w:rPr>
        <w:t xml:space="preserve"> + </w:t>
      </w:r>
      <w:r w:rsidRPr="008B1465">
        <w:rPr>
          <w:rFonts w:ascii="Times New Roman" w:hAnsi="Times New Roman"/>
          <w:noProof/>
          <w:sz w:val="24"/>
          <w:szCs w:val="24"/>
        </w:rPr>
        <w:drawing>
          <wp:inline distT="0" distB="0" distL="0" distR="0" wp14:anchorId="667CC11F" wp14:editId="5B09B20E">
            <wp:extent cx="84455" cy="173355"/>
            <wp:effectExtent l="0" t="0" r="0" b="0"/>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Picture 23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Pr="008B1465">
        <w:rPr>
          <w:rFonts w:ascii="Times New Roman" w:eastAsia="DengXian" w:hAnsi="Times New Roman"/>
          <w:sz w:val="24"/>
          <w:szCs w:val="24"/>
          <w:vertAlign w:val="subscript"/>
        </w:rPr>
        <w:t>1</w:t>
      </w:r>
      <w:r w:rsidRPr="008B1465">
        <w:rPr>
          <w:rFonts w:ascii="Times New Roman" w:eastAsia="DengXian" w:hAnsi="Times New Roman"/>
          <w:sz w:val="24"/>
          <w:szCs w:val="24"/>
        </w:rPr>
        <w:t>IF</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Pr="008B1465">
        <w:rPr>
          <w:rFonts w:ascii="Times New Roman" w:hAnsi="Times New Roman"/>
          <w:noProof/>
          <w:sz w:val="24"/>
          <w:szCs w:val="24"/>
        </w:rPr>
        <w:drawing>
          <wp:inline distT="0" distB="0" distL="0" distR="0" wp14:anchorId="1E009D3A" wp14:editId="189C8141">
            <wp:extent cx="84455" cy="173355"/>
            <wp:effectExtent l="0" t="0" r="0" b="0"/>
            <wp:docPr id="232" name="Pictur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Picture 23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Pr="008B1465">
        <w:rPr>
          <w:rFonts w:ascii="Times New Roman" w:eastAsia="DengXian" w:hAnsi="Times New Roman"/>
          <w:sz w:val="24"/>
          <w:szCs w:val="24"/>
          <w:vertAlign w:val="subscript"/>
        </w:rPr>
        <w:t>2</w:t>
      </w:r>
      <w:r w:rsidRPr="008B1465">
        <w:rPr>
          <w:rFonts w:ascii="Times New Roman" w:eastAsia="DengXian" w:hAnsi="Times New Roman"/>
          <w:sz w:val="24"/>
          <w:szCs w:val="24"/>
        </w:rPr>
        <w:t>LS</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Pr="008B1465">
        <w:rPr>
          <w:rFonts w:ascii="Times New Roman" w:hAnsi="Times New Roman"/>
          <w:noProof/>
          <w:sz w:val="24"/>
          <w:szCs w:val="24"/>
        </w:rPr>
        <w:drawing>
          <wp:inline distT="0" distB="0" distL="0" distR="0" wp14:anchorId="47176385" wp14:editId="6751B50A">
            <wp:extent cx="84455" cy="173355"/>
            <wp:effectExtent l="0" t="0" r="0" b="0"/>
            <wp:docPr id="233" name="Pictur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Picture 23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Pr="008B1465">
        <w:rPr>
          <w:rFonts w:ascii="Times New Roman" w:eastAsia="DengXian" w:hAnsi="Times New Roman"/>
          <w:sz w:val="24"/>
          <w:szCs w:val="24"/>
          <w:vertAlign w:val="subscript"/>
        </w:rPr>
        <w:t>3</w:t>
      </w:r>
      <w:r w:rsidRPr="008B1465">
        <w:rPr>
          <w:rFonts w:ascii="Times New Roman" w:eastAsia="DengXian" w:hAnsi="Times New Roman"/>
          <w:sz w:val="24"/>
          <w:szCs w:val="24"/>
        </w:rPr>
        <w:t>SCCP</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Pr="008B1465">
        <w:rPr>
          <w:rFonts w:ascii="Times New Roman" w:hAnsi="Times New Roman"/>
          <w:noProof/>
          <w:sz w:val="24"/>
          <w:szCs w:val="24"/>
        </w:rPr>
        <w:drawing>
          <wp:inline distT="0" distB="0" distL="0" distR="0" wp14:anchorId="449B24AA" wp14:editId="0EDA540B">
            <wp:extent cx="84455" cy="173355"/>
            <wp:effectExtent l="0" t="0" r="0" b="0"/>
            <wp:docPr id="234" name="Pictur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Picture 23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Pr="008B1465">
        <w:rPr>
          <w:rFonts w:ascii="Times New Roman" w:eastAsia="DengXian" w:hAnsi="Times New Roman"/>
          <w:sz w:val="24"/>
          <w:szCs w:val="24"/>
          <w:vertAlign w:val="subscript"/>
        </w:rPr>
        <w:t>4</w:t>
      </w:r>
      <w:r w:rsidRPr="008B1465">
        <w:rPr>
          <w:rFonts w:ascii="Times New Roman" w:eastAsia="DengXian" w:hAnsi="Times New Roman"/>
          <w:sz w:val="24"/>
          <w:szCs w:val="24"/>
        </w:rPr>
        <w:t>ADE</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w:t>
      </w:r>
      <w:r w:rsidR="008E014E" w:rsidRPr="008B1465">
        <w:rPr>
          <w:rFonts w:ascii="Times New Roman" w:eastAsia="DengXian" w:hAnsi="Times New Roman"/>
          <w:sz w:val="24"/>
          <w:szCs w:val="24"/>
        </w:rPr>
        <w:t xml:space="preserve"> </w:t>
      </w:r>
      <w:r w:rsidR="00FF0818" w:rsidRPr="008B1465">
        <w:rPr>
          <w:rFonts w:ascii="Times New Roman" w:hAnsi="Times New Roman"/>
          <w:sz w:val="32"/>
          <w:szCs w:val="32"/>
        </w:rPr>
        <w:t>ԑ</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Model 2</w:t>
      </w:r>
    </w:p>
    <w:p w14:paraId="15187D40" w14:textId="02276B37" w:rsidR="001616E5" w:rsidRPr="008B1465" w:rsidRDefault="003F05E3" w:rsidP="00E911E5">
      <w:pPr>
        <w:pStyle w:val="NoSpacing"/>
        <w:spacing w:line="360" w:lineRule="auto"/>
        <w:rPr>
          <w:rFonts w:ascii="Times New Roman" w:eastAsia="DengXian" w:hAnsi="Times New Roman"/>
          <w:sz w:val="24"/>
          <w:szCs w:val="24"/>
        </w:rPr>
      </w:pPr>
      <w:r w:rsidRPr="008B1465">
        <w:rPr>
          <w:rFonts w:ascii="Times New Roman" w:eastAsia="DengXian" w:hAnsi="Times New Roman"/>
          <w:sz w:val="24"/>
          <w:szCs w:val="24"/>
        </w:rPr>
        <w:t xml:space="preserve">CAP = </w:t>
      </w:r>
      <w:r w:rsidR="00D76605" w:rsidRPr="008B1465">
        <w:rPr>
          <w:rFonts w:ascii="Times New Roman" w:eastAsia="DengXian" w:hAnsi="Times New Roman"/>
          <w:bCs/>
          <w:sz w:val="24"/>
          <w:szCs w:val="24"/>
        </w:rPr>
        <w:t>β</w:t>
      </w:r>
      <w:r w:rsidRPr="008B1465">
        <w:rPr>
          <w:rFonts w:ascii="Times New Roman" w:eastAsia="DengXian" w:hAnsi="Times New Roman"/>
          <w:sz w:val="24"/>
          <w:szCs w:val="24"/>
          <w:vertAlign w:val="subscript"/>
        </w:rPr>
        <w:t>0</w:t>
      </w:r>
      <w:r w:rsidRPr="008B1465">
        <w:rPr>
          <w:rFonts w:ascii="Times New Roman" w:eastAsia="DengXian" w:hAnsi="Times New Roman"/>
          <w:sz w:val="24"/>
          <w:szCs w:val="24"/>
        </w:rPr>
        <w:t xml:space="preserve"> + </w:t>
      </w:r>
      <w:r w:rsidRPr="008B1465">
        <w:rPr>
          <w:rFonts w:ascii="Times New Roman" w:hAnsi="Times New Roman"/>
          <w:noProof/>
          <w:sz w:val="24"/>
          <w:szCs w:val="24"/>
        </w:rPr>
        <w:drawing>
          <wp:inline distT="0" distB="0" distL="0" distR="0" wp14:anchorId="68D6EC01" wp14:editId="1828E38B">
            <wp:extent cx="84455" cy="173355"/>
            <wp:effectExtent l="0" t="0" r="0" b="0"/>
            <wp:docPr id="247" name="Pictur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Picture 24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Pr="008B1465">
        <w:rPr>
          <w:rFonts w:ascii="Times New Roman" w:eastAsia="DengXian" w:hAnsi="Times New Roman"/>
          <w:sz w:val="24"/>
          <w:szCs w:val="24"/>
          <w:vertAlign w:val="subscript"/>
        </w:rPr>
        <w:t>1</w:t>
      </w:r>
      <w:r w:rsidRPr="008B1465">
        <w:rPr>
          <w:rFonts w:ascii="Times New Roman" w:eastAsia="DengXian" w:hAnsi="Times New Roman"/>
          <w:sz w:val="24"/>
          <w:szCs w:val="24"/>
        </w:rPr>
        <w:t>IF</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Pr="008B1465">
        <w:rPr>
          <w:rFonts w:ascii="Times New Roman" w:hAnsi="Times New Roman"/>
          <w:noProof/>
          <w:sz w:val="24"/>
          <w:szCs w:val="24"/>
        </w:rPr>
        <w:drawing>
          <wp:inline distT="0" distB="0" distL="0" distR="0" wp14:anchorId="73AE04AA" wp14:editId="75F5DE4C">
            <wp:extent cx="84455" cy="173355"/>
            <wp:effectExtent l="0" t="0" r="0" b="0"/>
            <wp:docPr id="248" name="Pictur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Picture 24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Pr="008B1465">
        <w:rPr>
          <w:rFonts w:ascii="Times New Roman" w:eastAsia="DengXian" w:hAnsi="Times New Roman"/>
          <w:sz w:val="24"/>
          <w:szCs w:val="24"/>
          <w:vertAlign w:val="subscript"/>
        </w:rPr>
        <w:t>2</w:t>
      </w:r>
      <w:r w:rsidRPr="008B1465">
        <w:rPr>
          <w:rFonts w:ascii="Times New Roman" w:eastAsia="DengXian" w:hAnsi="Times New Roman"/>
          <w:sz w:val="24"/>
          <w:szCs w:val="24"/>
        </w:rPr>
        <w:t>LS</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Pr="008B1465">
        <w:rPr>
          <w:rFonts w:ascii="Times New Roman" w:hAnsi="Times New Roman"/>
          <w:noProof/>
          <w:sz w:val="24"/>
          <w:szCs w:val="24"/>
        </w:rPr>
        <w:drawing>
          <wp:inline distT="0" distB="0" distL="0" distR="0" wp14:anchorId="745E0337" wp14:editId="55AE4DB0">
            <wp:extent cx="84455" cy="173355"/>
            <wp:effectExtent l="0" t="0" r="0" b="0"/>
            <wp:docPr id="249" name="Picture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 name="Picture 24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Pr="008B1465">
        <w:rPr>
          <w:rFonts w:ascii="Times New Roman" w:eastAsia="DengXian" w:hAnsi="Times New Roman"/>
          <w:sz w:val="24"/>
          <w:szCs w:val="24"/>
          <w:vertAlign w:val="subscript"/>
        </w:rPr>
        <w:t>3</w:t>
      </w:r>
      <w:r w:rsidRPr="008B1465">
        <w:rPr>
          <w:rFonts w:ascii="Times New Roman" w:eastAsia="DengXian" w:hAnsi="Times New Roman"/>
          <w:sz w:val="24"/>
          <w:szCs w:val="24"/>
        </w:rPr>
        <w:t>SCCP</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Pr="008B1465">
        <w:rPr>
          <w:rFonts w:ascii="Times New Roman" w:hAnsi="Times New Roman"/>
          <w:noProof/>
          <w:sz w:val="24"/>
          <w:szCs w:val="24"/>
        </w:rPr>
        <w:drawing>
          <wp:inline distT="0" distB="0" distL="0" distR="0" wp14:anchorId="1AE74AC2" wp14:editId="362BA495">
            <wp:extent cx="84455" cy="173355"/>
            <wp:effectExtent l="0" t="0" r="0" b="0"/>
            <wp:docPr id="250" name="Picture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Picture 25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Pr="008B1465">
        <w:rPr>
          <w:rFonts w:ascii="Times New Roman" w:eastAsia="DengXian" w:hAnsi="Times New Roman"/>
          <w:sz w:val="24"/>
          <w:szCs w:val="24"/>
          <w:vertAlign w:val="subscript"/>
        </w:rPr>
        <w:t>4</w:t>
      </w:r>
      <w:r w:rsidRPr="008B1465">
        <w:rPr>
          <w:rFonts w:ascii="Times New Roman" w:eastAsia="DengXian" w:hAnsi="Times New Roman"/>
          <w:sz w:val="24"/>
          <w:szCs w:val="24"/>
        </w:rPr>
        <w:t>ADE</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00C87B3D" w:rsidRPr="008B1465">
        <w:rPr>
          <w:rFonts w:ascii="Times New Roman" w:hAnsi="Times New Roman"/>
          <w:sz w:val="32"/>
          <w:szCs w:val="32"/>
        </w:rPr>
        <w:t>ԑ</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Model 3</w:t>
      </w:r>
    </w:p>
    <w:p w14:paraId="6789AD81" w14:textId="521EC990" w:rsidR="001616E5" w:rsidRPr="008B1465" w:rsidRDefault="003F05E3" w:rsidP="00E911E5">
      <w:pPr>
        <w:pStyle w:val="NoSpacing"/>
        <w:spacing w:line="360" w:lineRule="auto"/>
        <w:rPr>
          <w:rFonts w:ascii="Times New Roman" w:eastAsia="DengXian" w:hAnsi="Times New Roman"/>
          <w:sz w:val="24"/>
          <w:szCs w:val="24"/>
        </w:rPr>
      </w:pPr>
      <w:r w:rsidRPr="008B1465">
        <w:rPr>
          <w:rFonts w:ascii="Times New Roman" w:eastAsia="DengXian" w:hAnsi="Times New Roman"/>
          <w:sz w:val="24"/>
          <w:szCs w:val="24"/>
        </w:rPr>
        <w:t xml:space="preserve">PP = </w:t>
      </w:r>
      <w:r w:rsidR="00D76605" w:rsidRPr="008B1465">
        <w:rPr>
          <w:rFonts w:ascii="Times New Roman" w:eastAsia="DengXian" w:hAnsi="Times New Roman"/>
          <w:bCs/>
          <w:sz w:val="24"/>
          <w:szCs w:val="24"/>
        </w:rPr>
        <w:t>β</w:t>
      </w:r>
      <w:r w:rsidRPr="008B1465">
        <w:rPr>
          <w:rFonts w:ascii="Times New Roman" w:eastAsia="DengXian" w:hAnsi="Times New Roman"/>
          <w:sz w:val="24"/>
          <w:szCs w:val="24"/>
          <w:vertAlign w:val="subscript"/>
        </w:rPr>
        <w:t>0</w:t>
      </w:r>
      <w:r w:rsidRPr="008B1465">
        <w:rPr>
          <w:rFonts w:ascii="Times New Roman" w:eastAsia="DengXian" w:hAnsi="Times New Roman"/>
          <w:sz w:val="24"/>
          <w:szCs w:val="24"/>
        </w:rPr>
        <w:t xml:space="preserve"> + β</w:t>
      </w:r>
      <w:r w:rsidRPr="008B1465">
        <w:rPr>
          <w:rFonts w:ascii="Times New Roman" w:eastAsia="DengXian" w:hAnsi="Times New Roman"/>
          <w:sz w:val="24"/>
          <w:szCs w:val="24"/>
          <w:vertAlign w:val="subscript"/>
        </w:rPr>
        <w:t>1</w:t>
      </w:r>
      <w:r w:rsidRPr="008B1465">
        <w:rPr>
          <w:rFonts w:ascii="Times New Roman" w:eastAsia="DengXian" w:hAnsi="Times New Roman"/>
          <w:sz w:val="24"/>
          <w:szCs w:val="24"/>
        </w:rPr>
        <w:t>IF</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β</w:t>
      </w:r>
      <w:r w:rsidRPr="008B1465">
        <w:rPr>
          <w:rFonts w:ascii="Times New Roman" w:eastAsia="DengXian" w:hAnsi="Times New Roman"/>
          <w:sz w:val="24"/>
          <w:szCs w:val="24"/>
          <w:vertAlign w:val="subscript"/>
        </w:rPr>
        <w:t>2</w:t>
      </w:r>
      <w:r w:rsidRPr="008B1465">
        <w:rPr>
          <w:rFonts w:ascii="Times New Roman" w:eastAsia="DengXian" w:hAnsi="Times New Roman"/>
          <w:sz w:val="24"/>
          <w:szCs w:val="24"/>
        </w:rPr>
        <w:t>LS</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β</w:t>
      </w:r>
      <w:r w:rsidRPr="008B1465">
        <w:rPr>
          <w:rFonts w:ascii="Times New Roman" w:eastAsia="DengXian" w:hAnsi="Times New Roman"/>
          <w:sz w:val="24"/>
          <w:szCs w:val="24"/>
          <w:vertAlign w:val="subscript"/>
        </w:rPr>
        <w:t>3</w:t>
      </w:r>
      <w:r w:rsidRPr="008B1465">
        <w:rPr>
          <w:rFonts w:ascii="Times New Roman" w:eastAsia="DengXian" w:hAnsi="Times New Roman"/>
          <w:sz w:val="24"/>
          <w:szCs w:val="24"/>
        </w:rPr>
        <w:t>SCCP</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β</w:t>
      </w:r>
      <w:r w:rsidRPr="008B1465">
        <w:rPr>
          <w:rFonts w:ascii="Times New Roman" w:eastAsia="DengXian" w:hAnsi="Times New Roman"/>
          <w:sz w:val="24"/>
          <w:szCs w:val="24"/>
          <w:vertAlign w:val="subscript"/>
        </w:rPr>
        <w:t>4</w:t>
      </w:r>
      <w:r w:rsidRPr="008B1465">
        <w:rPr>
          <w:rFonts w:ascii="Times New Roman" w:eastAsia="DengXian" w:hAnsi="Times New Roman"/>
          <w:sz w:val="24"/>
          <w:szCs w:val="24"/>
        </w:rPr>
        <w:t>ADE</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00C87B3D" w:rsidRPr="008B1465">
        <w:rPr>
          <w:rFonts w:ascii="Times New Roman" w:hAnsi="Times New Roman"/>
          <w:sz w:val="32"/>
          <w:szCs w:val="32"/>
        </w:rPr>
        <w:t>ԑ</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Model 4</w:t>
      </w:r>
    </w:p>
    <w:p w14:paraId="27D222FA" w14:textId="77777777" w:rsidR="001616E5" w:rsidRPr="008B1465" w:rsidRDefault="003F05E3" w:rsidP="007541CB">
      <w:pPr>
        <w:spacing w:after="0" w:line="360" w:lineRule="auto"/>
        <w:jc w:val="both"/>
        <w:rPr>
          <w:rFonts w:ascii="Times New Roman" w:eastAsia="DengXian" w:hAnsi="Times New Roman"/>
          <w:bCs/>
          <w:sz w:val="24"/>
          <w:szCs w:val="24"/>
        </w:rPr>
      </w:pPr>
      <w:r w:rsidRPr="008B1465">
        <w:rPr>
          <w:rFonts w:ascii="Times New Roman" w:eastAsia="DengXian" w:hAnsi="Times New Roman"/>
          <w:bCs/>
          <w:sz w:val="24"/>
          <w:szCs w:val="24"/>
        </w:rPr>
        <w:t>Where:</w:t>
      </w:r>
    </w:p>
    <w:p w14:paraId="4394A6FD" w14:textId="5519E476" w:rsidR="001616E5" w:rsidRPr="008B1465" w:rsidRDefault="00651516" w:rsidP="007541CB">
      <w:pPr>
        <w:spacing w:after="0" w:line="360" w:lineRule="auto"/>
        <w:jc w:val="both"/>
        <w:rPr>
          <w:rFonts w:ascii="Times New Roman" w:eastAsia="DengXian" w:hAnsi="Times New Roman"/>
          <w:bCs/>
          <w:sz w:val="24"/>
          <w:szCs w:val="24"/>
        </w:rPr>
      </w:pPr>
      <w:r w:rsidRPr="008B1465">
        <w:rPr>
          <w:rFonts w:ascii="Times New Roman" w:eastAsia="DengXian" w:hAnsi="Times New Roman"/>
          <w:bCs/>
          <w:sz w:val="24"/>
          <w:szCs w:val="24"/>
        </w:rPr>
        <w:t>β</w:t>
      </w:r>
      <w:r w:rsidR="003F05E3" w:rsidRPr="008B1465">
        <w:rPr>
          <w:rFonts w:ascii="Times New Roman" w:eastAsia="DengXian" w:hAnsi="Times New Roman"/>
          <w:bCs/>
          <w:sz w:val="24"/>
          <w:szCs w:val="24"/>
          <w:vertAlign w:val="subscript"/>
        </w:rPr>
        <w:t>0</w:t>
      </w:r>
      <w:r w:rsidR="003F05E3" w:rsidRPr="008B1465">
        <w:rPr>
          <w:rFonts w:ascii="Times New Roman" w:eastAsia="DengXian" w:hAnsi="Times New Roman"/>
          <w:bCs/>
          <w:sz w:val="24"/>
          <w:szCs w:val="24"/>
        </w:rPr>
        <w:t xml:space="preserve"> is an intercept</w:t>
      </w:r>
    </w:p>
    <w:p w14:paraId="38D70D67" w14:textId="77777777"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DengXian" w:hAnsi="Times New Roman"/>
          <w:bCs/>
          <w:sz w:val="24"/>
          <w:szCs w:val="24"/>
        </w:rPr>
        <w:t>β</w:t>
      </w:r>
      <w:r w:rsidRPr="008B1465">
        <w:rPr>
          <w:rFonts w:ascii="Times New Roman" w:eastAsia="DengXian" w:hAnsi="Times New Roman"/>
          <w:bCs/>
          <w:sz w:val="24"/>
          <w:szCs w:val="24"/>
          <w:vertAlign w:val="subscript"/>
        </w:rPr>
        <w:t xml:space="preserve"> 1 – </w:t>
      </w:r>
      <w:r w:rsidRPr="008B1465">
        <w:rPr>
          <w:rFonts w:ascii="Times New Roman" w:eastAsia="DengXian" w:hAnsi="Times New Roman"/>
          <w:bCs/>
          <w:sz w:val="24"/>
          <w:szCs w:val="24"/>
        </w:rPr>
        <w:t>β</w:t>
      </w:r>
      <w:r w:rsidRPr="008B1465">
        <w:rPr>
          <w:rFonts w:ascii="Times New Roman" w:eastAsia="DengXian" w:hAnsi="Times New Roman"/>
          <w:bCs/>
          <w:sz w:val="24"/>
          <w:szCs w:val="24"/>
          <w:vertAlign w:val="subscript"/>
        </w:rPr>
        <w:t xml:space="preserve"> 4 </w:t>
      </w:r>
      <w:r w:rsidRPr="008B1465">
        <w:rPr>
          <w:rFonts w:ascii="Times New Roman" w:eastAsia="Calibri" w:hAnsi="Times New Roman"/>
          <w:bCs/>
          <w:sz w:val="24"/>
          <w:szCs w:val="24"/>
        </w:rPr>
        <w:t>are the coefficients of the explanatory variables</w:t>
      </w:r>
    </w:p>
    <w:p w14:paraId="2D2A0BED" w14:textId="62765EE0" w:rsidR="001616E5" w:rsidRDefault="005D12ED" w:rsidP="007541CB">
      <w:pPr>
        <w:spacing w:after="0" w:line="360" w:lineRule="auto"/>
        <w:jc w:val="both"/>
        <w:rPr>
          <w:rFonts w:ascii="Times New Roman" w:eastAsia="DengXian" w:hAnsi="Times New Roman"/>
          <w:bCs/>
          <w:sz w:val="24"/>
          <w:szCs w:val="24"/>
        </w:rPr>
      </w:pPr>
      <w:r w:rsidRPr="008B1465">
        <w:rPr>
          <w:rFonts w:ascii="Times New Roman" w:hAnsi="Times New Roman"/>
          <w:sz w:val="32"/>
          <w:szCs w:val="32"/>
        </w:rPr>
        <w:t>ԑ</w:t>
      </w:r>
      <w:r w:rsidR="003F05E3" w:rsidRPr="008B1465">
        <w:rPr>
          <w:rFonts w:ascii="Times New Roman" w:eastAsia="DengXian" w:hAnsi="Times New Roman"/>
          <w:bCs/>
          <w:sz w:val="24"/>
          <w:szCs w:val="24"/>
          <w:vertAlign w:val="subscript"/>
        </w:rPr>
        <w:t>i</w:t>
      </w:r>
      <w:r w:rsidR="003F05E3" w:rsidRPr="008B1465">
        <w:rPr>
          <w:rFonts w:ascii="Times New Roman" w:eastAsia="DengXian" w:hAnsi="Times New Roman"/>
          <w:bCs/>
          <w:sz w:val="24"/>
          <w:szCs w:val="24"/>
        </w:rPr>
        <w:t xml:space="preserve"> are the error terms that absorb the influence of omitted variables in proxies used.</w:t>
      </w:r>
    </w:p>
    <w:p w14:paraId="7222A01F" w14:textId="77777777" w:rsidR="008D6D69" w:rsidRPr="008B1465" w:rsidRDefault="008D6D69" w:rsidP="007541CB">
      <w:pPr>
        <w:spacing w:after="0" w:line="360" w:lineRule="auto"/>
        <w:jc w:val="both"/>
        <w:rPr>
          <w:rFonts w:ascii="Times New Roman" w:eastAsia="DengXian" w:hAnsi="Times New Roman"/>
          <w:bCs/>
          <w:sz w:val="24"/>
          <w:szCs w:val="24"/>
        </w:rPr>
      </w:pPr>
    </w:p>
    <w:p w14:paraId="41183EF7" w14:textId="72F22FB8" w:rsidR="001616E5" w:rsidRPr="00AD316D" w:rsidRDefault="003F05E3" w:rsidP="00AD316D">
      <w:pPr>
        <w:pStyle w:val="Heading2"/>
      </w:pPr>
      <w:bookmarkStart w:id="101" w:name="_Toc145951119"/>
      <w:r w:rsidRPr="00AD316D">
        <w:t>Model Estimation and Evaluation Technique</w:t>
      </w:r>
      <w:bookmarkEnd w:id="101"/>
    </w:p>
    <w:p w14:paraId="5A346897" w14:textId="4456636D"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 xml:space="preserve">To obtain the numerical values of the model coefficients, Ordinary Least </w:t>
      </w:r>
      <w:r w:rsidR="00E2449C" w:rsidRPr="008B1465">
        <w:rPr>
          <w:rFonts w:ascii="Times New Roman" w:eastAsia="Calibri" w:hAnsi="Times New Roman"/>
          <w:bCs/>
          <w:sz w:val="24"/>
          <w:szCs w:val="24"/>
        </w:rPr>
        <w:t>Squares (OLS) regression was</w:t>
      </w:r>
      <w:r w:rsidRPr="008B1465">
        <w:rPr>
          <w:rFonts w:ascii="Times New Roman" w:eastAsia="Calibri" w:hAnsi="Times New Roman"/>
          <w:bCs/>
          <w:sz w:val="24"/>
          <w:szCs w:val="24"/>
        </w:rPr>
        <w:t xml:space="preserve"> used. For statistical significance at the 5% level, the estimated numerical values of the coefficients of t</w:t>
      </w:r>
      <w:r w:rsidR="00EB63C8" w:rsidRPr="008B1465">
        <w:rPr>
          <w:rFonts w:ascii="Times New Roman" w:eastAsia="Calibri" w:hAnsi="Times New Roman"/>
          <w:bCs/>
          <w:sz w:val="24"/>
          <w:szCs w:val="24"/>
        </w:rPr>
        <w:t>he multiple regressions was</w:t>
      </w:r>
      <w:r w:rsidRPr="008B1465">
        <w:rPr>
          <w:rFonts w:ascii="Times New Roman" w:eastAsia="Calibri" w:hAnsi="Times New Roman"/>
          <w:bCs/>
          <w:sz w:val="24"/>
          <w:szCs w:val="24"/>
        </w:rPr>
        <w:t xml:space="preserve"> used to evaluate the probability of the t-test statistics, whereas the estimated numerical values of the coefficients of the mul</w:t>
      </w:r>
      <w:r w:rsidR="00FB194B" w:rsidRPr="008B1465">
        <w:rPr>
          <w:rFonts w:ascii="Times New Roman" w:eastAsia="Calibri" w:hAnsi="Times New Roman"/>
          <w:bCs/>
          <w:sz w:val="24"/>
          <w:szCs w:val="24"/>
        </w:rPr>
        <w:t>tiple regression models was</w:t>
      </w:r>
      <w:r w:rsidRPr="008B1465">
        <w:rPr>
          <w:rFonts w:ascii="Times New Roman" w:eastAsia="Calibri" w:hAnsi="Times New Roman"/>
          <w:bCs/>
          <w:sz w:val="24"/>
          <w:szCs w:val="24"/>
        </w:rPr>
        <w:t xml:space="preserve"> used to evaluate the probability of the f-test statistics. Based on the R square and adjusted R-square for simple regression models and multiple regression models, respectively. Therefore, the power of the variables in predicting the influence of forensic accounting techniques on financial misconduct among federal universities</w:t>
      </w:r>
      <w:r w:rsidR="00213CD3" w:rsidRPr="008B1465">
        <w:rPr>
          <w:rFonts w:ascii="Times New Roman" w:eastAsia="Calibri" w:hAnsi="Times New Roman"/>
          <w:bCs/>
          <w:sz w:val="24"/>
          <w:szCs w:val="24"/>
        </w:rPr>
        <w:t xml:space="preserve"> in Southwest, Nigeria was </w:t>
      </w:r>
      <w:r w:rsidRPr="008B1465">
        <w:rPr>
          <w:rFonts w:ascii="Times New Roman" w:eastAsia="Calibri" w:hAnsi="Times New Roman"/>
          <w:bCs/>
          <w:sz w:val="24"/>
          <w:szCs w:val="24"/>
        </w:rPr>
        <w:t xml:space="preserve">assessed. </w:t>
      </w:r>
    </w:p>
    <w:p w14:paraId="326C15AB" w14:textId="25F8C90E" w:rsidR="001616E5" w:rsidRPr="008B1465" w:rsidRDefault="003F05E3" w:rsidP="007541CB">
      <w:pPr>
        <w:pStyle w:val="Heading2"/>
        <w:spacing w:line="360" w:lineRule="auto"/>
        <w:rPr>
          <w:rFonts w:cs="Times New Roman"/>
          <w:sz w:val="24"/>
          <w:szCs w:val="24"/>
        </w:rPr>
      </w:pPr>
      <w:bookmarkStart w:id="102" w:name="_Toc145951120"/>
      <w:r w:rsidRPr="008B1465">
        <w:rPr>
          <w:rFonts w:cs="Times New Roman"/>
          <w:sz w:val="24"/>
          <w:szCs w:val="24"/>
        </w:rPr>
        <w:t>Ethical Consideration</w:t>
      </w:r>
      <w:bookmarkEnd w:id="102"/>
    </w:p>
    <w:p w14:paraId="778821ED" w14:textId="77777777" w:rsidR="001616E5" w:rsidRPr="008B1465" w:rsidRDefault="003F05E3" w:rsidP="007541CB">
      <w:pPr>
        <w:spacing w:after="0" w:line="360" w:lineRule="auto"/>
        <w:jc w:val="both"/>
        <w:rPr>
          <w:rFonts w:ascii="Times New Roman" w:eastAsia="Calibri" w:hAnsi="Times New Roman"/>
          <w:bCs/>
          <w:sz w:val="24"/>
          <w:szCs w:val="24"/>
        </w:rPr>
      </w:pPr>
      <w:r w:rsidRPr="008B1465">
        <w:rPr>
          <w:rFonts w:ascii="Times New Roman" w:eastAsia="Calibri" w:hAnsi="Times New Roman"/>
          <w:bCs/>
          <w:sz w:val="24"/>
          <w:szCs w:val="24"/>
        </w:rPr>
        <w:t>Transparency, honesty, and integrity are also necessary for the conduct of research work in addition to talent and perseverance. The purpose of this is to acknowledge and denounce the right of human subjects. In order to make the study ethical, the rights to autonomy, anonymity, secrecy, and informed permission must all be upheld. Honesty in science is regarded as a crucial ethical duty when conducting the research. Dishonest behavior encompasses the preservation or modification of data as well as the alteration of design and approach. By being original, properly citing and identifying all used materials, the researcher must avoid any type of dishonesty.</w:t>
      </w:r>
    </w:p>
    <w:p w14:paraId="26B7CDEE" w14:textId="502B6958" w:rsidR="001616E5" w:rsidRPr="008B1465" w:rsidRDefault="003F05E3" w:rsidP="007541CB">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  </w:t>
      </w:r>
    </w:p>
    <w:p w14:paraId="40E3EF97" w14:textId="272182A9" w:rsidR="00E93404" w:rsidRPr="008B1465" w:rsidRDefault="00BD116C">
      <w:pPr>
        <w:spacing w:before="0" w:beforeAutospacing="0" w:after="0" w:line="240" w:lineRule="auto"/>
      </w:pPr>
      <w:r w:rsidRPr="008B1465">
        <w:br w:type="page"/>
      </w:r>
    </w:p>
    <w:p w14:paraId="0329A7B5" w14:textId="33665CC3" w:rsidR="00561AAB" w:rsidRPr="008B1465" w:rsidRDefault="00BF3E7F" w:rsidP="00E93404">
      <w:pPr>
        <w:pStyle w:val="Heading1"/>
        <w:numPr>
          <w:ilvl w:val="0"/>
          <w:numId w:val="0"/>
        </w:numPr>
      </w:pPr>
      <w:bookmarkStart w:id="103" w:name="_Toc145951121"/>
      <w:bookmarkStart w:id="104" w:name="_Hlk136014472"/>
      <w:r w:rsidRPr="008B1465">
        <w:t>CHAPTER FOUR</w:t>
      </w:r>
      <w:bookmarkEnd w:id="103"/>
      <w:r w:rsidR="00857C36" w:rsidRPr="008B1465">
        <w:t xml:space="preserve"> </w:t>
      </w:r>
    </w:p>
    <w:p w14:paraId="3799A871" w14:textId="77777777" w:rsidR="00390B79" w:rsidRPr="008B1465" w:rsidRDefault="00390B79" w:rsidP="00390B79">
      <w:pPr>
        <w:spacing w:line="240" w:lineRule="auto"/>
        <w:rPr>
          <w:sz w:val="2"/>
          <w:szCs w:val="2"/>
        </w:rPr>
      </w:pPr>
    </w:p>
    <w:p w14:paraId="59BADB39" w14:textId="5F4EAF59" w:rsidR="00234521" w:rsidRPr="008B1465" w:rsidRDefault="00234521" w:rsidP="00E93404">
      <w:pPr>
        <w:pStyle w:val="Heading1"/>
      </w:pPr>
      <w:bookmarkStart w:id="105" w:name="_Toc145951122"/>
      <w:r w:rsidRPr="008B1465">
        <w:t>DATA</w:t>
      </w:r>
      <w:r w:rsidR="00541D14" w:rsidRPr="008B1465">
        <w:t xml:space="preserve"> </w:t>
      </w:r>
      <w:r w:rsidRPr="008B1465">
        <w:t>ANALYSIS</w:t>
      </w:r>
      <w:r w:rsidR="00541D14" w:rsidRPr="008B1465">
        <w:t>, PRESENTATION</w:t>
      </w:r>
      <w:r w:rsidRPr="008B1465">
        <w:t xml:space="preserve"> AND DISCUSS</w:t>
      </w:r>
      <w:r w:rsidR="00154C8A" w:rsidRPr="008B1465">
        <w:t>C</w:t>
      </w:r>
      <w:r w:rsidRPr="008B1465">
        <w:t>ION</w:t>
      </w:r>
      <w:bookmarkEnd w:id="105"/>
      <w:r w:rsidRPr="008B1465">
        <w:t xml:space="preserve"> </w:t>
      </w:r>
    </w:p>
    <w:bookmarkEnd w:id="104"/>
    <w:p w14:paraId="7079041A" w14:textId="77777777" w:rsidR="00234521" w:rsidRPr="008B1465" w:rsidRDefault="00234521" w:rsidP="00234521">
      <w:pPr>
        <w:pStyle w:val="NoSpacing"/>
        <w:jc w:val="center"/>
        <w:rPr>
          <w:rFonts w:ascii="Times New Roman" w:hAnsi="Times New Roman"/>
          <w:sz w:val="24"/>
          <w:szCs w:val="24"/>
        </w:rPr>
      </w:pPr>
    </w:p>
    <w:p w14:paraId="14D78BB6" w14:textId="68A0229C" w:rsidR="00234521" w:rsidRDefault="00234521" w:rsidP="00234521">
      <w:pPr>
        <w:pStyle w:val="NoSpacing"/>
        <w:spacing w:line="360" w:lineRule="auto"/>
        <w:jc w:val="both"/>
        <w:rPr>
          <w:rFonts w:ascii="Times New Roman" w:hAnsi="Times New Roman"/>
          <w:sz w:val="24"/>
          <w:szCs w:val="24"/>
        </w:rPr>
      </w:pPr>
      <w:r w:rsidRPr="008B1465">
        <w:rPr>
          <w:rFonts w:ascii="Times New Roman" w:hAnsi="Times New Roman"/>
          <w:sz w:val="24"/>
          <w:szCs w:val="24"/>
        </w:rPr>
        <w:t xml:space="preserve">This chapter presented and discussed the result of data collected and analyzed for the empirical study. It also provided information on questions raised in the study in relation to forensic accounting techniques and financial misconduct among </w:t>
      </w:r>
      <w:r w:rsidR="00EC14C6" w:rsidRPr="008B1465">
        <w:rPr>
          <w:rFonts w:ascii="Times New Roman" w:hAnsi="Times New Roman"/>
          <w:sz w:val="24"/>
          <w:szCs w:val="24"/>
        </w:rPr>
        <w:t>F</w:t>
      </w:r>
      <w:r w:rsidRPr="008B1465">
        <w:rPr>
          <w:rFonts w:ascii="Times New Roman" w:hAnsi="Times New Roman"/>
          <w:sz w:val="24"/>
          <w:szCs w:val="24"/>
        </w:rPr>
        <w:t xml:space="preserve">ederal </w:t>
      </w:r>
      <w:r w:rsidR="00EC14C6" w:rsidRPr="008B1465">
        <w:rPr>
          <w:rFonts w:ascii="Times New Roman" w:hAnsi="Times New Roman"/>
          <w:sz w:val="24"/>
          <w:szCs w:val="24"/>
        </w:rPr>
        <w:t>U</w:t>
      </w:r>
      <w:r w:rsidRPr="008B1465">
        <w:rPr>
          <w:rFonts w:ascii="Times New Roman" w:hAnsi="Times New Roman"/>
          <w:sz w:val="24"/>
          <w:szCs w:val="24"/>
        </w:rPr>
        <w:t xml:space="preserve">niversities in Southwest, Nigeria. This chapter </w:t>
      </w:r>
      <w:r w:rsidR="00EC14C6" w:rsidRPr="008B1465">
        <w:rPr>
          <w:rFonts w:ascii="Times New Roman" w:hAnsi="Times New Roman"/>
          <w:sz w:val="24"/>
          <w:szCs w:val="24"/>
        </w:rPr>
        <w:t xml:space="preserve">is </w:t>
      </w:r>
      <w:r w:rsidRPr="008B1465">
        <w:rPr>
          <w:rFonts w:ascii="Times New Roman" w:hAnsi="Times New Roman"/>
          <w:sz w:val="24"/>
          <w:szCs w:val="24"/>
        </w:rPr>
        <w:t>divided into sub-sections. Section 4.1 presented detailed analysis of the respondents’ demographical data, sections 4.2 showed analysis of respondents to research variables, while</w:t>
      </w:r>
      <w:r w:rsidR="000176E9" w:rsidRPr="008B1465">
        <w:rPr>
          <w:rFonts w:ascii="Times New Roman" w:hAnsi="Times New Roman"/>
          <w:sz w:val="24"/>
          <w:szCs w:val="24"/>
        </w:rPr>
        <w:t xml:space="preserve"> section</w:t>
      </w:r>
      <w:r w:rsidRPr="008B1465">
        <w:rPr>
          <w:rFonts w:ascii="Times New Roman" w:hAnsi="Times New Roman"/>
          <w:sz w:val="24"/>
          <w:szCs w:val="24"/>
        </w:rPr>
        <w:t xml:space="preserve"> 4.</w:t>
      </w:r>
      <w:r w:rsidR="004A742A" w:rsidRPr="008B1465">
        <w:rPr>
          <w:rFonts w:ascii="Times New Roman" w:hAnsi="Times New Roman"/>
          <w:sz w:val="24"/>
          <w:szCs w:val="24"/>
        </w:rPr>
        <w:t>2.1</w:t>
      </w:r>
      <w:r w:rsidRPr="008B1465">
        <w:rPr>
          <w:rFonts w:ascii="Times New Roman" w:hAnsi="Times New Roman"/>
          <w:sz w:val="24"/>
          <w:szCs w:val="24"/>
        </w:rPr>
        <w:t xml:space="preserve"> presented diagnostic test. In section 4.</w:t>
      </w:r>
      <w:r w:rsidR="004A742A" w:rsidRPr="008B1465">
        <w:rPr>
          <w:rFonts w:ascii="Times New Roman" w:hAnsi="Times New Roman"/>
          <w:sz w:val="24"/>
          <w:szCs w:val="24"/>
        </w:rPr>
        <w:t>2</w:t>
      </w:r>
      <w:r w:rsidR="00046E17" w:rsidRPr="008B1465">
        <w:rPr>
          <w:rFonts w:ascii="Times New Roman" w:hAnsi="Times New Roman"/>
          <w:sz w:val="24"/>
          <w:szCs w:val="24"/>
        </w:rPr>
        <w:t>.2</w:t>
      </w:r>
      <w:r w:rsidRPr="008B1465">
        <w:rPr>
          <w:rFonts w:ascii="Times New Roman" w:hAnsi="Times New Roman"/>
          <w:sz w:val="24"/>
          <w:szCs w:val="24"/>
        </w:rPr>
        <w:t xml:space="preserve">, influence of forensic accounting techniques on fund misappropriation among </w:t>
      </w:r>
      <w:r w:rsidR="00EC14C6" w:rsidRPr="008B1465">
        <w:rPr>
          <w:rFonts w:ascii="Times New Roman" w:hAnsi="Times New Roman"/>
          <w:sz w:val="24"/>
          <w:szCs w:val="24"/>
        </w:rPr>
        <w:t>F</w:t>
      </w:r>
      <w:r w:rsidRPr="008B1465">
        <w:rPr>
          <w:rFonts w:ascii="Times New Roman" w:hAnsi="Times New Roman"/>
          <w:sz w:val="24"/>
          <w:szCs w:val="24"/>
        </w:rPr>
        <w:t xml:space="preserve">ederal </w:t>
      </w:r>
      <w:r w:rsidR="00EC14C6" w:rsidRPr="008B1465">
        <w:rPr>
          <w:rFonts w:ascii="Times New Roman" w:hAnsi="Times New Roman"/>
          <w:sz w:val="24"/>
          <w:szCs w:val="24"/>
        </w:rPr>
        <w:t>U</w:t>
      </w:r>
      <w:r w:rsidRPr="008B1465">
        <w:rPr>
          <w:rFonts w:ascii="Times New Roman" w:hAnsi="Times New Roman"/>
          <w:sz w:val="24"/>
          <w:szCs w:val="24"/>
        </w:rPr>
        <w:t>niversities in Southwest</w:t>
      </w:r>
      <w:r w:rsidR="000176E9" w:rsidRPr="008B1465">
        <w:rPr>
          <w:rFonts w:ascii="Times New Roman" w:hAnsi="Times New Roman"/>
          <w:sz w:val="24"/>
          <w:szCs w:val="24"/>
        </w:rPr>
        <w:t>,</w:t>
      </w:r>
      <w:r w:rsidRPr="008B1465">
        <w:rPr>
          <w:rFonts w:ascii="Times New Roman" w:hAnsi="Times New Roman"/>
          <w:sz w:val="24"/>
          <w:szCs w:val="24"/>
        </w:rPr>
        <w:t xml:space="preserve"> Nigeria was the focus. Section 4.2</w:t>
      </w:r>
      <w:r w:rsidR="00046E17" w:rsidRPr="008B1465">
        <w:rPr>
          <w:rFonts w:ascii="Times New Roman" w:hAnsi="Times New Roman"/>
          <w:sz w:val="24"/>
          <w:szCs w:val="24"/>
        </w:rPr>
        <w:t>.3</w:t>
      </w:r>
      <w:r w:rsidRPr="008B1465">
        <w:rPr>
          <w:rFonts w:ascii="Times New Roman" w:hAnsi="Times New Roman"/>
          <w:sz w:val="24"/>
          <w:szCs w:val="24"/>
        </w:rPr>
        <w:t xml:space="preserve"> examined the </w:t>
      </w:r>
      <w:r w:rsidR="0079307E">
        <w:rPr>
          <w:rFonts w:ascii="Times New Roman" w:hAnsi="Times New Roman"/>
          <w:sz w:val="24"/>
          <w:szCs w:val="24"/>
        </w:rPr>
        <w:t>effect of</w:t>
      </w:r>
      <w:r w:rsidRPr="008B1465">
        <w:rPr>
          <w:rFonts w:ascii="Times New Roman" w:hAnsi="Times New Roman"/>
          <w:sz w:val="24"/>
          <w:szCs w:val="24"/>
        </w:rPr>
        <w:t xml:space="preserve"> forensic accounting techniques </w:t>
      </w:r>
      <w:r w:rsidR="00F269CB">
        <w:rPr>
          <w:rFonts w:ascii="Times New Roman" w:hAnsi="Times New Roman"/>
          <w:sz w:val="24"/>
          <w:szCs w:val="24"/>
        </w:rPr>
        <w:t>on</w:t>
      </w:r>
      <w:r w:rsidRPr="008B1465">
        <w:rPr>
          <w:rFonts w:ascii="Times New Roman" w:hAnsi="Times New Roman"/>
          <w:sz w:val="24"/>
          <w:szCs w:val="24"/>
        </w:rPr>
        <w:t xml:space="preserve"> value for money practices, section 4.</w:t>
      </w:r>
      <w:r w:rsidR="00046E17" w:rsidRPr="008B1465">
        <w:rPr>
          <w:rFonts w:ascii="Times New Roman" w:hAnsi="Times New Roman"/>
          <w:sz w:val="24"/>
          <w:szCs w:val="24"/>
        </w:rPr>
        <w:t>2.4</w:t>
      </w:r>
      <w:r w:rsidRPr="008B1465">
        <w:rPr>
          <w:rFonts w:ascii="Times New Roman" w:hAnsi="Times New Roman"/>
          <w:sz w:val="24"/>
          <w:szCs w:val="24"/>
        </w:rPr>
        <w:t xml:space="preserve"> described the impact of forensic accounting techniques on creative accounting practices while section 4.</w:t>
      </w:r>
      <w:r w:rsidR="00046E17" w:rsidRPr="008B1465">
        <w:rPr>
          <w:rFonts w:ascii="Times New Roman" w:hAnsi="Times New Roman"/>
          <w:sz w:val="24"/>
          <w:szCs w:val="24"/>
        </w:rPr>
        <w:t>2.5</w:t>
      </w:r>
      <w:r w:rsidRPr="008B1465">
        <w:rPr>
          <w:rFonts w:ascii="Times New Roman" w:hAnsi="Times New Roman"/>
          <w:sz w:val="24"/>
          <w:szCs w:val="24"/>
        </w:rPr>
        <w:t xml:space="preserve"> evaluated the </w:t>
      </w:r>
      <w:r w:rsidR="00F269CB">
        <w:rPr>
          <w:rFonts w:ascii="Times New Roman" w:hAnsi="Times New Roman"/>
          <w:sz w:val="24"/>
          <w:szCs w:val="24"/>
        </w:rPr>
        <w:t>effect of</w:t>
      </w:r>
      <w:r w:rsidR="00F269CB" w:rsidRPr="008B1465">
        <w:rPr>
          <w:rFonts w:ascii="Times New Roman" w:hAnsi="Times New Roman"/>
          <w:sz w:val="24"/>
          <w:szCs w:val="24"/>
        </w:rPr>
        <w:t xml:space="preserve"> </w:t>
      </w:r>
      <w:r w:rsidRPr="008B1465">
        <w:rPr>
          <w:rFonts w:ascii="Times New Roman" w:hAnsi="Times New Roman"/>
          <w:sz w:val="24"/>
          <w:szCs w:val="24"/>
        </w:rPr>
        <w:t xml:space="preserve">forensic accounting techniques and procurement practices among the federal universities in southwest, Nigeria. The chapter also presented the test of hypotheses formulated for the study in section 4.3 while discussion of findings was the focus in section 4.4. </w:t>
      </w:r>
    </w:p>
    <w:p w14:paraId="625CA272" w14:textId="10C8CCA6" w:rsidR="00F53D3F" w:rsidRPr="002B6C09" w:rsidRDefault="00F53D3F" w:rsidP="00441379">
      <w:pPr>
        <w:pStyle w:val="Heading2"/>
      </w:pPr>
      <w:bookmarkStart w:id="106" w:name="_Toc145951123"/>
      <w:r w:rsidRPr="002B6C09">
        <w:t>Descriptive Statistics</w:t>
      </w:r>
      <w:bookmarkEnd w:id="106"/>
    </w:p>
    <w:p w14:paraId="1BB3AE4E" w14:textId="4002D09E" w:rsidR="00234521" w:rsidRPr="003838BC" w:rsidRDefault="00234521" w:rsidP="003838BC">
      <w:pPr>
        <w:rPr>
          <w:rFonts w:ascii="Times New Roman" w:hAnsi="Times New Roman"/>
          <w:b/>
          <w:bCs/>
          <w:sz w:val="24"/>
          <w:szCs w:val="24"/>
        </w:rPr>
      </w:pPr>
      <w:r w:rsidRPr="003838BC">
        <w:rPr>
          <w:rFonts w:ascii="Times New Roman" w:hAnsi="Times New Roman"/>
          <w:b/>
          <w:bCs/>
          <w:sz w:val="24"/>
          <w:szCs w:val="24"/>
        </w:rPr>
        <w:t xml:space="preserve">Socio-Demographic Characteristics of the Respondents </w:t>
      </w:r>
    </w:p>
    <w:p w14:paraId="059EC03F" w14:textId="77777777" w:rsidR="00820FAF" w:rsidRPr="008B1465" w:rsidRDefault="00234521" w:rsidP="00234521">
      <w:pPr>
        <w:pStyle w:val="NoSpacing"/>
        <w:spacing w:line="360" w:lineRule="auto"/>
        <w:jc w:val="both"/>
        <w:rPr>
          <w:rFonts w:ascii="Times New Roman" w:hAnsi="Times New Roman"/>
          <w:sz w:val="24"/>
          <w:szCs w:val="24"/>
        </w:rPr>
      </w:pPr>
      <w:r w:rsidRPr="008B1465">
        <w:rPr>
          <w:rFonts w:ascii="Times New Roman" w:hAnsi="Times New Roman"/>
          <w:sz w:val="24"/>
          <w:szCs w:val="24"/>
        </w:rPr>
        <w:t>This section presented the summarized socio-demographic characteristics of the respondents surveyed for the empirical study. The reason is that such characteristics were important to the study of this nature. The attributes considered were:</w:t>
      </w:r>
      <w:r w:rsidR="009F7441" w:rsidRPr="008B1465">
        <w:rPr>
          <w:rFonts w:ascii="Times New Roman" w:hAnsi="Times New Roman"/>
          <w:sz w:val="24"/>
          <w:szCs w:val="24"/>
        </w:rPr>
        <w:t xml:space="preserve"> gender,</w:t>
      </w:r>
      <w:r w:rsidRPr="008B1465">
        <w:rPr>
          <w:rFonts w:ascii="Times New Roman" w:hAnsi="Times New Roman"/>
          <w:sz w:val="24"/>
          <w:szCs w:val="24"/>
        </w:rPr>
        <w:t xml:space="preserve"> </w:t>
      </w:r>
      <w:r w:rsidR="009F7441" w:rsidRPr="008B1465">
        <w:rPr>
          <w:rFonts w:ascii="Times New Roman" w:hAnsi="Times New Roman"/>
          <w:sz w:val="24"/>
          <w:szCs w:val="24"/>
        </w:rPr>
        <w:t xml:space="preserve">marital status, </w:t>
      </w:r>
      <w:r w:rsidRPr="008B1465">
        <w:rPr>
          <w:rFonts w:ascii="Times New Roman" w:hAnsi="Times New Roman"/>
          <w:sz w:val="24"/>
          <w:szCs w:val="24"/>
        </w:rPr>
        <w:t>age, education,</w:t>
      </w:r>
      <w:r w:rsidR="009F7441" w:rsidRPr="008B1465">
        <w:rPr>
          <w:rFonts w:ascii="Times New Roman" w:hAnsi="Times New Roman"/>
          <w:sz w:val="24"/>
          <w:szCs w:val="24"/>
        </w:rPr>
        <w:t xml:space="preserve"> </w:t>
      </w:r>
      <w:r w:rsidR="00000CDC" w:rsidRPr="008B1465">
        <w:rPr>
          <w:rFonts w:ascii="Times New Roman" w:hAnsi="Times New Roman"/>
          <w:sz w:val="24"/>
          <w:szCs w:val="24"/>
        </w:rPr>
        <w:t>length of service, department,</w:t>
      </w:r>
      <w:r w:rsidRPr="008B1465">
        <w:rPr>
          <w:rFonts w:ascii="Times New Roman" w:hAnsi="Times New Roman"/>
          <w:sz w:val="24"/>
          <w:szCs w:val="24"/>
        </w:rPr>
        <w:t xml:space="preserve"> professional qualification, and position. </w:t>
      </w:r>
    </w:p>
    <w:p w14:paraId="1644D398" w14:textId="77777777" w:rsidR="00820FAF" w:rsidRPr="008B1465" w:rsidRDefault="00820FAF" w:rsidP="00234521">
      <w:pPr>
        <w:pStyle w:val="NoSpacing"/>
        <w:spacing w:line="360" w:lineRule="auto"/>
        <w:jc w:val="both"/>
        <w:rPr>
          <w:rFonts w:ascii="Times New Roman" w:hAnsi="Times New Roman"/>
          <w:sz w:val="24"/>
          <w:szCs w:val="24"/>
        </w:rPr>
      </w:pPr>
    </w:p>
    <w:p w14:paraId="4EAFC3B6" w14:textId="77777777" w:rsidR="00FC3D65" w:rsidRDefault="00FC3D65">
      <w:pPr>
        <w:spacing w:before="0" w:beforeAutospacing="0" w:after="0" w:line="240" w:lineRule="auto"/>
        <w:rPr>
          <w:rFonts w:ascii="Times New Roman" w:hAnsi="Times New Roman"/>
          <w:sz w:val="24"/>
          <w:szCs w:val="24"/>
        </w:rPr>
      </w:pPr>
      <w:bookmarkStart w:id="107" w:name="_Toc145952334"/>
      <w:r>
        <w:rPr>
          <w:rFonts w:ascii="Times New Roman" w:hAnsi="Times New Roman"/>
          <w:i/>
          <w:iCs/>
          <w:sz w:val="24"/>
          <w:szCs w:val="24"/>
        </w:rPr>
        <w:br w:type="page"/>
      </w:r>
    </w:p>
    <w:p w14:paraId="378C2A69" w14:textId="565D270B" w:rsidR="00FC3D65" w:rsidRPr="001A01DE" w:rsidRDefault="00FC3D65" w:rsidP="00FC3D65">
      <w:pPr>
        <w:pStyle w:val="Caption"/>
        <w:keepNext/>
        <w:jc w:val="center"/>
        <w:rPr>
          <w:rFonts w:ascii="Times New Roman" w:hAnsi="Times New Roman"/>
          <w:i w:val="0"/>
          <w:iCs w:val="0"/>
          <w:color w:val="auto"/>
          <w:sz w:val="24"/>
          <w:szCs w:val="24"/>
        </w:rPr>
      </w:pPr>
      <w:r w:rsidRPr="001A01DE">
        <w:rPr>
          <w:rFonts w:ascii="Times New Roman" w:hAnsi="Times New Roman"/>
          <w:i w:val="0"/>
          <w:iCs w:val="0"/>
          <w:color w:val="auto"/>
          <w:sz w:val="24"/>
          <w:szCs w:val="24"/>
        </w:rPr>
        <w:t xml:space="preserve">Table </w:t>
      </w:r>
      <w:r>
        <w:rPr>
          <w:rFonts w:ascii="Times New Roman" w:hAnsi="Times New Roman"/>
          <w:i w:val="0"/>
          <w:iCs w:val="0"/>
          <w:color w:val="auto"/>
          <w:sz w:val="24"/>
          <w:szCs w:val="24"/>
        </w:rPr>
        <w:fldChar w:fldCharType="begin"/>
      </w:r>
      <w:r>
        <w:rPr>
          <w:rFonts w:ascii="Times New Roman" w:hAnsi="Times New Roman"/>
          <w:i w:val="0"/>
          <w:iCs w:val="0"/>
          <w:color w:val="auto"/>
          <w:sz w:val="24"/>
          <w:szCs w:val="24"/>
        </w:rPr>
        <w:instrText xml:space="preserve"> STYLEREF 1 \s </w:instrText>
      </w:r>
      <w:r>
        <w:rPr>
          <w:rFonts w:ascii="Times New Roman" w:hAnsi="Times New Roman"/>
          <w:i w:val="0"/>
          <w:iCs w:val="0"/>
          <w:color w:val="auto"/>
          <w:sz w:val="24"/>
          <w:szCs w:val="24"/>
        </w:rPr>
        <w:fldChar w:fldCharType="separate"/>
      </w:r>
      <w:r>
        <w:rPr>
          <w:rFonts w:ascii="Times New Roman" w:hAnsi="Times New Roman"/>
          <w:i w:val="0"/>
          <w:iCs w:val="0"/>
          <w:noProof/>
          <w:color w:val="auto"/>
          <w:sz w:val="24"/>
          <w:szCs w:val="24"/>
        </w:rPr>
        <w:t>4</w:t>
      </w:r>
      <w:r>
        <w:rPr>
          <w:rFonts w:ascii="Times New Roman" w:hAnsi="Times New Roman"/>
          <w:i w:val="0"/>
          <w:iCs w:val="0"/>
          <w:color w:val="auto"/>
          <w:sz w:val="24"/>
          <w:szCs w:val="24"/>
        </w:rPr>
        <w:fldChar w:fldCharType="end"/>
      </w:r>
      <w:r>
        <w:rPr>
          <w:rFonts w:ascii="Times New Roman" w:hAnsi="Times New Roman"/>
          <w:i w:val="0"/>
          <w:iCs w:val="0"/>
          <w:color w:val="auto"/>
          <w:sz w:val="24"/>
          <w:szCs w:val="24"/>
        </w:rPr>
        <w:t>.</w:t>
      </w:r>
      <w:r>
        <w:rPr>
          <w:rFonts w:ascii="Times New Roman" w:hAnsi="Times New Roman"/>
          <w:i w:val="0"/>
          <w:iCs w:val="0"/>
          <w:color w:val="auto"/>
          <w:sz w:val="24"/>
          <w:szCs w:val="24"/>
        </w:rPr>
        <w:fldChar w:fldCharType="begin"/>
      </w:r>
      <w:r>
        <w:rPr>
          <w:rFonts w:ascii="Times New Roman" w:hAnsi="Times New Roman"/>
          <w:i w:val="0"/>
          <w:iCs w:val="0"/>
          <w:color w:val="auto"/>
          <w:sz w:val="24"/>
          <w:szCs w:val="24"/>
        </w:rPr>
        <w:instrText xml:space="preserve"> SEQ Table \* ARABIC \s 1 </w:instrText>
      </w:r>
      <w:r>
        <w:rPr>
          <w:rFonts w:ascii="Times New Roman" w:hAnsi="Times New Roman"/>
          <w:i w:val="0"/>
          <w:iCs w:val="0"/>
          <w:color w:val="auto"/>
          <w:sz w:val="24"/>
          <w:szCs w:val="24"/>
        </w:rPr>
        <w:fldChar w:fldCharType="separate"/>
      </w:r>
      <w:r>
        <w:rPr>
          <w:rFonts w:ascii="Times New Roman" w:hAnsi="Times New Roman"/>
          <w:i w:val="0"/>
          <w:iCs w:val="0"/>
          <w:noProof/>
          <w:color w:val="auto"/>
          <w:sz w:val="24"/>
          <w:szCs w:val="24"/>
        </w:rPr>
        <w:t>1</w:t>
      </w:r>
      <w:r>
        <w:rPr>
          <w:rFonts w:ascii="Times New Roman" w:hAnsi="Times New Roman"/>
          <w:i w:val="0"/>
          <w:iCs w:val="0"/>
          <w:color w:val="auto"/>
          <w:sz w:val="24"/>
          <w:szCs w:val="24"/>
        </w:rPr>
        <w:fldChar w:fldCharType="end"/>
      </w:r>
      <w:r w:rsidRPr="001A01DE">
        <w:rPr>
          <w:rFonts w:ascii="Times New Roman" w:hAnsi="Times New Roman"/>
          <w:i w:val="0"/>
          <w:iCs w:val="0"/>
          <w:color w:val="auto"/>
          <w:sz w:val="24"/>
          <w:szCs w:val="24"/>
        </w:rPr>
        <w:t xml:space="preserve">: </w:t>
      </w:r>
      <w:bookmarkStart w:id="108" w:name="RANGE!J6"/>
      <w:r w:rsidRPr="001A01DE">
        <w:rPr>
          <w:rFonts w:ascii="Times New Roman" w:hAnsi="Times New Roman"/>
          <w:i w:val="0"/>
          <w:iCs w:val="0"/>
          <w:color w:val="auto"/>
          <w:sz w:val="24"/>
          <w:szCs w:val="24"/>
        </w:rPr>
        <w:t>Socio-Demographic Characteristics</w:t>
      </w:r>
      <w:bookmarkEnd w:id="107"/>
      <w:bookmarkEnd w:id="108"/>
    </w:p>
    <w:tbl>
      <w:tblPr>
        <w:tblW w:w="9199" w:type="dxa"/>
        <w:jc w:val="center"/>
        <w:tblLook w:val="04A0" w:firstRow="1" w:lastRow="0" w:firstColumn="1" w:lastColumn="0" w:noHBand="0" w:noVBand="1"/>
      </w:tblPr>
      <w:tblGrid>
        <w:gridCol w:w="4759"/>
        <w:gridCol w:w="2226"/>
        <w:gridCol w:w="2214"/>
      </w:tblGrid>
      <w:tr w:rsidR="00FC3D65" w:rsidRPr="008B1465" w14:paraId="2689F3EE" w14:textId="77777777" w:rsidTr="00FE7438">
        <w:trPr>
          <w:trHeight w:val="265"/>
          <w:jc w:val="center"/>
        </w:trPr>
        <w:tc>
          <w:tcPr>
            <w:tcW w:w="4759" w:type="dxa"/>
            <w:tcBorders>
              <w:top w:val="single" w:sz="24" w:space="0" w:color="auto"/>
              <w:left w:val="nil"/>
              <w:bottom w:val="single" w:sz="24" w:space="0" w:color="auto"/>
              <w:right w:val="nil"/>
            </w:tcBorders>
            <w:shd w:val="clear" w:color="auto" w:fill="auto"/>
            <w:vAlign w:val="center"/>
            <w:hideMark/>
          </w:tcPr>
          <w:p w14:paraId="1743D823" w14:textId="77777777" w:rsidR="00FC3D65" w:rsidRPr="008B1465" w:rsidRDefault="00FC3D65" w:rsidP="00FE7438">
            <w:pPr>
              <w:spacing w:after="0" w:line="240" w:lineRule="auto"/>
              <w:ind w:firstLineChars="300" w:firstLine="723"/>
              <w:rPr>
                <w:rFonts w:ascii="Times New Roman" w:hAnsi="Times New Roman"/>
                <w:b/>
                <w:bCs/>
                <w:color w:val="000000"/>
                <w:sz w:val="24"/>
                <w:szCs w:val="24"/>
              </w:rPr>
            </w:pPr>
            <w:r w:rsidRPr="008B1465">
              <w:rPr>
                <w:rFonts w:ascii="Times New Roman" w:hAnsi="Times New Roman"/>
                <w:b/>
                <w:bCs/>
                <w:color w:val="000000"/>
                <w:sz w:val="24"/>
                <w:szCs w:val="24"/>
              </w:rPr>
              <w:t xml:space="preserve">Characteristics </w:t>
            </w:r>
          </w:p>
        </w:tc>
        <w:tc>
          <w:tcPr>
            <w:tcW w:w="2226" w:type="dxa"/>
            <w:tcBorders>
              <w:top w:val="single" w:sz="24" w:space="0" w:color="auto"/>
              <w:left w:val="nil"/>
              <w:bottom w:val="single" w:sz="24" w:space="0" w:color="auto"/>
              <w:right w:val="nil"/>
            </w:tcBorders>
            <w:shd w:val="clear" w:color="auto" w:fill="auto"/>
            <w:vAlign w:val="center"/>
            <w:hideMark/>
          </w:tcPr>
          <w:p w14:paraId="20C76FF6" w14:textId="77777777" w:rsidR="00FC3D65" w:rsidRPr="008B1465" w:rsidRDefault="00FC3D65" w:rsidP="00FE7438">
            <w:pPr>
              <w:spacing w:after="0" w:line="240" w:lineRule="auto"/>
              <w:ind w:firstLineChars="300" w:firstLine="723"/>
              <w:rPr>
                <w:rFonts w:ascii="Times New Roman" w:hAnsi="Times New Roman"/>
                <w:b/>
                <w:bCs/>
                <w:color w:val="000000"/>
                <w:sz w:val="24"/>
                <w:szCs w:val="24"/>
              </w:rPr>
            </w:pPr>
            <w:r w:rsidRPr="008B1465">
              <w:rPr>
                <w:rFonts w:ascii="Times New Roman" w:hAnsi="Times New Roman"/>
                <w:b/>
                <w:bCs/>
                <w:color w:val="000000"/>
                <w:sz w:val="24"/>
                <w:szCs w:val="24"/>
              </w:rPr>
              <w:t>Frequencies</w:t>
            </w:r>
          </w:p>
        </w:tc>
        <w:tc>
          <w:tcPr>
            <w:tcW w:w="2214" w:type="dxa"/>
            <w:tcBorders>
              <w:top w:val="single" w:sz="24" w:space="0" w:color="auto"/>
              <w:left w:val="nil"/>
              <w:bottom w:val="single" w:sz="24" w:space="0" w:color="auto"/>
              <w:right w:val="nil"/>
            </w:tcBorders>
            <w:shd w:val="clear" w:color="auto" w:fill="auto"/>
            <w:vAlign w:val="center"/>
            <w:hideMark/>
          </w:tcPr>
          <w:p w14:paraId="1E1F0184" w14:textId="77777777" w:rsidR="00FC3D65" w:rsidRPr="008B1465" w:rsidRDefault="00FC3D65" w:rsidP="00FE7438">
            <w:pPr>
              <w:spacing w:after="0" w:line="240" w:lineRule="auto"/>
              <w:ind w:firstLineChars="300" w:firstLine="723"/>
              <w:rPr>
                <w:rFonts w:ascii="Times New Roman" w:hAnsi="Times New Roman"/>
                <w:b/>
                <w:bCs/>
                <w:color w:val="000000"/>
                <w:sz w:val="24"/>
                <w:szCs w:val="24"/>
              </w:rPr>
            </w:pPr>
            <w:r w:rsidRPr="008B1465">
              <w:rPr>
                <w:rFonts w:ascii="Times New Roman" w:hAnsi="Times New Roman"/>
                <w:b/>
                <w:bCs/>
                <w:color w:val="000000"/>
                <w:sz w:val="24"/>
                <w:szCs w:val="24"/>
              </w:rPr>
              <w:t>Percentages</w:t>
            </w:r>
          </w:p>
        </w:tc>
      </w:tr>
      <w:tr w:rsidR="00FC3D65" w:rsidRPr="008B1465" w14:paraId="224702ED" w14:textId="77777777" w:rsidTr="00FE7438">
        <w:trPr>
          <w:trHeight w:val="295"/>
          <w:jc w:val="center"/>
        </w:trPr>
        <w:tc>
          <w:tcPr>
            <w:tcW w:w="4759" w:type="dxa"/>
            <w:tcBorders>
              <w:top w:val="single" w:sz="24" w:space="0" w:color="auto"/>
              <w:left w:val="nil"/>
              <w:bottom w:val="nil"/>
              <w:right w:val="nil"/>
            </w:tcBorders>
            <w:shd w:val="clear" w:color="auto" w:fill="auto"/>
            <w:noWrap/>
            <w:vAlign w:val="center"/>
            <w:hideMark/>
          </w:tcPr>
          <w:p w14:paraId="155FB62C" w14:textId="77777777" w:rsidR="00FC3D65" w:rsidRPr="008B1465" w:rsidRDefault="00FC3D65" w:rsidP="00FE7438">
            <w:pPr>
              <w:spacing w:after="0" w:line="240" w:lineRule="auto"/>
              <w:ind w:firstLineChars="400" w:firstLine="964"/>
              <w:rPr>
                <w:rFonts w:ascii="Times New Roman" w:hAnsi="Times New Roman"/>
                <w:b/>
                <w:bCs/>
                <w:color w:val="000000"/>
                <w:sz w:val="24"/>
                <w:szCs w:val="24"/>
              </w:rPr>
            </w:pPr>
            <w:r w:rsidRPr="008B1465">
              <w:rPr>
                <w:rFonts w:ascii="Times New Roman" w:hAnsi="Times New Roman"/>
                <w:b/>
                <w:bCs/>
                <w:color w:val="000000"/>
                <w:sz w:val="24"/>
                <w:szCs w:val="24"/>
              </w:rPr>
              <w:t xml:space="preserve">Gender: </w:t>
            </w:r>
          </w:p>
        </w:tc>
        <w:tc>
          <w:tcPr>
            <w:tcW w:w="2226" w:type="dxa"/>
            <w:tcBorders>
              <w:top w:val="single" w:sz="24" w:space="0" w:color="auto"/>
              <w:left w:val="nil"/>
              <w:bottom w:val="nil"/>
              <w:right w:val="nil"/>
            </w:tcBorders>
            <w:shd w:val="clear" w:color="auto" w:fill="auto"/>
            <w:noWrap/>
            <w:vAlign w:val="bottom"/>
            <w:hideMark/>
          </w:tcPr>
          <w:p w14:paraId="13DC7F1E" w14:textId="77777777" w:rsidR="00FC3D65" w:rsidRPr="008B1465" w:rsidRDefault="00FC3D65" w:rsidP="00FE7438">
            <w:pPr>
              <w:spacing w:after="0" w:line="240" w:lineRule="auto"/>
              <w:ind w:firstLineChars="400" w:firstLine="964"/>
              <w:rPr>
                <w:rFonts w:ascii="Times New Roman" w:hAnsi="Times New Roman"/>
                <w:b/>
                <w:bCs/>
                <w:color w:val="000000"/>
                <w:sz w:val="24"/>
                <w:szCs w:val="24"/>
              </w:rPr>
            </w:pPr>
          </w:p>
        </w:tc>
        <w:tc>
          <w:tcPr>
            <w:tcW w:w="2214" w:type="dxa"/>
            <w:tcBorders>
              <w:top w:val="single" w:sz="24" w:space="0" w:color="auto"/>
              <w:left w:val="nil"/>
              <w:bottom w:val="nil"/>
              <w:right w:val="nil"/>
            </w:tcBorders>
            <w:shd w:val="clear" w:color="auto" w:fill="auto"/>
            <w:noWrap/>
            <w:vAlign w:val="bottom"/>
            <w:hideMark/>
          </w:tcPr>
          <w:p w14:paraId="0D05602B" w14:textId="77777777" w:rsidR="00FC3D65" w:rsidRPr="008B1465" w:rsidRDefault="00FC3D65" w:rsidP="00FE7438">
            <w:pPr>
              <w:spacing w:after="0" w:line="240" w:lineRule="auto"/>
              <w:rPr>
                <w:rFonts w:ascii="Times New Roman" w:hAnsi="Times New Roman"/>
                <w:sz w:val="24"/>
                <w:szCs w:val="24"/>
              </w:rPr>
            </w:pPr>
          </w:p>
        </w:tc>
      </w:tr>
      <w:tr w:rsidR="00FC3D65" w:rsidRPr="008B1465" w14:paraId="76C4217B"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19480582"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Male</w:t>
            </w:r>
          </w:p>
        </w:tc>
        <w:tc>
          <w:tcPr>
            <w:tcW w:w="2226" w:type="dxa"/>
            <w:tcBorders>
              <w:top w:val="nil"/>
              <w:left w:val="nil"/>
              <w:bottom w:val="nil"/>
              <w:right w:val="nil"/>
            </w:tcBorders>
            <w:shd w:val="clear" w:color="auto" w:fill="auto"/>
            <w:noWrap/>
            <w:vAlign w:val="center"/>
            <w:hideMark/>
          </w:tcPr>
          <w:p w14:paraId="7B0803AC"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252</w:t>
            </w:r>
          </w:p>
        </w:tc>
        <w:tc>
          <w:tcPr>
            <w:tcW w:w="2214" w:type="dxa"/>
            <w:tcBorders>
              <w:top w:val="nil"/>
              <w:left w:val="nil"/>
              <w:bottom w:val="nil"/>
              <w:right w:val="nil"/>
            </w:tcBorders>
            <w:shd w:val="clear" w:color="auto" w:fill="auto"/>
            <w:noWrap/>
            <w:vAlign w:val="center"/>
            <w:hideMark/>
          </w:tcPr>
          <w:p w14:paraId="7D81C734"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69.2</w:t>
            </w:r>
          </w:p>
        </w:tc>
      </w:tr>
      <w:tr w:rsidR="00FC3D65" w:rsidRPr="008B1465" w14:paraId="6B609A78"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5D4554CE"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 xml:space="preserve">Female </w:t>
            </w:r>
          </w:p>
        </w:tc>
        <w:tc>
          <w:tcPr>
            <w:tcW w:w="2226" w:type="dxa"/>
            <w:tcBorders>
              <w:top w:val="nil"/>
              <w:left w:val="nil"/>
              <w:bottom w:val="nil"/>
              <w:right w:val="nil"/>
            </w:tcBorders>
            <w:shd w:val="clear" w:color="auto" w:fill="auto"/>
            <w:noWrap/>
            <w:vAlign w:val="center"/>
            <w:hideMark/>
          </w:tcPr>
          <w:p w14:paraId="47D35D0B"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112</w:t>
            </w:r>
          </w:p>
        </w:tc>
        <w:tc>
          <w:tcPr>
            <w:tcW w:w="2214" w:type="dxa"/>
            <w:tcBorders>
              <w:top w:val="nil"/>
              <w:left w:val="nil"/>
              <w:bottom w:val="nil"/>
              <w:right w:val="nil"/>
            </w:tcBorders>
            <w:shd w:val="clear" w:color="auto" w:fill="auto"/>
            <w:noWrap/>
            <w:vAlign w:val="center"/>
            <w:hideMark/>
          </w:tcPr>
          <w:p w14:paraId="12A552A7"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30.8</w:t>
            </w:r>
          </w:p>
        </w:tc>
      </w:tr>
      <w:tr w:rsidR="00FC3D65" w:rsidRPr="008B1465" w14:paraId="53A114D2" w14:textId="77777777" w:rsidTr="00FE7438">
        <w:trPr>
          <w:trHeight w:val="285"/>
          <w:jc w:val="center"/>
        </w:trPr>
        <w:tc>
          <w:tcPr>
            <w:tcW w:w="6985" w:type="dxa"/>
            <w:gridSpan w:val="2"/>
            <w:tcBorders>
              <w:top w:val="nil"/>
              <w:left w:val="nil"/>
              <w:bottom w:val="nil"/>
              <w:right w:val="nil"/>
            </w:tcBorders>
            <w:shd w:val="clear" w:color="auto" w:fill="auto"/>
            <w:noWrap/>
            <w:vAlign w:val="center"/>
            <w:hideMark/>
          </w:tcPr>
          <w:p w14:paraId="7412EA92" w14:textId="77777777" w:rsidR="00FC3D65" w:rsidRPr="008B1465" w:rsidRDefault="00FC3D65" w:rsidP="00FE7438">
            <w:pPr>
              <w:spacing w:after="0" w:line="240" w:lineRule="auto"/>
              <w:ind w:firstLineChars="400" w:firstLine="964"/>
              <w:rPr>
                <w:rFonts w:ascii="Times New Roman" w:hAnsi="Times New Roman"/>
                <w:b/>
                <w:bCs/>
                <w:color w:val="000000"/>
                <w:sz w:val="24"/>
                <w:szCs w:val="24"/>
              </w:rPr>
            </w:pPr>
            <w:r w:rsidRPr="008B1465">
              <w:rPr>
                <w:rFonts w:ascii="Times New Roman" w:hAnsi="Times New Roman"/>
                <w:b/>
                <w:bCs/>
                <w:color w:val="000000"/>
                <w:sz w:val="24"/>
                <w:szCs w:val="24"/>
              </w:rPr>
              <w:t xml:space="preserve">Marital Status: </w:t>
            </w:r>
          </w:p>
        </w:tc>
        <w:tc>
          <w:tcPr>
            <w:tcW w:w="2214" w:type="dxa"/>
            <w:tcBorders>
              <w:top w:val="nil"/>
              <w:left w:val="nil"/>
              <w:bottom w:val="nil"/>
              <w:right w:val="nil"/>
            </w:tcBorders>
            <w:shd w:val="clear" w:color="auto" w:fill="auto"/>
            <w:noWrap/>
            <w:vAlign w:val="bottom"/>
            <w:hideMark/>
          </w:tcPr>
          <w:p w14:paraId="14BDE258" w14:textId="77777777" w:rsidR="00FC3D65" w:rsidRPr="008B1465" w:rsidRDefault="00FC3D65" w:rsidP="00FE7438">
            <w:pPr>
              <w:spacing w:after="0" w:line="240" w:lineRule="auto"/>
              <w:ind w:firstLineChars="400" w:firstLine="964"/>
              <w:rPr>
                <w:rFonts w:ascii="Times New Roman" w:hAnsi="Times New Roman"/>
                <w:b/>
                <w:bCs/>
                <w:color w:val="000000"/>
                <w:sz w:val="24"/>
                <w:szCs w:val="24"/>
              </w:rPr>
            </w:pPr>
          </w:p>
        </w:tc>
      </w:tr>
      <w:tr w:rsidR="00FC3D65" w:rsidRPr="008B1465" w14:paraId="580291E5"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65A8A7BC"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 xml:space="preserve">Married </w:t>
            </w:r>
          </w:p>
        </w:tc>
        <w:tc>
          <w:tcPr>
            <w:tcW w:w="2226" w:type="dxa"/>
            <w:tcBorders>
              <w:top w:val="nil"/>
              <w:left w:val="nil"/>
              <w:bottom w:val="nil"/>
              <w:right w:val="nil"/>
            </w:tcBorders>
            <w:shd w:val="clear" w:color="auto" w:fill="auto"/>
            <w:noWrap/>
            <w:vAlign w:val="center"/>
            <w:hideMark/>
          </w:tcPr>
          <w:p w14:paraId="1237C346"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288</w:t>
            </w:r>
          </w:p>
        </w:tc>
        <w:tc>
          <w:tcPr>
            <w:tcW w:w="2214" w:type="dxa"/>
            <w:tcBorders>
              <w:top w:val="nil"/>
              <w:left w:val="nil"/>
              <w:bottom w:val="nil"/>
              <w:right w:val="nil"/>
            </w:tcBorders>
            <w:shd w:val="clear" w:color="auto" w:fill="auto"/>
            <w:noWrap/>
            <w:vAlign w:val="center"/>
            <w:hideMark/>
          </w:tcPr>
          <w:p w14:paraId="004AFE18"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79.1</w:t>
            </w:r>
          </w:p>
        </w:tc>
      </w:tr>
      <w:tr w:rsidR="00FC3D65" w:rsidRPr="008B1465" w14:paraId="2CCEB4EC"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75A3DA5A"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 xml:space="preserve">Single </w:t>
            </w:r>
          </w:p>
        </w:tc>
        <w:tc>
          <w:tcPr>
            <w:tcW w:w="2226" w:type="dxa"/>
            <w:tcBorders>
              <w:top w:val="nil"/>
              <w:left w:val="nil"/>
              <w:bottom w:val="nil"/>
              <w:right w:val="nil"/>
            </w:tcBorders>
            <w:shd w:val="clear" w:color="auto" w:fill="auto"/>
            <w:noWrap/>
            <w:vAlign w:val="center"/>
            <w:hideMark/>
          </w:tcPr>
          <w:p w14:paraId="29FCA6F5"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60</w:t>
            </w:r>
          </w:p>
        </w:tc>
        <w:tc>
          <w:tcPr>
            <w:tcW w:w="2214" w:type="dxa"/>
            <w:tcBorders>
              <w:top w:val="nil"/>
              <w:left w:val="nil"/>
              <w:bottom w:val="nil"/>
              <w:right w:val="nil"/>
            </w:tcBorders>
            <w:shd w:val="clear" w:color="auto" w:fill="auto"/>
            <w:noWrap/>
            <w:vAlign w:val="center"/>
            <w:hideMark/>
          </w:tcPr>
          <w:p w14:paraId="5C9DCD02"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16.5</w:t>
            </w:r>
          </w:p>
        </w:tc>
      </w:tr>
      <w:tr w:rsidR="00FC3D65" w:rsidRPr="008B1465" w14:paraId="0AE7AF3E"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10FF8A7E"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 xml:space="preserve">Widow </w:t>
            </w:r>
          </w:p>
        </w:tc>
        <w:tc>
          <w:tcPr>
            <w:tcW w:w="2226" w:type="dxa"/>
            <w:tcBorders>
              <w:top w:val="nil"/>
              <w:left w:val="nil"/>
              <w:bottom w:val="nil"/>
              <w:right w:val="nil"/>
            </w:tcBorders>
            <w:shd w:val="clear" w:color="auto" w:fill="auto"/>
            <w:noWrap/>
            <w:vAlign w:val="center"/>
            <w:hideMark/>
          </w:tcPr>
          <w:p w14:paraId="3670C590"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14</w:t>
            </w:r>
          </w:p>
        </w:tc>
        <w:tc>
          <w:tcPr>
            <w:tcW w:w="2214" w:type="dxa"/>
            <w:tcBorders>
              <w:top w:val="nil"/>
              <w:left w:val="nil"/>
              <w:bottom w:val="nil"/>
              <w:right w:val="nil"/>
            </w:tcBorders>
            <w:shd w:val="clear" w:color="auto" w:fill="auto"/>
            <w:noWrap/>
            <w:vAlign w:val="center"/>
            <w:hideMark/>
          </w:tcPr>
          <w:p w14:paraId="1F57EB39"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3.8</w:t>
            </w:r>
          </w:p>
        </w:tc>
      </w:tr>
      <w:tr w:rsidR="00FC3D65" w:rsidRPr="008B1465" w14:paraId="1A7A0ABE"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753AA693"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 xml:space="preserve">Widower </w:t>
            </w:r>
          </w:p>
        </w:tc>
        <w:tc>
          <w:tcPr>
            <w:tcW w:w="2226" w:type="dxa"/>
            <w:tcBorders>
              <w:top w:val="nil"/>
              <w:left w:val="nil"/>
              <w:bottom w:val="nil"/>
              <w:right w:val="nil"/>
            </w:tcBorders>
            <w:shd w:val="clear" w:color="auto" w:fill="auto"/>
            <w:noWrap/>
            <w:vAlign w:val="center"/>
            <w:hideMark/>
          </w:tcPr>
          <w:p w14:paraId="6615596D"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2</w:t>
            </w:r>
          </w:p>
        </w:tc>
        <w:tc>
          <w:tcPr>
            <w:tcW w:w="2214" w:type="dxa"/>
            <w:tcBorders>
              <w:top w:val="nil"/>
              <w:left w:val="nil"/>
              <w:bottom w:val="nil"/>
              <w:right w:val="nil"/>
            </w:tcBorders>
            <w:shd w:val="clear" w:color="auto" w:fill="auto"/>
            <w:noWrap/>
            <w:vAlign w:val="center"/>
            <w:hideMark/>
          </w:tcPr>
          <w:p w14:paraId="5C148689"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0.5</w:t>
            </w:r>
          </w:p>
        </w:tc>
      </w:tr>
      <w:tr w:rsidR="00FC3D65" w:rsidRPr="008B1465" w14:paraId="0CEC2227"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56FACDC0" w14:textId="77777777" w:rsidR="00FC3D65" w:rsidRPr="008B1465" w:rsidRDefault="00FC3D65" w:rsidP="00FE7438">
            <w:pPr>
              <w:spacing w:after="0" w:line="240" w:lineRule="auto"/>
              <w:ind w:firstLineChars="400" w:firstLine="964"/>
              <w:rPr>
                <w:rFonts w:ascii="Times New Roman" w:hAnsi="Times New Roman"/>
                <w:b/>
                <w:bCs/>
                <w:color w:val="000000"/>
                <w:sz w:val="24"/>
                <w:szCs w:val="24"/>
              </w:rPr>
            </w:pPr>
            <w:r w:rsidRPr="008B1465">
              <w:rPr>
                <w:rFonts w:ascii="Times New Roman" w:hAnsi="Times New Roman"/>
                <w:b/>
                <w:bCs/>
                <w:color w:val="000000"/>
                <w:sz w:val="24"/>
                <w:szCs w:val="24"/>
              </w:rPr>
              <w:t xml:space="preserve">Age: </w:t>
            </w:r>
          </w:p>
        </w:tc>
        <w:tc>
          <w:tcPr>
            <w:tcW w:w="2226" w:type="dxa"/>
            <w:tcBorders>
              <w:top w:val="nil"/>
              <w:left w:val="nil"/>
              <w:bottom w:val="nil"/>
              <w:right w:val="nil"/>
            </w:tcBorders>
            <w:shd w:val="clear" w:color="auto" w:fill="auto"/>
            <w:noWrap/>
            <w:vAlign w:val="bottom"/>
            <w:hideMark/>
          </w:tcPr>
          <w:p w14:paraId="6EB41776" w14:textId="77777777" w:rsidR="00FC3D65" w:rsidRPr="008B1465" w:rsidRDefault="00FC3D65" w:rsidP="00FE7438">
            <w:pPr>
              <w:spacing w:after="0" w:line="240" w:lineRule="auto"/>
              <w:ind w:firstLineChars="400" w:firstLine="964"/>
              <w:rPr>
                <w:rFonts w:ascii="Times New Roman" w:hAnsi="Times New Roman"/>
                <w:b/>
                <w:bCs/>
                <w:color w:val="000000"/>
                <w:sz w:val="24"/>
                <w:szCs w:val="24"/>
              </w:rPr>
            </w:pPr>
          </w:p>
        </w:tc>
        <w:tc>
          <w:tcPr>
            <w:tcW w:w="2214" w:type="dxa"/>
            <w:tcBorders>
              <w:top w:val="nil"/>
              <w:left w:val="nil"/>
              <w:bottom w:val="nil"/>
              <w:right w:val="nil"/>
            </w:tcBorders>
            <w:shd w:val="clear" w:color="auto" w:fill="auto"/>
            <w:noWrap/>
            <w:vAlign w:val="bottom"/>
            <w:hideMark/>
          </w:tcPr>
          <w:p w14:paraId="0DF50C78" w14:textId="77777777" w:rsidR="00FC3D65" w:rsidRPr="008B1465" w:rsidRDefault="00FC3D65" w:rsidP="00FE7438">
            <w:pPr>
              <w:spacing w:after="0" w:line="240" w:lineRule="auto"/>
              <w:rPr>
                <w:rFonts w:ascii="Times New Roman" w:hAnsi="Times New Roman"/>
                <w:sz w:val="24"/>
                <w:szCs w:val="24"/>
              </w:rPr>
            </w:pPr>
          </w:p>
        </w:tc>
      </w:tr>
      <w:tr w:rsidR="00FC3D65" w:rsidRPr="008B1465" w14:paraId="3A40B40B"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59E6DB61"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 xml:space="preserve">26-35 years </w:t>
            </w:r>
          </w:p>
        </w:tc>
        <w:tc>
          <w:tcPr>
            <w:tcW w:w="2226" w:type="dxa"/>
            <w:tcBorders>
              <w:top w:val="nil"/>
              <w:left w:val="nil"/>
              <w:bottom w:val="nil"/>
              <w:right w:val="nil"/>
            </w:tcBorders>
            <w:shd w:val="clear" w:color="auto" w:fill="auto"/>
            <w:noWrap/>
            <w:vAlign w:val="center"/>
            <w:hideMark/>
          </w:tcPr>
          <w:p w14:paraId="087AEE56"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34</w:t>
            </w:r>
          </w:p>
        </w:tc>
        <w:tc>
          <w:tcPr>
            <w:tcW w:w="2214" w:type="dxa"/>
            <w:tcBorders>
              <w:top w:val="nil"/>
              <w:left w:val="nil"/>
              <w:bottom w:val="nil"/>
              <w:right w:val="nil"/>
            </w:tcBorders>
            <w:shd w:val="clear" w:color="auto" w:fill="auto"/>
            <w:noWrap/>
            <w:vAlign w:val="center"/>
            <w:hideMark/>
          </w:tcPr>
          <w:p w14:paraId="6F160167"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9.3</w:t>
            </w:r>
          </w:p>
        </w:tc>
      </w:tr>
      <w:tr w:rsidR="00FC3D65" w:rsidRPr="008B1465" w14:paraId="1227B4AF"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5F47EBED"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36-45 years</w:t>
            </w:r>
          </w:p>
        </w:tc>
        <w:tc>
          <w:tcPr>
            <w:tcW w:w="2226" w:type="dxa"/>
            <w:tcBorders>
              <w:top w:val="nil"/>
              <w:left w:val="nil"/>
              <w:bottom w:val="nil"/>
              <w:right w:val="nil"/>
            </w:tcBorders>
            <w:shd w:val="clear" w:color="auto" w:fill="auto"/>
            <w:noWrap/>
            <w:vAlign w:val="center"/>
            <w:hideMark/>
          </w:tcPr>
          <w:p w14:paraId="6532CC72"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162</w:t>
            </w:r>
          </w:p>
        </w:tc>
        <w:tc>
          <w:tcPr>
            <w:tcW w:w="2214" w:type="dxa"/>
            <w:tcBorders>
              <w:top w:val="nil"/>
              <w:left w:val="nil"/>
              <w:bottom w:val="nil"/>
              <w:right w:val="nil"/>
            </w:tcBorders>
            <w:shd w:val="clear" w:color="auto" w:fill="auto"/>
            <w:noWrap/>
            <w:vAlign w:val="center"/>
            <w:hideMark/>
          </w:tcPr>
          <w:p w14:paraId="68DA1A16"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44.5</w:t>
            </w:r>
          </w:p>
        </w:tc>
      </w:tr>
      <w:tr w:rsidR="00FC3D65" w:rsidRPr="008B1465" w14:paraId="35C1DBA8"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184B4643"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 xml:space="preserve">46-55 years </w:t>
            </w:r>
          </w:p>
        </w:tc>
        <w:tc>
          <w:tcPr>
            <w:tcW w:w="2226" w:type="dxa"/>
            <w:tcBorders>
              <w:top w:val="nil"/>
              <w:left w:val="nil"/>
              <w:bottom w:val="nil"/>
              <w:right w:val="nil"/>
            </w:tcBorders>
            <w:shd w:val="clear" w:color="auto" w:fill="auto"/>
            <w:noWrap/>
            <w:vAlign w:val="center"/>
            <w:hideMark/>
          </w:tcPr>
          <w:p w14:paraId="1AD34405"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148</w:t>
            </w:r>
          </w:p>
        </w:tc>
        <w:tc>
          <w:tcPr>
            <w:tcW w:w="2214" w:type="dxa"/>
            <w:tcBorders>
              <w:top w:val="nil"/>
              <w:left w:val="nil"/>
              <w:bottom w:val="nil"/>
              <w:right w:val="nil"/>
            </w:tcBorders>
            <w:shd w:val="clear" w:color="auto" w:fill="auto"/>
            <w:noWrap/>
            <w:vAlign w:val="center"/>
            <w:hideMark/>
          </w:tcPr>
          <w:p w14:paraId="35E538D4"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40.7</w:t>
            </w:r>
          </w:p>
        </w:tc>
      </w:tr>
      <w:tr w:rsidR="00FC3D65" w:rsidRPr="008B1465" w14:paraId="78CF918B"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6914902C"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 xml:space="preserve">56 years and above </w:t>
            </w:r>
          </w:p>
        </w:tc>
        <w:tc>
          <w:tcPr>
            <w:tcW w:w="2226" w:type="dxa"/>
            <w:tcBorders>
              <w:top w:val="nil"/>
              <w:left w:val="nil"/>
              <w:bottom w:val="nil"/>
              <w:right w:val="nil"/>
            </w:tcBorders>
            <w:shd w:val="clear" w:color="auto" w:fill="auto"/>
            <w:noWrap/>
            <w:vAlign w:val="center"/>
            <w:hideMark/>
          </w:tcPr>
          <w:p w14:paraId="54EBE783"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20</w:t>
            </w:r>
          </w:p>
        </w:tc>
        <w:tc>
          <w:tcPr>
            <w:tcW w:w="2214" w:type="dxa"/>
            <w:tcBorders>
              <w:top w:val="nil"/>
              <w:left w:val="nil"/>
              <w:bottom w:val="nil"/>
              <w:right w:val="nil"/>
            </w:tcBorders>
            <w:shd w:val="clear" w:color="auto" w:fill="auto"/>
            <w:noWrap/>
            <w:vAlign w:val="center"/>
            <w:hideMark/>
          </w:tcPr>
          <w:p w14:paraId="791D6C45"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5.5</w:t>
            </w:r>
          </w:p>
        </w:tc>
      </w:tr>
      <w:tr w:rsidR="00FC3D65" w:rsidRPr="008B1465" w14:paraId="2F4FAF28" w14:textId="77777777" w:rsidTr="00FE7438">
        <w:trPr>
          <w:trHeight w:val="285"/>
          <w:jc w:val="center"/>
        </w:trPr>
        <w:tc>
          <w:tcPr>
            <w:tcW w:w="6985" w:type="dxa"/>
            <w:gridSpan w:val="2"/>
            <w:tcBorders>
              <w:top w:val="nil"/>
              <w:left w:val="nil"/>
              <w:bottom w:val="nil"/>
              <w:right w:val="nil"/>
            </w:tcBorders>
            <w:shd w:val="clear" w:color="auto" w:fill="auto"/>
            <w:noWrap/>
            <w:vAlign w:val="center"/>
            <w:hideMark/>
          </w:tcPr>
          <w:p w14:paraId="4E0F72B6" w14:textId="77777777" w:rsidR="00FC3D65" w:rsidRPr="008B1465" w:rsidRDefault="00FC3D65" w:rsidP="00FE7438">
            <w:pPr>
              <w:spacing w:after="0" w:line="240" w:lineRule="auto"/>
              <w:ind w:firstLineChars="400" w:firstLine="964"/>
              <w:rPr>
                <w:rFonts w:ascii="Times New Roman" w:hAnsi="Times New Roman"/>
                <w:b/>
                <w:bCs/>
                <w:color w:val="000000"/>
                <w:sz w:val="24"/>
                <w:szCs w:val="24"/>
              </w:rPr>
            </w:pPr>
            <w:r w:rsidRPr="008B1465">
              <w:rPr>
                <w:rFonts w:ascii="Times New Roman" w:hAnsi="Times New Roman"/>
                <w:b/>
                <w:bCs/>
                <w:color w:val="000000"/>
                <w:sz w:val="24"/>
                <w:szCs w:val="24"/>
              </w:rPr>
              <w:t xml:space="preserve">Education: </w:t>
            </w:r>
          </w:p>
        </w:tc>
        <w:tc>
          <w:tcPr>
            <w:tcW w:w="2214" w:type="dxa"/>
            <w:tcBorders>
              <w:top w:val="nil"/>
              <w:left w:val="nil"/>
              <w:bottom w:val="nil"/>
              <w:right w:val="nil"/>
            </w:tcBorders>
            <w:shd w:val="clear" w:color="auto" w:fill="auto"/>
            <w:noWrap/>
            <w:vAlign w:val="bottom"/>
            <w:hideMark/>
          </w:tcPr>
          <w:p w14:paraId="41B09BA4" w14:textId="77777777" w:rsidR="00FC3D65" w:rsidRPr="008B1465" w:rsidRDefault="00FC3D65" w:rsidP="00FE7438">
            <w:pPr>
              <w:spacing w:after="0" w:line="240" w:lineRule="auto"/>
              <w:ind w:firstLineChars="400" w:firstLine="964"/>
              <w:rPr>
                <w:rFonts w:ascii="Times New Roman" w:hAnsi="Times New Roman"/>
                <w:b/>
                <w:bCs/>
                <w:color w:val="000000"/>
                <w:sz w:val="24"/>
                <w:szCs w:val="24"/>
              </w:rPr>
            </w:pPr>
          </w:p>
        </w:tc>
      </w:tr>
      <w:tr w:rsidR="00FC3D65" w:rsidRPr="008B1465" w14:paraId="0AE746BF"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1EFF5D70"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PhD</w:t>
            </w:r>
          </w:p>
        </w:tc>
        <w:tc>
          <w:tcPr>
            <w:tcW w:w="2226" w:type="dxa"/>
            <w:tcBorders>
              <w:top w:val="nil"/>
              <w:left w:val="nil"/>
              <w:bottom w:val="nil"/>
              <w:right w:val="nil"/>
            </w:tcBorders>
            <w:shd w:val="clear" w:color="auto" w:fill="auto"/>
            <w:noWrap/>
            <w:vAlign w:val="center"/>
            <w:hideMark/>
          </w:tcPr>
          <w:p w14:paraId="45B0453D"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14</w:t>
            </w:r>
          </w:p>
        </w:tc>
        <w:tc>
          <w:tcPr>
            <w:tcW w:w="2214" w:type="dxa"/>
            <w:tcBorders>
              <w:top w:val="nil"/>
              <w:left w:val="nil"/>
              <w:bottom w:val="nil"/>
              <w:right w:val="nil"/>
            </w:tcBorders>
            <w:shd w:val="clear" w:color="auto" w:fill="auto"/>
            <w:noWrap/>
            <w:vAlign w:val="center"/>
            <w:hideMark/>
          </w:tcPr>
          <w:p w14:paraId="165D0DCE"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3.8</w:t>
            </w:r>
          </w:p>
        </w:tc>
      </w:tr>
      <w:tr w:rsidR="00FC3D65" w:rsidRPr="008B1465" w14:paraId="1422A981"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6591B59F"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M.Sc./MBA</w:t>
            </w:r>
          </w:p>
        </w:tc>
        <w:tc>
          <w:tcPr>
            <w:tcW w:w="2226" w:type="dxa"/>
            <w:tcBorders>
              <w:top w:val="nil"/>
              <w:left w:val="nil"/>
              <w:bottom w:val="nil"/>
              <w:right w:val="nil"/>
            </w:tcBorders>
            <w:shd w:val="clear" w:color="auto" w:fill="auto"/>
            <w:noWrap/>
            <w:vAlign w:val="center"/>
            <w:hideMark/>
          </w:tcPr>
          <w:p w14:paraId="21F1835C"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150</w:t>
            </w:r>
          </w:p>
        </w:tc>
        <w:tc>
          <w:tcPr>
            <w:tcW w:w="2214" w:type="dxa"/>
            <w:tcBorders>
              <w:top w:val="nil"/>
              <w:left w:val="nil"/>
              <w:bottom w:val="nil"/>
              <w:right w:val="nil"/>
            </w:tcBorders>
            <w:shd w:val="clear" w:color="auto" w:fill="auto"/>
            <w:noWrap/>
            <w:vAlign w:val="center"/>
            <w:hideMark/>
          </w:tcPr>
          <w:p w14:paraId="494917CB"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41.2</w:t>
            </w:r>
          </w:p>
        </w:tc>
      </w:tr>
      <w:tr w:rsidR="00FC3D65" w:rsidRPr="008B1465" w14:paraId="01B9E013"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10CD7CC7"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B.Sc./HND</w:t>
            </w:r>
          </w:p>
        </w:tc>
        <w:tc>
          <w:tcPr>
            <w:tcW w:w="2226" w:type="dxa"/>
            <w:tcBorders>
              <w:top w:val="nil"/>
              <w:left w:val="nil"/>
              <w:bottom w:val="nil"/>
              <w:right w:val="nil"/>
            </w:tcBorders>
            <w:shd w:val="clear" w:color="auto" w:fill="auto"/>
            <w:noWrap/>
            <w:vAlign w:val="center"/>
            <w:hideMark/>
          </w:tcPr>
          <w:p w14:paraId="363899A3"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198</w:t>
            </w:r>
          </w:p>
        </w:tc>
        <w:tc>
          <w:tcPr>
            <w:tcW w:w="2214" w:type="dxa"/>
            <w:tcBorders>
              <w:top w:val="nil"/>
              <w:left w:val="nil"/>
              <w:bottom w:val="nil"/>
              <w:right w:val="nil"/>
            </w:tcBorders>
            <w:shd w:val="clear" w:color="auto" w:fill="auto"/>
            <w:noWrap/>
            <w:vAlign w:val="center"/>
            <w:hideMark/>
          </w:tcPr>
          <w:p w14:paraId="346AD6A9"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54.4</w:t>
            </w:r>
          </w:p>
        </w:tc>
      </w:tr>
      <w:tr w:rsidR="00FC3D65" w:rsidRPr="008B1465" w14:paraId="24179D27"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52D5E1BD"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NCE/OND</w:t>
            </w:r>
          </w:p>
        </w:tc>
        <w:tc>
          <w:tcPr>
            <w:tcW w:w="2226" w:type="dxa"/>
            <w:tcBorders>
              <w:top w:val="nil"/>
              <w:left w:val="nil"/>
              <w:bottom w:val="nil"/>
              <w:right w:val="nil"/>
            </w:tcBorders>
            <w:shd w:val="clear" w:color="auto" w:fill="auto"/>
            <w:noWrap/>
            <w:vAlign w:val="center"/>
            <w:hideMark/>
          </w:tcPr>
          <w:p w14:paraId="7241E946"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2</w:t>
            </w:r>
          </w:p>
        </w:tc>
        <w:tc>
          <w:tcPr>
            <w:tcW w:w="2214" w:type="dxa"/>
            <w:tcBorders>
              <w:top w:val="nil"/>
              <w:left w:val="nil"/>
              <w:bottom w:val="nil"/>
              <w:right w:val="nil"/>
            </w:tcBorders>
            <w:shd w:val="clear" w:color="auto" w:fill="auto"/>
            <w:noWrap/>
            <w:vAlign w:val="center"/>
            <w:hideMark/>
          </w:tcPr>
          <w:p w14:paraId="659F1C90"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0.5</w:t>
            </w:r>
          </w:p>
        </w:tc>
      </w:tr>
      <w:tr w:rsidR="00FC3D65" w:rsidRPr="008B1465" w14:paraId="61233E79" w14:textId="77777777" w:rsidTr="00FE7438">
        <w:trPr>
          <w:trHeight w:val="285"/>
          <w:jc w:val="center"/>
        </w:trPr>
        <w:tc>
          <w:tcPr>
            <w:tcW w:w="6985" w:type="dxa"/>
            <w:gridSpan w:val="2"/>
            <w:tcBorders>
              <w:top w:val="nil"/>
              <w:left w:val="nil"/>
              <w:bottom w:val="nil"/>
              <w:right w:val="nil"/>
            </w:tcBorders>
            <w:shd w:val="clear" w:color="auto" w:fill="auto"/>
            <w:noWrap/>
            <w:vAlign w:val="center"/>
            <w:hideMark/>
          </w:tcPr>
          <w:p w14:paraId="38F496AB" w14:textId="77777777" w:rsidR="00FC3D65" w:rsidRPr="008B1465" w:rsidRDefault="00FC3D65" w:rsidP="00FE7438">
            <w:pPr>
              <w:spacing w:after="0" w:line="240" w:lineRule="auto"/>
              <w:ind w:firstLineChars="400" w:firstLine="964"/>
              <w:rPr>
                <w:rFonts w:ascii="Times New Roman" w:hAnsi="Times New Roman"/>
                <w:b/>
                <w:bCs/>
                <w:color w:val="000000"/>
                <w:sz w:val="24"/>
                <w:szCs w:val="24"/>
              </w:rPr>
            </w:pPr>
            <w:r w:rsidRPr="008B1465">
              <w:rPr>
                <w:rFonts w:ascii="Times New Roman" w:hAnsi="Times New Roman"/>
                <w:b/>
                <w:bCs/>
                <w:color w:val="000000"/>
                <w:sz w:val="24"/>
                <w:szCs w:val="24"/>
              </w:rPr>
              <w:t xml:space="preserve">Length of Service: </w:t>
            </w:r>
          </w:p>
        </w:tc>
        <w:tc>
          <w:tcPr>
            <w:tcW w:w="2214" w:type="dxa"/>
            <w:tcBorders>
              <w:top w:val="nil"/>
              <w:left w:val="nil"/>
              <w:bottom w:val="nil"/>
              <w:right w:val="nil"/>
            </w:tcBorders>
            <w:shd w:val="clear" w:color="auto" w:fill="auto"/>
            <w:noWrap/>
            <w:vAlign w:val="bottom"/>
            <w:hideMark/>
          </w:tcPr>
          <w:p w14:paraId="1A44EC20" w14:textId="77777777" w:rsidR="00FC3D65" w:rsidRPr="008B1465" w:rsidRDefault="00FC3D65" w:rsidP="00FE7438">
            <w:pPr>
              <w:spacing w:after="0" w:line="240" w:lineRule="auto"/>
              <w:ind w:firstLineChars="400" w:firstLine="964"/>
              <w:rPr>
                <w:rFonts w:ascii="Times New Roman" w:hAnsi="Times New Roman"/>
                <w:b/>
                <w:bCs/>
                <w:color w:val="000000"/>
                <w:sz w:val="24"/>
                <w:szCs w:val="24"/>
              </w:rPr>
            </w:pPr>
          </w:p>
        </w:tc>
      </w:tr>
      <w:tr w:rsidR="00FC3D65" w:rsidRPr="008B1465" w14:paraId="2564E088"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2020804D"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 xml:space="preserve"> 1 – 10 years </w:t>
            </w:r>
          </w:p>
        </w:tc>
        <w:tc>
          <w:tcPr>
            <w:tcW w:w="2226" w:type="dxa"/>
            <w:tcBorders>
              <w:top w:val="nil"/>
              <w:left w:val="nil"/>
              <w:bottom w:val="nil"/>
              <w:right w:val="nil"/>
            </w:tcBorders>
            <w:shd w:val="clear" w:color="auto" w:fill="auto"/>
            <w:noWrap/>
            <w:vAlign w:val="center"/>
            <w:hideMark/>
          </w:tcPr>
          <w:p w14:paraId="19E6C35F"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86</w:t>
            </w:r>
          </w:p>
        </w:tc>
        <w:tc>
          <w:tcPr>
            <w:tcW w:w="2214" w:type="dxa"/>
            <w:tcBorders>
              <w:top w:val="nil"/>
              <w:left w:val="nil"/>
              <w:bottom w:val="nil"/>
              <w:right w:val="nil"/>
            </w:tcBorders>
            <w:shd w:val="clear" w:color="auto" w:fill="auto"/>
            <w:noWrap/>
            <w:vAlign w:val="center"/>
            <w:hideMark/>
          </w:tcPr>
          <w:p w14:paraId="44E1CC3C"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23.6</w:t>
            </w:r>
          </w:p>
        </w:tc>
      </w:tr>
      <w:tr w:rsidR="00FC3D65" w:rsidRPr="008B1465" w14:paraId="396F44AE"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2A0686DE"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 xml:space="preserve">11 – 20 years </w:t>
            </w:r>
          </w:p>
        </w:tc>
        <w:tc>
          <w:tcPr>
            <w:tcW w:w="2226" w:type="dxa"/>
            <w:tcBorders>
              <w:top w:val="nil"/>
              <w:left w:val="nil"/>
              <w:bottom w:val="nil"/>
              <w:right w:val="nil"/>
            </w:tcBorders>
            <w:shd w:val="clear" w:color="auto" w:fill="auto"/>
            <w:noWrap/>
            <w:vAlign w:val="center"/>
            <w:hideMark/>
          </w:tcPr>
          <w:p w14:paraId="5770B4BC"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186</w:t>
            </w:r>
          </w:p>
        </w:tc>
        <w:tc>
          <w:tcPr>
            <w:tcW w:w="2214" w:type="dxa"/>
            <w:tcBorders>
              <w:top w:val="nil"/>
              <w:left w:val="nil"/>
              <w:bottom w:val="nil"/>
              <w:right w:val="nil"/>
            </w:tcBorders>
            <w:shd w:val="clear" w:color="auto" w:fill="auto"/>
            <w:noWrap/>
            <w:vAlign w:val="center"/>
            <w:hideMark/>
          </w:tcPr>
          <w:p w14:paraId="19D27215"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51.1</w:t>
            </w:r>
          </w:p>
        </w:tc>
      </w:tr>
      <w:tr w:rsidR="00FC3D65" w:rsidRPr="008B1465" w14:paraId="4C415F3B"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7CAA91C3"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 xml:space="preserve">20 – 30 years </w:t>
            </w:r>
          </w:p>
        </w:tc>
        <w:tc>
          <w:tcPr>
            <w:tcW w:w="2226" w:type="dxa"/>
            <w:tcBorders>
              <w:top w:val="nil"/>
              <w:left w:val="nil"/>
              <w:bottom w:val="nil"/>
              <w:right w:val="nil"/>
            </w:tcBorders>
            <w:shd w:val="clear" w:color="auto" w:fill="auto"/>
            <w:noWrap/>
            <w:vAlign w:val="center"/>
            <w:hideMark/>
          </w:tcPr>
          <w:p w14:paraId="36A6DBC7"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84</w:t>
            </w:r>
          </w:p>
        </w:tc>
        <w:tc>
          <w:tcPr>
            <w:tcW w:w="2214" w:type="dxa"/>
            <w:tcBorders>
              <w:top w:val="nil"/>
              <w:left w:val="nil"/>
              <w:bottom w:val="nil"/>
              <w:right w:val="nil"/>
            </w:tcBorders>
            <w:shd w:val="clear" w:color="auto" w:fill="auto"/>
            <w:noWrap/>
            <w:vAlign w:val="center"/>
            <w:hideMark/>
          </w:tcPr>
          <w:p w14:paraId="3A4A3789"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23.1</w:t>
            </w:r>
          </w:p>
        </w:tc>
      </w:tr>
      <w:tr w:rsidR="00FC3D65" w:rsidRPr="008B1465" w14:paraId="177136FA"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02EF39D2"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 xml:space="preserve">31 years and above </w:t>
            </w:r>
          </w:p>
        </w:tc>
        <w:tc>
          <w:tcPr>
            <w:tcW w:w="2226" w:type="dxa"/>
            <w:tcBorders>
              <w:top w:val="nil"/>
              <w:left w:val="nil"/>
              <w:bottom w:val="nil"/>
              <w:right w:val="nil"/>
            </w:tcBorders>
            <w:shd w:val="clear" w:color="auto" w:fill="auto"/>
            <w:noWrap/>
            <w:vAlign w:val="center"/>
            <w:hideMark/>
          </w:tcPr>
          <w:p w14:paraId="2E89E988"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8</w:t>
            </w:r>
          </w:p>
        </w:tc>
        <w:tc>
          <w:tcPr>
            <w:tcW w:w="2214" w:type="dxa"/>
            <w:tcBorders>
              <w:top w:val="nil"/>
              <w:left w:val="nil"/>
              <w:bottom w:val="nil"/>
              <w:right w:val="nil"/>
            </w:tcBorders>
            <w:shd w:val="clear" w:color="auto" w:fill="auto"/>
            <w:noWrap/>
            <w:vAlign w:val="center"/>
            <w:hideMark/>
          </w:tcPr>
          <w:p w14:paraId="7BD0E1BE"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2.2</w:t>
            </w:r>
          </w:p>
        </w:tc>
      </w:tr>
      <w:tr w:rsidR="00FC3D65" w:rsidRPr="008B1465" w14:paraId="36D026A7" w14:textId="77777777" w:rsidTr="00FE7438">
        <w:trPr>
          <w:trHeight w:val="285"/>
          <w:jc w:val="center"/>
        </w:trPr>
        <w:tc>
          <w:tcPr>
            <w:tcW w:w="6985" w:type="dxa"/>
            <w:gridSpan w:val="2"/>
            <w:tcBorders>
              <w:top w:val="nil"/>
              <w:left w:val="nil"/>
              <w:bottom w:val="nil"/>
              <w:right w:val="nil"/>
            </w:tcBorders>
            <w:shd w:val="clear" w:color="auto" w:fill="auto"/>
            <w:noWrap/>
            <w:vAlign w:val="center"/>
            <w:hideMark/>
          </w:tcPr>
          <w:p w14:paraId="6D56DF85" w14:textId="77777777" w:rsidR="00FC3D65" w:rsidRPr="008B1465" w:rsidRDefault="00FC3D65" w:rsidP="00FE7438">
            <w:pPr>
              <w:spacing w:after="0" w:line="240" w:lineRule="auto"/>
              <w:ind w:firstLineChars="400" w:firstLine="964"/>
              <w:rPr>
                <w:rFonts w:ascii="Times New Roman" w:hAnsi="Times New Roman"/>
                <w:b/>
                <w:bCs/>
                <w:color w:val="000000"/>
                <w:sz w:val="24"/>
                <w:szCs w:val="24"/>
              </w:rPr>
            </w:pPr>
            <w:r w:rsidRPr="008B1465">
              <w:rPr>
                <w:rFonts w:ascii="Times New Roman" w:hAnsi="Times New Roman"/>
                <w:b/>
                <w:bCs/>
                <w:color w:val="000000"/>
                <w:sz w:val="24"/>
                <w:szCs w:val="24"/>
              </w:rPr>
              <w:t xml:space="preserve">Department: </w:t>
            </w:r>
          </w:p>
        </w:tc>
        <w:tc>
          <w:tcPr>
            <w:tcW w:w="2214" w:type="dxa"/>
            <w:tcBorders>
              <w:top w:val="nil"/>
              <w:left w:val="nil"/>
              <w:bottom w:val="nil"/>
              <w:right w:val="nil"/>
            </w:tcBorders>
            <w:shd w:val="clear" w:color="auto" w:fill="auto"/>
            <w:noWrap/>
            <w:vAlign w:val="bottom"/>
            <w:hideMark/>
          </w:tcPr>
          <w:p w14:paraId="38C9F531" w14:textId="77777777" w:rsidR="00FC3D65" w:rsidRPr="008B1465" w:rsidRDefault="00FC3D65" w:rsidP="00FE7438">
            <w:pPr>
              <w:spacing w:after="0" w:line="240" w:lineRule="auto"/>
              <w:ind w:firstLineChars="400" w:firstLine="964"/>
              <w:rPr>
                <w:rFonts w:ascii="Times New Roman" w:hAnsi="Times New Roman"/>
                <w:b/>
                <w:bCs/>
                <w:color w:val="000000"/>
                <w:sz w:val="24"/>
                <w:szCs w:val="24"/>
              </w:rPr>
            </w:pPr>
          </w:p>
        </w:tc>
      </w:tr>
      <w:tr w:rsidR="00FC3D65" w:rsidRPr="008B1465" w14:paraId="06A7078E"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6A67A3F1"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 xml:space="preserve">Bursary </w:t>
            </w:r>
          </w:p>
        </w:tc>
        <w:tc>
          <w:tcPr>
            <w:tcW w:w="2226" w:type="dxa"/>
            <w:tcBorders>
              <w:top w:val="nil"/>
              <w:left w:val="nil"/>
              <w:bottom w:val="nil"/>
              <w:right w:val="nil"/>
            </w:tcBorders>
            <w:shd w:val="clear" w:color="auto" w:fill="auto"/>
            <w:noWrap/>
            <w:vAlign w:val="center"/>
            <w:hideMark/>
          </w:tcPr>
          <w:p w14:paraId="25093523"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134</w:t>
            </w:r>
          </w:p>
        </w:tc>
        <w:tc>
          <w:tcPr>
            <w:tcW w:w="2214" w:type="dxa"/>
            <w:tcBorders>
              <w:top w:val="nil"/>
              <w:left w:val="nil"/>
              <w:bottom w:val="nil"/>
              <w:right w:val="nil"/>
            </w:tcBorders>
            <w:shd w:val="clear" w:color="auto" w:fill="auto"/>
            <w:noWrap/>
            <w:vAlign w:val="center"/>
            <w:hideMark/>
          </w:tcPr>
          <w:p w14:paraId="6D48385C"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36.8</w:t>
            </w:r>
          </w:p>
        </w:tc>
      </w:tr>
      <w:tr w:rsidR="00FC3D65" w:rsidRPr="008B1465" w14:paraId="51F5AE1D"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50D975E0"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Internal Audit</w:t>
            </w:r>
          </w:p>
        </w:tc>
        <w:tc>
          <w:tcPr>
            <w:tcW w:w="2226" w:type="dxa"/>
            <w:tcBorders>
              <w:top w:val="nil"/>
              <w:left w:val="nil"/>
              <w:bottom w:val="nil"/>
              <w:right w:val="nil"/>
            </w:tcBorders>
            <w:shd w:val="clear" w:color="auto" w:fill="auto"/>
            <w:noWrap/>
            <w:vAlign w:val="center"/>
            <w:hideMark/>
          </w:tcPr>
          <w:p w14:paraId="418C016B"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122</w:t>
            </w:r>
          </w:p>
        </w:tc>
        <w:tc>
          <w:tcPr>
            <w:tcW w:w="2214" w:type="dxa"/>
            <w:tcBorders>
              <w:top w:val="nil"/>
              <w:left w:val="nil"/>
              <w:bottom w:val="nil"/>
              <w:right w:val="nil"/>
            </w:tcBorders>
            <w:shd w:val="clear" w:color="auto" w:fill="auto"/>
            <w:noWrap/>
            <w:vAlign w:val="center"/>
            <w:hideMark/>
          </w:tcPr>
          <w:p w14:paraId="331F470E"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33.5</w:t>
            </w:r>
          </w:p>
        </w:tc>
      </w:tr>
      <w:tr w:rsidR="00FC3D65" w:rsidRPr="008B1465" w14:paraId="5EED3554"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59257A0E"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 xml:space="preserve">Procurement </w:t>
            </w:r>
          </w:p>
        </w:tc>
        <w:tc>
          <w:tcPr>
            <w:tcW w:w="2226" w:type="dxa"/>
            <w:tcBorders>
              <w:top w:val="nil"/>
              <w:left w:val="nil"/>
              <w:bottom w:val="nil"/>
              <w:right w:val="nil"/>
            </w:tcBorders>
            <w:shd w:val="clear" w:color="auto" w:fill="auto"/>
            <w:noWrap/>
            <w:vAlign w:val="center"/>
            <w:hideMark/>
          </w:tcPr>
          <w:p w14:paraId="0DC85E08"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108</w:t>
            </w:r>
          </w:p>
        </w:tc>
        <w:tc>
          <w:tcPr>
            <w:tcW w:w="2214" w:type="dxa"/>
            <w:tcBorders>
              <w:top w:val="nil"/>
              <w:left w:val="nil"/>
              <w:bottom w:val="nil"/>
              <w:right w:val="nil"/>
            </w:tcBorders>
            <w:shd w:val="clear" w:color="auto" w:fill="auto"/>
            <w:noWrap/>
            <w:vAlign w:val="center"/>
            <w:hideMark/>
          </w:tcPr>
          <w:p w14:paraId="5ACBFE72"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29.7</w:t>
            </w:r>
          </w:p>
        </w:tc>
      </w:tr>
      <w:tr w:rsidR="00FC3D65" w:rsidRPr="008B1465" w14:paraId="76495E12" w14:textId="77777777" w:rsidTr="00FE7438">
        <w:trPr>
          <w:trHeight w:val="285"/>
          <w:jc w:val="center"/>
        </w:trPr>
        <w:tc>
          <w:tcPr>
            <w:tcW w:w="6985" w:type="dxa"/>
            <w:gridSpan w:val="2"/>
            <w:tcBorders>
              <w:top w:val="nil"/>
              <w:left w:val="nil"/>
              <w:bottom w:val="nil"/>
              <w:right w:val="nil"/>
            </w:tcBorders>
            <w:shd w:val="clear" w:color="auto" w:fill="auto"/>
            <w:noWrap/>
            <w:vAlign w:val="center"/>
            <w:hideMark/>
          </w:tcPr>
          <w:p w14:paraId="4D23B028" w14:textId="77777777" w:rsidR="00FC3D65" w:rsidRPr="008B1465" w:rsidRDefault="00FC3D65" w:rsidP="00FE7438">
            <w:pPr>
              <w:spacing w:after="0" w:line="240" w:lineRule="auto"/>
              <w:ind w:firstLineChars="400" w:firstLine="964"/>
              <w:rPr>
                <w:rFonts w:ascii="Times New Roman" w:hAnsi="Times New Roman"/>
                <w:b/>
                <w:bCs/>
                <w:color w:val="000000"/>
                <w:sz w:val="24"/>
                <w:szCs w:val="24"/>
              </w:rPr>
            </w:pPr>
            <w:r w:rsidRPr="008B1465">
              <w:rPr>
                <w:rFonts w:ascii="Times New Roman" w:hAnsi="Times New Roman"/>
                <w:b/>
                <w:bCs/>
                <w:color w:val="000000"/>
                <w:sz w:val="24"/>
                <w:szCs w:val="24"/>
              </w:rPr>
              <w:t xml:space="preserve">Professional Qualification: </w:t>
            </w:r>
          </w:p>
        </w:tc>
        <w:tc>
          <w:tcPr>
            <w:tcW w:w="2214" w:type="dxa"/>
            <w:tcBorders>
              <w:top w:val="nil"/>
              <w:left w:val="nil"/>
              <w:bottom w:val="nil"/>
              <w:right w:val="nil"/>
            </w:tcBorders>
            <w:shd w:val="clear" w:color="auto" w:fill="auto"/>
            <w:noWrap/>
            <w:vAlign w:val="bottom"/>
            <w:hideMark/>
          </w:tcPr>
          <w:p w14:paraId="6D29C3CC" w14:textId="77777777" w:rsidR="00FC3D65" w:rsidRPr="008B1465" w:rsidRDefault="00FC3D65" w:rsidP="00FE7438">
            <w:pPr>
              <w:spacing w:after="0" w:line="240" w:lineRule="auto"/>
              <w:ind w:firstLineChars="400" w:firstLine="964"/>
              <w:rPr>
                <w:rFonts w:ascii="Times New Roman" w:hAnsi="Times New Roman"/>
                <w:b/>
                <w:bCs/>
                <w:color w:val="000000"/>
                <w:sz w:val="24"/>
                <w:szCs w:val="24"/>
              </w:rPr>
            </w:pPr>
          </w:p>
        </w:tc>
      </w:tr>
      <w:tr w:rsidR="00FC3D65" w:rsidRPr="008B1465" w14:paraId="1CF9E1B4"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77AAC735"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ICAN</w:t>
            </w:r>
          </w:p>
        </w:tc>
        <w:tc>
          <w:tcPr>
            <w:tcW w:w="2226" w:type="dxa"/>
            <w:tcBorders>
              <w:top w:val="nil"/>
              <w:left w:val="nil"/>
              <w:bottom w:val="nil"/>
              <w:right w:val="nil"/>
            </w:tcBorders>
            <w:shd w:val="clear" w:color="auto" w:fill="auto"/>
            <w:noWrap/>
            <w:vAlign w:val="center"/>
            <w:hideMark/>
          </w:tcPr>
          <w:p w14:paraId="6DA92108"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126</w:t>
            </w:r>
          </w:p>
        </w:tc>
        <w:tc>
          <w:tcPr>
            <w:tcW w:w="2214" w:type="dxa"/>
            <w:tcBorders>
              <w:top w:val="nil"/>
              <w:left w:val="nil"/>
              <w:bottom w:val="nil"/>
              <w:right w:val="nil"/>
            </w:tcBorders>
            <w:shd w:val="clear" w:color="auto" w:fill="auto"/>
            <w:noWrap/>
            <w:vAlign w:val="center"/>
            <w:hideMark/>
          </w:tcPr>
          <w:p w14:paraId="0C651596"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34.6</w:t>
            </w:r>
          </w:p>
        </w:tc>
      </w:tr>
      <w:tr w:rsidR="00FC3D65" w:rsidRPr="008B1465" w14:paraId="5E9E6190"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3954716F"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ANAN</w:t>
            </w:r>
          </w:p>
        </w:tc>
        <w:tc>
          <w:tcPr>
            <w:tcW w:w="2226" w:type="dxa"/>
            <w:tcBorders>
              <w:top w:val="nil"/>
              <w:left w:val="nil"/>
              <w:bottom w:val="nil"/>
              <w:right w:val="nil"/>
            </w:tcBorders>
            <w:shd w:val="clear" w:color="auto" w:fill="auto"/>
            <w:noWrap/>
            <w:vAlign w:val="center"/>
            <w:hideMark/>
          </w:tcPr>
          <w:p w14:paraId="77908E41"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30</w:t>
            </w:r>
          </w:p>
        </w:tc>
        <w:tc>
          <w:tcPr>
            <w:tcW w:w="2214" w:type="dxa"/>
            <w:tcBorders>
              <w:top w:val="nil"/>
              <w:left w:val="nil"/>
              <w:bottom w:val="nil"/>
              <w:right w:val="nil"/>
            </w:tcBorders>
            <w:shd w:val="clear" w:color="auto" w:fill="auto"/>
            <w:noWrap/>
            <w:vAlign w:val="center"/>
            <w:hideMark/>
          </w:tcPr>
          <w:p w14:paraId="7FAE5922"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8.2</w:t>
            </w:r>
          </w:p>
        </w:tc>
      </w:tr>
      <w:tr w:rsidR="00FC3D65" w:rsidRPr="008B1465" w14:paraId="454B5688"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7D11C705"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ACCA</w:t>
            </w:r>
          </w:p>
        </w:tc>
        <w:tc>
          <w:tcPr>
            <w:tcW w:w="2226" w:type="dxa"/>
            <w:tcBorders>
              <w:top w:val="nil"/>
              <w:left w:val="nil"/>
              <w:bottom w:val="nil"/>
              <w:right w:val="nil"/>
            </w:tcBorders>
            <w:shd w:val="clear" w:color="auto" w:fill="auto"/>
            <w:noWrap/>
            <w:vAlign w:val="center"/>
            <w:hideMark/>
          </w:tcPr>
          <w:p w14:paraId="2E0D18BB"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12</w:t>
            </w:r>
          </w:p>
        </w:tc>
        <w:tc>
          <w:tcPr>
            <w:tcW w:w="2214" w:type="dxa"/>
            <w:tcBorders>
              <w:top w:val="nil"/>
              <w:left w:val="nil"/>
              <w:bottom w:val="nil"/>
              <w:right w:val="nil"/>
            </w:tcBorders>
            <w:shd w:val="clear" w:color="auto" w:fill="auto"/>
            <w:noWrap/>
            <w:vAlign w:val="center"/>
            <w:hideMark/>
          </w:tcPr>
          <w:p w14:paraId="477A98F9"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3.3</w:t>
            </w:r>
          </w:p>
        </w:tc>
      </w:tr>
      <w:tr w:rsidR="00FC3D65" w:rsidRPr="008B1465" w14:paraId="06480DD1"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76438395"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 xml:space="preserve">Others </w:t>
            </w:r>
          </w:p>
        </w:tc>
        <w:tc>
          <w:tcPr>
            <w:tcW w:w="2226" w:type="dxa"/>
            <w:tcBorders>
              <w:top w:val="nil"/>
              <w:left w:val="nil"/>
              <w:bottom w:val="nil"/>
              <w:right w:val="nil"/>
            </w:tcBorders>
            <w:shd w:val="clear" w:color="auto" w:fill="auto"/>
            <w:noWrap/>
            <w:vAlign w:val="center"/>
            <w:hideMark/>
          </w:tcPr>
          <w:p w14:paraId="171BE5B7"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150</w:t>
            </w:r>
          </w:p>
        </w:tc>
        <w:tc>
          <w:tcPr>
            <w:tcW w:w="2214" w:type="dxa"/>
            <w:tcBorders>
              <w:top w:val="nil"/>
              <w:left w:val="nil"/>
              <w:bottom w:val="nil"/>
              <w:right w:val="nil"/>
            </w:tcBorders>
            <w:shd w:val="clear" w:color="auto" w:fill="auto"/>
            <w:noWrap/>
            <w:vAlign w:val="center"/>
            <w:hideMark/>
          </w:tcPr>
          <w:p w14:paraId="24485741"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41.2</w:t>
            </w:r>
          </w:p>
        </w:tc>
      </w:tr>
      <w:tr w:rsidR="00FC3D65" w:rsidRPr="008B1465" w14:paraId="0CD6C7F7"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1546BD0E"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None</w:t>
            </w:r>
          </w:p>
        </w:tc>
        <w:tc>
          <w:tcPr>
            <w:tcW w:w="2226" w:type="dxa"/>
            <w:tcBorders>
              <w:top w:val="nil"/>
              <w:left w:val="nil"/>
              <w:bottom w:val="nil"/>
              <w:right w:val="nil"/>
            </w:tcBorders>
            <w:shd w:val="clear" w:color="auto" w:fill="auto"/>
            <w:noWrap/>
            <w:vAlign w:val="center"/>
            <w:hideMark/>
          </w:tcPr>
          <w:p w14:paraId="55CF896B"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46</w:t>
            </w:r>
          </w:p>
        </w:tc>
        <w:tc>
          <w:tcPr>
            <w:tcW w:w="2214" w:type="dxa"/>
            <w:tcBorders>
              <w:top w:val="nil"/>
              <w:left w:val="nil"/>
              <w:bottom w:val="nil"/>
              <w:right w:val="nil"/>
            </w:tcBorders>
            <w:shd w:val="clear" w:color="auto" w:fill="auto"/>
            <w:noWrap/>
            <w:vAlign w:val="center"/>
            <w:hideMark/>
          </w:tcPr>
          <w:p w14:paraId="15D7A4B7"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12.6</w:t>
            </w:r>
          </w:p>
        </w:tc>
      </w:tr>
      <w:tr w:rsidR="00FC3D65" w:rsidRPr="008B1465" w14:paraId="511492D3"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5D85CD09" w14:textId="77777777" w:rsidR="00FC3D65" w:rsidRPr="008B1465" w:rsidRDefault="00FC3D65" w:rsidP="00FE7438">
            <w:pPr>
              <w:spacing w:after="0" w:line="240" w:lineRule="auto"/>
              <w:ind w:firstLineChars="400" w:firstLine="964"/>
              <w:rPr>
                <w:rFonts w:ascii="Times New Roman" w:hAnsi="Times New Roman"/>
                <w:b/>
                <w:bCs/>
                <w:color w:val="000000"/>
                <w:sz w:val="24"/>
                <w:szCs w:val="24"/>
              </w:rPr>
            </w:pPr>
            <w:r w:rsidRPr="008B1465">
              <w:rPr>
                <w:rFonts w:ascii="Times New Roman" w:hAnsi="Times New Roman"/>
                <w:b/>
                <w:bCs/>
                <w:color w:val="000000"/>
                <w:sz w:val="24"/>
                <w:szCs w:val="24"/>
              </w:rPr>
              <w:t xml:space="preserve">Position: </w:t>
            </w:r>
          </w:p>
        </w:tc>
        <w:tc>
          <w:tcPr>
            <w:tcW w:w="2226" w:type="dxa"/>
            <w:tcBorders>
              <w:top w:val="nil"/>
              <w:left w:val="nil"/>
              <w:bottom w:val="nil"/>
              <w:right w:val="nil"/>
            </w:tcBorders>
            <w:shd w:val="clear" w:color="auto" w:fill="auto"/>
            <w:noWrap/>
            <w:vAlign w:val="bottom"/>
            <w:hideMark/>
          </w:tcPr>
          <w:p w14:paraId="7117B732" w14:textId="77777777" w:rsidR="00FC3D65" w:rsidRPr="008B1465" w:rsidRDefault="00FC3D65" w:rsidP="00FE7438">
            <w:pPr>
              <w:spacing w:after="0" w:line="240" w:lineRule="auto"/>
              <w:ind w:firstLineChars="400" w:firstLine="964"/>
              <w:rPr>
                <w:rFonts w:ascii="Times New Roman" w:hAnsi="Times New Roman"/>
                <w:b/>
                <w:bCs/>
                <w:color w:val="000000"/>
                <w:sz w:val="24"/>
                <w:szCs w:val="24"/>
              </w:rPr>
            </w:pPr>
          </w:p>
        </w:tc>
        <w:tc>
          <w:tcPr>
            <w:tcW w:w="2214" w:type="dxa"/>
            <w:tcBorders>
              <w:top w:val="nil"/>
              <w:left w:val="nil"/>
              <w:bottom w:val="nil"/>
              <w:right w:val="nil"/>
            </w:tcBorders>
            <w:shd w:val="clear" w:color="auto" w:fill="auto"/>
            <w:noWrap/>
            <w:vAlign w:val="bottom"/>
            <w:hideMark/>
          </w:tcPr>
          <w:p w14:paraId="35DBECB4" w14:textId="77777777" w:rsidR="00FC3D65" w:rsidRPr="008B1465" w:rsidRDefault="00FC3D65" w:rsidP="00FE7438">
            <w:pPr>
              <w:spacing w:after="0" w:line="240" w:lineRule="auto"/>
              <w:rPr>
                <w:rFonts w:ascii="Times New Roman" w:hAnsi="Times New Roman"/>
                <w:sz w:val="24"/>
                <w:szCs w:val="24"/>
              </w:rPr>
            </w:pPr>
          </w:p>
        </w:tc>
      </w:tr>
      <w:tr w:rsidR="00FC3D65" w:rsidRPr="008B1465" w14:paraId="62C65C93"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1D5195E6"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Accountant II</w:t>
            </w:r>
          </w:p>
        </w:tc>
        <w:tc>
          <w:tcPr>
            <w:tcW w:w="2226" w:type="dxa"/>
            <w:tcBorders>
              <w:top w:val="nil"/>
              <w:left w:val="nil"/>
              <w:bottom w:val="nil"/>
              <w:right w:val="nil"/>
            </w:tcBorders>
            <w:shd w:val="clear" w:color="auto" w:fill="auto"/>
            <w:noWrap/>
            <w:vAlign w:val="center"/>
            <w:hideMark/>
          </w:tcPr>
          <w:p w14:paraId="5DF06BF3"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16</w:t>
            </w:r>
          </w:p>
        </w:tc>
        <w:tc>
          <w:tcPr>
            <w:tcW w:w="2214" w:type="dxa"/>
            <w:tcBorders>
              <w:top w:val="nil"/>
              <w:left w:val="nil"/>
              <w:bottom w:val="nil"/>
              <w:right w:val="nil"/>
            </w:tcBorders>
            <w:shd w:val="clear" w:color="auto" w:fill="auto"/>
            <w:noWrap/>
            <w:vAlign w:val="center"/>
            <w:hideMark/>
          </w:tcPr>
          <w:p w14:paraId="6B6A297C"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4.4</w:t>
            </w:r>
          </w:p>
        </w:tc>
      </w:tr>
      <w:tr w:rsidR="00FC3D65" w:rsidRPr="008B1465" w14:paraId="4A12C6C5"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6EDA6E35"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Accountant I</w:t>
            </w:r>
          </w:p>
        </w:tc>
        <w:tc>
          <w:tcPr>
            <w:tcW w:w="2226" w:type="dxa"/>
            <w:tcBorders>
              <w:top w:val="nil"/>
              <w:left w:val="nil"/>
              <w:bottom w:val="nil"/>
              <w:right w:val="nil"/>
            </w:tcBorders>
            <w:shd w:val="clear" w:color="auto" w:fill="auto"/>
            <w:noWrap/>
            <w:vAlign w:val="center"/>
            <w:hideMark/>
          </w:tcPr>
          <w:p w14:paraId="4CC2DC4B"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32</w:t>
            </w:r>
          </w:p>
        </w:tc>
        <w:tc>
          <w:tcPr>
            <w:tcW w:w="2214" w:type="dxa"/>
            <w:tcBorders>
              <w:top w:val="nil"/>
              <w:left w:val="nil"/>
              <w:bottom w:val="nil"/>
              <w:right w:val="nil"/>
            </w:tcBorders>
            <w:shd w:val="clear" w:color="auto" w:fill="auto"/>
            <w:noWrap/>
            <w:vAlign w:val="center"/>
            <w:hideMark/>
          </w:tcPr>
          <w:p w14:paraId="6A89F898"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8.8</w:t>
            </w:r>
          </w:p>
        </w:tc>
      </w:tr>
      <w:tr w:rsidR="00FC3D65" w:rsidRPr="008B1465" w14:paraId="706C6178"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4D604E74"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 xml:space="preserve">Senior Accountant </w:t>
            </w:r>
          </w:p>
        </w:tc>
        <w:tc>
          <w:tcPr>
            <w:tcW w:w="2226" w:type="dxa"/>
            <w:tcBorders>
              <w:top w:val="nil"/>
              <w:left w:val="nil"/>
              <w:bottom w:val="nil"/>
              <w:right w:val="nil"/>
            </w:tcBorders>
            <w:shd w:val="clear" w:color="auto" w:fill="auto"/>
            <w:noWrap/>
            <w:vAlign w:val="center"/>
            <w:hideMark/>
          </w:tcPr>
          <w:p w14:paraId="02AE9EA6"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18</w:t>
            </w:r>
          </w:p>
        </w:tc>
        <w:tc>
          <w:tcPr>
            <w:tcW w:w="2214" w:type="dxa"/>
            <w:tcBorders>
              <w:top w:val="nil"/>
              <w:left w:val="nil"/>
              <w:bottom w:val="nil"/>
              <w:right w:val="nil"/>
            </w:tcBorders>
            <w:shd w:val="clear" w:color="auto" w:fill="auto"/>
            <w:noWrap/>
            <w:vAlign w:val="center"/>
            <w:hideMark/>
          </w:tcPr>
          <w:p w14:paraId="0008E601"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4.9</w:t>
            </w:r>
          </w:p>
        </w:tc>
      </w:tr>
      <w:tr w:rsidR="00FC3D65" w:rsidRPr="008B1465" w14:paraId="6F1BFECC"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08E436C5"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 xml:space="preserve">Principal Accountant </w:t>
            </w:r>
          </w:p>
        </w:tc>
        <w:tc>
          <w:tcPr>
            <w:tcW w:w="2226" w:type="dxa"/>
            <w:tcBorders>
              <w:top w:val="nil"/>
              <w:left w:val="nil"/>
              <w:bottom w:val="nil"/>
              <w:right w:val="nil"/>
            </w:tcBorders>
            <w:shd w:val="clear" w:color="auto" w:fill="auto"/>
            <w:noWrap/>
            <w:vAlign w:val="center"/>
            <w:hideMark/>
          </w:tcPr>
          <w:p w14:paraId="3615E7FA"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36</w:t>
            </w:r>
          </w:p>
        </w:tc>
        <w:tc>
          <w:tcPr>
            <w:tcW w:w="2214" w:type="dxa"/>
            <w:tcBorders>
              <w:top w:val="nil"/>
              <w:left w:val="nil"/>
              <w:bottom w:val="nil"/>
              <w:right w:val="nil"/>
            </w:tcBorders>
            <w:shd w:val="clear" w:color="auto" w:fill="auto"/>
            <w:noWrap/>
            <w:vAlign w:val="center"/>
            <w:hideMark/>
          </w:tcPr>
          <w:p w14:paraId="01713572"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9.9</w:t>
            </w:r>
          </w:p>
        </w:tc>
      </w:tr>
      <w:tr w:rsidR="00FC3D65" w:rsidRPr="008B1465" w14:paraId="2E124E64"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200AD4A5"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 xml:space="preserve">Assistant Chief Accountant </w:t>
            </w:r>
          </w:p>
        </w:tc>
        <w:tc>
          <w:tcPr>
            <w:tcW w:w="2226" w:type="dxa"/>
            <w:tcBorders>
              <w:top w:val="nil"/>
              <w:left w:val="nil"/>
              <w:bottom w:val="nil"/>
              <w:right w:val="nil"/>
            </w:tcBorders>
            <w:shd w:val="clear" w:color="auto" w:fill="auto"/>
            <w:noWrap/>
            <w:vAlign w:val="center"/>
            <w:hideMark/>
          </w:tcPr>
          <w:p w14:paraId="5A8C789C"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14</w:t>
            </w:r>
          </w:p>
        </w:tc>
        <w:tc>
          <w:tcPr>
            <w:tcW w:w="2214" w:type="dxa"/>
            <w:tcBorders>
              <w:top w:val="nil"/>
              <w:left w:val="nil"/>
              <w:bottom w:val="nil"/>
              <w:right w:val="nil"/>
            </w:tcBorders>
            <w:shd w:val="clear" w:color="auto" w:fill="auto"/>
            <w:noWrap/>
            <w:vAlign w:val="center"/>
            <w:hideMark/>
          </w:tcPr>
          <w:p w14:paraId="59FBDB20"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3.8</w:t>
            </w:r>
          </w:p>
        </w:tc>
      </w:tr>
      <w:tr w:rsidR="00FC3D65" w:rsidRPr="008B1465" w14:paraId="78101AAB"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0F561E29"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 xml:space="preserve">Chief Account </w:t>
            </w:r>
          </w:p>
        </w:tc>
        <w:tc>
          <w:tcPr>
            <w:tcW w:w="2226" w:type="dxa"/>
            <w:tcBorders>
              <w:top w:val="nil"/>
              <w:left w:val="nil"/>
              <w:bottom w:val="nil"/>
              <w:right w:val="nil"/>
            </w:tcBorders>
            <w:shd w:val="clear" w:color="auto" w:fill="auto"/>
            <w:noWrap/>
            <w:vAlign w:val="center"/>
            <w:hideMark/>
          </w:tcPr>
          <w:p w14:paraId="75CFB779"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18</w:t>
            </w:r>
          </w:p>
        </w:tc>
        <w:tc>
          <w:tcPr>
            <w:tcW w:w="2214" w:type="dxa"/>
            <w:tcBorders>
              <w:top w:val="nil"/>
              <w:left w:val="nil"/>
              <w:bottom w:val="nil"/>
              <w:right w:val="nil"/>
            </w:tcBorders>
            <w:shd w:val="clear" w:color="auto" w:fill="auto"/>
            <w:noWrap/>
            <w:vAlign w:val="center"/>
            <w:hideMark/>
          </w:tcPr>
          <w:p w14:paraId="3CBEA015"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4.9</w:t>
            </w:r>
          </w:p>
        </w:tc>
      </w:tr>
      <w:tr w:rsidR="00FC3D65" w:rsidRPr="008B1465" w14:paraId="417E43D5"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1CDC188C"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Deputy Bursar</w:t>
            </w:r>
          </w:p>
        </w:tc>
        <w:tc>
          <w:tcPr>
            <w:tcW w:w="2226" w:type="dxa"/>
            <w:tcBorders>
              <w:top w:val="nil"/>
              <w:left w:val="nil"/>
              <w:bottom w:val="nil"/>
              <w:right w:val="nil"/>
            </w:tcBorders>
            <w:shd w:val="clear" w:color="auto" w:fill="auto"/>
            <w:noWrap/>
            <w:vAlign w:val="center"/>
            <w:hideMark/>
          </w:tcPr>
          <w:p w14:paraId="42A6613D"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2</w:t>
            </w:r>
          </w:p>
        </w:tc>
        <w:tc>
          <w:tcPr>
            <w:tcW w:w="2214" w:type="dxa"/>
            <w:tcBorders>
              <w:top w:val="nil"/>
              <w:left w:val="nil"/>
              <w:bottom w:val="nil"/>
              <w:right w:val="nil"/>
            </w:tcBorders>
            <w:shd w:val="clear" w:color="auto" w:fill="auto"/>
            <w:noWrap/>
            <w:vAlign w:val="center"/>
            <w:hideMark/>
          </w:tcPr>
          <w:p w14:paraId="03ED4BB6"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0.5</w:t>
            </w:r>
          </w:p>
        </w:tc>
      </w:tr>
      <w:tr w:rsidR="00FC3D65" w:rsidRPr="008B1465" w14:paraId="6263DC24"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23FD1D7E"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Internal Auditor II</w:t>
            </w:r>
          </w:p>
        </w:tc>
        <w:tc>
          <w:tcPr>
            <w:tcW w:w="2226" w:type="dxa"/>
            <w:tcBorders>
              <w:top w:val="nil"/>
              <w:left w:val="nil"/>
              <w:bottom w:val="nil"/>
              <w:right w:val="nil"/>
            </w:tcBorders>
            <w:shd w:val="clear" w:color="auto" w:fill="auto"/>
            <w:noWrap/>
            <w:vAlign w:val="center"/>
            <w:hideMark/>
          </w:tcPr>
          <w:p w14:paraId="40613FD1"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30</w:t>
            </w:r>
          </w:p>
        </w:tc>
        <w:tc>
          <w:tcPr>
            <w:tcW w:w="2214" w:type="dxa"/>
            <w:tcBorders>
              <w:top w:val="nil"/>
              <w:left w:val="nil"/>
              <w:bottom w:val="nil"/>
              <w:right w:val="nil"/>
            </w:tcBorders>
            <w:shd w:val="clear" w:color="auto" w:fill="auto"/>
            <w:noWrap/>
            <w:vAlign w:val="center"/>
            <w:hideMark/>
          </w:tcPr>
          <w:p w14:paraId="6DDA14FB"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8.2</w:t>
            </w:r>
          </w:p>
        </w:tc>
      </w:tr>
      <w:tr w:rsidR="00FC3D65" w:rsidRPr="008B1465" w14:paraId="7CBF91E4"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2C012DC4"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Internal Auditor I</w:t>
            </w:r>
          </w:p>
        </w:tc>
        <w:tc>
          <w:tcPr>
            <w:tcW w:w="2226" w:type="dxa"/>
            <w:tcBorders>
              <w:top w:val="nil"/>
              <w:left w:val="nil"/>
              <w:bottom w:val="nil"/>
              <w:right w:val="nil"/>
            </w:tcBorders>
            <w:shd w:val="clear" w:color="auto" w:fill="auto"/>
            <w:noWrap/>
            <w:vAlign w:val="center"/>
            <w:hideMark/>
          </w:tcPr>
          <w:p w14:paraId="44458621"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12</w:t>
            </w:r>
          </w:p>
        </w:tc>
        <w:tc>
          <w:tcPr>
            <w:tcW w:w="2214" w:type="dxa"/>
            <w:tcBorders>
              <w:top w:val="nil"/>
              <w:left w:val="nil"/>
              <w:bottom w:val="nil"/>
              <w:right w:val="nil"/>
            </w:tcBorders>
            <w:shd w:val="clear" w:color="auto" w:fill="auto"/>
            <w:noWrap/>
            <w:vAlign w:val="center"/>
            <w:hideMark/>
          </w:tcPr>
          <w:p w14:paraId="3A37763B"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3.3</w:t>
            </w:r>
          </w:p>
        </w:tc>
      </w:tr>
      <w:tr w:rsidR="00FC3D65" w:rsidRPr="008B1465" w14:paraId="7D614CA6"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5C4CDD93"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 xml:space="preserve">Senior Internal Auditor </w:t>
            </w:r>
          </w:p>
        </w:tc>
        <w:tc>
          <w:tcPr>
            <w:tcW w:w="2226" w:type="dxa"/>
            <w:tcBorders>
              <w:top w:val="nil"/>
              <w:left w:val="nil"/>
              <w:bottom w:val="nil"/>
              <w:right w:val="nil"/>
            </w:tcBorders>
            <w:shd w:val="clear" w:color="auto" w:fill="auto"/>
            <w:noWrap/>
            <w:vAlign w:val="center"/>
            <w:hideMark/>
          </w:tcPr>
          <w:p w14:paraId="0BDD3316"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28</w:t>
            </w:r>
          </w:p>
        </w:tc>
        <w:tc>
          <w:tcPr>
            <w:tcW w:w="2214" w:type="dxa"/>
            <w:tcBorders>
              <w:top w:val="nil"/>
              <w:left w:val="nil"/>
              <w:bottom w:val="nil"/>
              <w:right w:val="nil"/>
            </w:tcBorders>
            <w:shd w:val="clear" w:color="auto" w:fill="auto"/>
            <w:noWrap/>
            <w:vAlign w:val="center"/>
            <w:hideMark/>
          </w:tcPr>
          <w:p w14:paraId="3FFD8EEF"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7.7</w:t>
            </w:r>
          </w:p>
        </w:tc>
      </w:tr>
      <w:tr w:rsidR="00FC3D65" w:rsidRPr="008B1465" w14:paraId="7911EE4E"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18C676BE"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 xml:space="preserve">Principal Internal Auditor </w:t>
            </w:r>
          </w:p>
        </w:tc>
        <w:tc>
          <w:tcPr>
            <w:tcW w:w="2226" w:type="dxa"/>
            <w:tcBorders>
              <w:top w:val="nil"/>
              <w:left w:val="nil"/>
              <w:bottom w:val="nil"/>
              <w:right w:val="nil"/>
            </w:tcBorders>
            <w:shd w:val="clear" w:color="auto" w:fill="auto"/>
            <w:noWrap/>
            <w:vAlign w:val="center"/>
            <w:hideMark/>
          </w:tcPr>
          <w:p w14:paraId="10C60302"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4</w:t>
            </w:r>
          </w:p>
        </w:tc>
        <w:tc>
          <w:tcPr>
            <w:tcW w:w="2214" w:type="dxa"/>
            <w:tcBorders>
              <w:top w:val="nil"/>
              <w:left w:val="nil"/>
              <w:bottom w:val="nil"/>
              <w:right w:val="nil"/>
            </w:tcBorders>
            <w:shd w:val="clear" w:color="auto" w:fill="auto"/>
            <w:noWrap/>
            <w:vAlign w:val="center"/>
            <w:hideMark/>
          </w:tcPr>
          <w:p w14:paraId="176E2F1B"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1.1</w:t>
            </w:r>
          </w:p>
        </w:tc>
      </w:tr>
      <w:tr w:rsidR="00FC3D65" w:rsidRPr="008B1465" w14:paraId="1816FF74"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3FF01BD3"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Assistant Chief Internal Auditor</w:t>
            </w:r>
          </w:p>
        </w:tc>
        <w:tc>
          <w:tcPr>
            <w:tcW w:w="2226" w:type="dxa"/>
            <w:tcBorders>
              <w:top w:val="nil"/>
              <w:left w:val="nil"/>
              <w:bottom w:val="nil"/>
              <w:right w:val="nil"/>
            </w:tcBorders>
            <w:shd w:val="clear" w:color="auto" w:fill="auto"/>
            <w:noWrap/>
            <w:vAlign w:val="center"/>
            <w:hideMark/>
          </w:tcPr>
          <w:p w14:paraId="7968404C"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14</w:t>
            </w:r>
          </w:p>
        </w:tc>
        <w:tc>
          <w:tcPr>
            <w:tcW w:w="2214" w:type="dxa"/>
            <w:tcBorders>
              <w:top w:val="nil"/>
              <w:left w:val="nil"/>
              <w:bottom w:val="nil"/>
              <w:right w:val="nil"/>
            </w:tcBorders>
            <w:shd w:val="clear" w:color="auto" w:fill="auto"/>
            <w:noWrap/>
            <w:vAlign w:val="center"/>
            <w:hideMark/>
          </w:tcPr>
          <w:p w14:paraId="2F778ADD"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3.8</w:t>
            </w:r>
          </w:p>
        </w:tc>
      </w:tr>
      <w:tr w:rsidR="00FC3D65" w:rsidRPr="008B1465" w14:paraId="33080376"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4552BD56"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 xml:space="preserve">Chief Internal Auditor </w:t>
            </w:r>
          </w:p>
        </w:tc>
        <w:tc>
          <w:tcPr>
            <w:tcW w:w="2226" w:type="dxa"/>
            <w:tcBorders>
              <w:top w:val="nil"/>
              <w:left w:val="nil"/>
              <w:bottom w:val="nil"/>
              <w:right w:val="nil"/>
            </w:tcBorders>
            <w:shd w:val="clear" w:color="auto" w:fill="auto"/>
            <w:noWrap/>
            <w:vAlign w:val="center"/>
            <w:hideMark/>
          </w:tcPr>
          <w:p w14:paraId="12366EED"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14</w:t>
            </w:r>
          </w:p>
        </w:tc>
        <w:tc>
          <w:tcPr>
            <w:tcW w:w="2214" w:type="dxa"/>
            <w:tcBorders>
              <w:top w:val="nil"/>
              <w:left w:val="nil"/>
              <w:bottom w:val="nil"/>
              <w:right w:val="nil"/>
            </w:tcBorders>
            <w:shd w:val="clear" w:color="auto" w:fill="auto"/>
            <w:noWrap/>
            <w:vAlign w:val="center"/>
            <w:hideMark/>
          </w:tcPr>
          <w:p w14:paraId="4D4A360A"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3.8</w:t>
            </w:r>
          </w:p>
        </w:tc>
      </w:tr>
      <w:tr w:rsidR="00FC3D65" w:rsidRPr="008B1465" w14:paraId="268DA286"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557999F0"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Deputy Director, Internal Auditor</w:t>
            </w:r>
          </w:p>
        </w:tc>
        <w:tc>
          <w:tcPr>
            <w:tcW w:w="2226" w:type="dxa"/>
            <w:tcBorders>
              <w:top w:val="nil"/>
              <w:left w:val="nil"/>
              <w:bottom w:val="nil"/>
              <w:right w:val="nil"/>
            </w:tcBorders>
            <w:shd w:val="clear" w:color="auto" w:fill="auto"/>
            <w:noWrap/>
            <w:vAlign w:val="center"/>
            <w:hideMark/>
          </w:tcPr>
          <w:p w14:paraId="35135E63"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14</w:t>
            </w:r>
          </w:p>
        </w:tc>
        <w:tc>
          <w:tcPr>
            <w:tcW w:w="2214" w:type="dxa"/>
            <w:tcBorders>
              <w:top w:val="nil"/>
              <w:left w:val="nil"/>
              <w:bottom w:val="nil"/>
              <w:right w:val="nil"/>
            </w:tcBorders>
            <w:shd w:val="clear" w:color="auto" w:fill="auto"/>
            <w:noWrap/>
            <w:vAlign w:val="center"/>
            <w:hideMark/>
          </w:tcPr>
          <w:p w14:paraId="4318B968"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3.8</w:t>
            </w:r>
          </w:p>
        </w:tc>
      </w:tr>
      <w:tr w:rsidR="00FC3D65" w:rsidRPr="008B1465" w14:paraId="28FC1F2D"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22A0BD0F"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Store Officer II</w:t>
            </w:r>
          </w:p>
        </w:tc>
        <w:tc>
          <w:tcPr>
            <w:tcW w:w="2226" w:type="dxa"/>
            <w:tcBorders>
              <w:top w:val="nil"/>
              <w:left w:val="nil"/>
              <w:bottom w:val="nil"/>
              <w:right w:val="nil"/>
            </w:tcBorders>
            <w:shd w:val="clear" w:color="auto" w:fill="auto"/>
            <w:noWrap/>
            <w:vAlign w:val="center"/>
            <w:hideMark/>
          </w:tcPr>
          <w:p w14:paraId="0B819BC7"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4</w:t>
            </w:r>
          </w:p>
        </w:tc>
        <w:tc>
          <w:tcPr>
            <w:tcW w:w="2214" w:type="dxa"/>
            <w:tcBorders>
              <w:top w:val="nil"/>
              <w:left w:val="nil"/>
              <w:bottom w:val="nil"/>
              <w:right w:val="nil"/>
            </w:tcBorders>
            <w:shd w:val="clear" w:color="auto" w:fill="auto"/>
            <w:noWrap/>
            <w:vAlign w:val="center"/>
            <w:hideMark/>
          </w:tcPr>
          <w:p w14:paraId="0641E508"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1.1</w:t>
            </w:r>
          </w:p>
        </w:tc>
      </w:tr>
      <w:tr w:rsidR="00FC3D65" w:rsidRPr="008B1465" w14:paraId="022631F5"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6B44CED2"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Store Officer I</w:t>
            </w:r>
          </w:p>
        </w:tc>
        <w:tc>
          <w:tcPr>
            <w:tcW w:w="2226" w:type="dxa"/>
            <w:tcBorders>
              <w:top w:val="nil"/>
              <w:left w:val="nil"/>
              <w:bottom w:val="nil"/>
              <w:right w:val="nil"/>
            </w:tcBorders>
            <w:shd w:val="clear" w:color="auto" w:fill="auto"/>
            <w:noWrap/>
            <w:vAlign w:val="center"/>
            <w:hideMark/>
          </w:tcPr>
          <w:p w14:paraId="49BF4773"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16</w:t>
            </w:r>
          </w:p>
        </w:tc>
        <w:tc>
          <w:tcPr>
            <w:tcW w:w="2214" w:type="dxa"/>
            <w:tcBorders>
              <w:top w:val="nil"/>
              <w:left w:val="nil"/>
              <w:bottom w:val="nil"/>
              <w:right w:val="nil"/>
            </w:tcBorders>
            <w:shd w:val="clear" w:color="auto" w:fill="auto"/>
            <w:noWrap/>
            <w:vAlign w:val="center"/>
            <w:hideMark/>
          </w:tcPr>
          <w:p w14:paraId="4A24D5AD"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4.4</w:t>
            </w:r>
          </w:p>
        </w:tc>
      </w:tr>
      <w:tr w:rsidR="00FC3D65" w:rsidRPr="008B1465" w14:paraId="18F83F3D"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0E572AE5"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 xml:space="preserve">Senior Store Officer </w:t>
            </w:r>
          </w:p>
        </w:tc>
        <w:tc>
          <w:tcPr>
            <w:tcW w:w="2226" w:type="dxa"/>
            <w:tcBorders>
              <w:top w:val="nil"/>
              <w:left w:val="nil"/>
              <w:bottom w:val="nil"/>
              <w:right w:val="nil"/>
            </w:tcBorders>
            <w:shd w:val="clear" w:color="auto" w:fill="auto"/>
            <w:noWrap/>
            <w:vAlign w:val="center"/>
            <w:hideMark/>
          </w:tcPr>
          <w:p w14:paraId="41155116"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34</w:t>
            </w:r>
          </w:p>
        </w:tc>
        <w:tc>
          <w:tcPr>
            <w:tcW w:w="2214" w:type="dxa"/>
            <w:tcBorders>
              <w:top w:val="nil"/>
              <w:left w:val="nil"/>
              <w:bottom w:val="nil"/>
              <w:right w:val="nil"/>
            </w:tcBorders>
            <w:shd w:val="clear" w:color="auto" w:fill="auto"/>
            <w:noWrap/>
            <w:vAlign w:val="center"/>
            <w:hideMark/>
          </w:tcPr>
          <w:p w14:paraId="69D484D1"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9.3</w:t>
            </w:r>
          </w:p>
        </w:tc>
      </w:tr>
      <w:tr w:rsidR="00FC3D65" w:rsidRPr="008B1465" w14:paraId="720F70B0" w14:textId="77777777" w:rsidTr="00FE7438">
        <w:trPr>
          <w:trHeight w:val="285"/>
          <w:jc w:val="center"/>
        </w:trPr>
        <w:tc>
          <w:tcPr>
            <w:tcW w:w="4759" w:type="dxa"/>
            <w:tcBorders>
              <w:top w:val="nil"/>
              <w:left w:val="nil"/>
              <w:bottom w:val="nil"/>
              <w:right w:val="nil"/>
            </w:tcBorders>
            <w:shd w:val="clear" w:color="auto" w:fill="auto"/>
            <w:noWrap/>
            <w:vAlign w:val="center"/>
            <w:hideMark/>
          </w:tcPr>
          <w:p w14:paraId="069EBD90"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 xml:space="preserve">Principal Store Officer </w:t>
            </w:r>
          </w:p>
        </w:tc>
        <w:tc>
          <w:tcPr>
            <w:tcW w:w="2226" w:type="dxa"/>
            <w:tcBorders>
              <w:top w:val="nil"/>
              <w:left w:val="nil"/>
              <w:bottom w:val="nil"/>
              <w:right w:val="nil"/>
            </w:tcBorders>
            <w:shd w:val="clear" w:color="auto" w:fill="auto"/>
            <w:noWrap/>
            <w:vAlign w:val="center"/>
            <w:hideMark/>
          </w:tcPr>
          <w:p w14:paraId="12DAEBD9"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24</w:t>
            </w:r>
          </w:p>
        </w:tc>
        <w:tc>
          <w:tcPr>
            <w:tcW w:w="2214" w:type="dxa"/>
            <w:tcBorders>
              <w:top w:val="nil"/>
              <w:left w:val="nil"/>
              <w:bottom w:val="nil"/>
              <w:right w:val="nil"/>
            </w:tcBorders>
            <w:shd w:val="clear" w:color="auto" w:fill="auto"/>
            <w:noWrap/>
            <w:vAlign w:val="center"/>
            <w:hideMark/>
          </w:tcPr>
          <w:p w14:paraId="73968F96"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6.6</w:t>
            </w:r>
          </w:p>
        </w:tc>
      </w:tr>
      <w:tr w:rsidR="00FC3D65" w:rsidRPr="008B1465" w14:paraId="2E03DBDF" w14:textId="77777777" w:rsidTr="00FE7438">
        <w:trPr>
          <w:trHeight w:val="285"/>
          <w:jc w:val="center"/>
        </w:trPr>
        <w:tc>
          <w:tcPr>
            <w:tcW w:w="4759" w:type="dxa"/>
            <w:tcBorders>
              <w:top w:val="nil"/>
              <w:left w:val="nil"/>
              <w:right w:val="nil"/>
            </w:tcBorders>
            <w:shd w:val="clear" w:color="auto" w:fill="auto"/>
            <w:noWrap/>
            <w:vAlign w:val="center"/>
            <w:hideMark/>
          </w:tcPr>
          <w:p w14:paraId="5563123D"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 xml:space="preserve">Assistant Chief Store Officer </w:t>
            </w:r>
          </w:p>
        </w:tc>
        <w:tc>
          <w:tcPr>
            <w:tcW w:w="2226" w:type="dxa"/>
            <w:tcBorders>
              <w:top w:val="nil"/>
              <w:left w:val="nil"/>
              <w:right w:val="nil"/>
            </w:tcBorders>
            <w:shd w:val="clear" w:color="auto" w:fill="auto"/>
            <w:noWrap/>
            <w:vAlign w:val="center"/>
            <w:hideMark/>
          </w:tcPr>
          <w:p w14:paraId="54BF8334"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24</w:t>
            </w:r>
          </w:p>
        </w:tc>
        <w:tc>
          <w:tcPr>
            <w:tcW w:w="2214" w:type="dxa"/>
            <w:tcBorders>
              <w:top w:val="nil"/>
              <w:left w:val="nil"/>
              <w:right w:val="nil"/>
            </w:tcBorders>
            <w:shd w:val="clear" w:color="auto" w:fill="auto"/>
            <w:noWrap/>
            <w:vAlign w:val="center"/>
            <w:hideMark/>
          </w:tcPr>
          <w:p w14:paraId="521941F3"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6.6</w:t>
            </w:r>
          </w:p>
        </w:tc>
      </w:tr>
      <w:tr w:rsidR="00FC3D65" w:rsidRPr="008B1465" w14:paraId="73D7465C" w14:textId="77777777" w:rsidTr="00FE7438">
        <w:trPr>
          <w:trHeight w:val="285"/>
          <w:jc w:val="center"/>
        </w:trPr>
        <w:tc>
          <w:tcPr>
            <w:tcW w:w="4759" w:type="dxa"/>
            <w:tcBorders>
              <w:top w:val="nil"/>
              <w:left w:val="nil"/>
              <w:bottom w:val="single" w:sz="24" w:space="0" w:color="auto"/>
              <w:right w:val="nil"/>
            </w:tcBorders>
            <w:shd w:val="clear" w:color="auto" w:fill="auto"/>
            <w:noWrap/>
            <w:vAlign w:val="center"/>
            <w:hideMark/>
          </w:tcPr>
          <w:p w14:paraId="6516D69F"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 xml:space="preserve">Chief Store Officer </w:t>
            </w:r>
          </w:p>
        </w:tc>
        <w:tc>
          <w:tcPr>
            <w:tcW w:w="2226" w:type="dxa"/>
            <w:tcBorders>
              <w:top w:val="nil"/>
              <w:left w:val="nil"/>
              <w:bottom w:val="single" w:sz="24" w:space="0" w:color="auto"/>
              <w:right w:val="nil"/>
            </w:tcBorders>
            <w:shd w:val="clear" w:color="auto" w:fill="auto"/>
            <w:noWrap/>
            <w:vAlign w:val="center"/>
            <w:hideMark/>
          </w:tcPr>
          <w:p w14:paraId="38347F15"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10</w:t>
            </w:r>
          </w:p>
        </w:tc>
        <w:tc>
          <w:tcPr>
            <w:tcW w:w="2214" w:type="dxa"/>
            <w:tcBorders>
              <w:top w:val="nil"/>
              <w:left w:val="nil"/>
              <w:bottom w:val="single" w:sz="24" w:space="0" w:color="auto"/>
              <w:right w:val="nil"/>
            </w:tcBorders>
            <w:shd w:val="clear" w:color="auto" w:fill="auto"/>
            <w:noWrap/>
            <w:vAlign w:val="center"/>
            <w:hideMark/>
          </w:tcPr>
          <w:p w14:paraId="50FC22FE" w14:textId="77777777" w:rsidR="00FC3D65" w:rsidRPr="008B1465" w:rsidRDefault="00FC3D65" w:rsidP="00FE7438">
            <w:pPr>
              <w:spacing w:after="0" w:line="240" w:lineRule="auto"/>
              <w:ind w:firstLineChars="400" w:firstLine="960"/>
              <w:rPr>
                <w:rFonts w:ascii="Times New Roman" w:hAnsi="Times New Roman"/>
                <w:color w:val="000000"/>
                <w:sz w:val="24"/>
                <w:szCs w:val="24"/>
              </w:rPr>
            </w:pPr>
            <w:r w:rsidRPr="008B1465">
              <w:rPr>
                <w:rFonts w:ascii="Times New Roman" w:hAnsi="Times New Roman"/>
                <w:color w:val="000000"/>
                <w:sz w:val="24"/>
                <w:szCs w:val="24"/>
              </w:rPr>
              <w:t>2.7</w:t>
            </w:r>
          </w:p>
        </w:tc>
      </w:tr>
      <w:tr w:rsidR="00FC3D65" w:rsidRPr="008B1465" w14:paraId="0605D95E" w14:textId="77777777" w:rsidTr="00FE7438">
        <w:trPr>
          <w:trHeight w:val="285"/>
          <w:jc w:val="center"/>
        </w:trPr>
        <w:tc>
          <w:tcPr>
            <w:tcW w:w="9199" w:type="dxa"/>
            <w:gridSpan w:val="3"/>
            <w:tcBorders>
              <w:top w:val="single" w:sz="24" w:space="0" w:color="auto"/>
              <w:left w:val="nil"/>
              <w:bottom w:val="nil"/>
              <w:right w:val="nil"/>
            </w:tcBorders>
            <w:shd w:val="clear" w:color="auto" w:fill="auto"/>
            <w:noWrap/>
            <w:vAlign w:val="center"/>
            <w:hideMark/>
          </w:tcPr>
          <w:p w14:paraId="24B31A54" w14:textId="77777777" w:rsidR="00FC3D65" w:rsidRPr="008B1465" w:rsidRDefault="00FC3D65" w:rsidP="00FE7438">
            <w:pPr>
              <w:spacing w:after="0" w:line="240" w:lineRule="auto"/>
              <w:rPr>
                <w:rFonts w:ascii="Times New Roman" w:hAnsi="Times New Roman"/>
                <w:color w:val="000000"/>
                <w:sz w:val="24"/>
                <w:szCs w:val="24"/>
              </w:rPr>
            </w:pPr>
            <w:r w:rsidRPr="008B1465">
              <w:rPr>
                <w:rFonts w:ascii="Times New Roman" w:hAnsi="Times New Roman"/>
                <w:color w:val="000000"/>
                <w:sz w:val="24"/>
                <w:szCs w:val="24"/>
              </w:rPr>
              <w:t xml:space="preserve"> </w:t>
            </w:r>
            <w:r w:rsidRPr="008B1465">
              <w:rPr>
                <w:rFonts w:ascii="Times New Roman" w:hAnsi="Times New Roman"/>
                <w:b/>
                <w:bCs/>
                <w:color w:val="000000"/>
                <w:sz w:val="24"/>
                <w:szCs w:val="24"/>
              </w:rPr>
              <w:t>Source: Researcher’s field survey, 2023, SPSS 25.0 Version</w:t>
            </w:r>
          </w:p>
        </w:tc>
      </w:tr>
    </w:tbl>
    <w:p w14:paraId="3A96F6A1" w14:textId="77777777" w:rsidR="00FC3D65" w:rsidRDefault="00FC3D65" w:rsidP="00234521">
      <w:pPr>
        <w:pStyle w:val="NoSpacing"/>
        <w:spacing w:line="360" w:lineRule="auto"/>
        <w:jc w:val="both"/>
        <w:rPr>
          <w:rFonts w:ascii="Times New Roman" w:hAnsi="Times New Roman"/>
          <w:sz w:val="24"/>
          <w:szCs w:val="24"/>
        </w:rPr>
      </w:pPr>
    </w:p>
    <w:p w14:paraId="071E5288" w14:textId="05A8DF9B" w:rsidR="00FC3D65" w:rsidRPr="008B1465" w:rsidRDefault="00234521" w:rsidP="00234521">
      <w:pPr>
        <w:pStyle w:val="NoSpacing"/>
        <w:spacing w:line="360" w:lineRule="auto"/>
        <w:jc w:val="both"/>
        <w:rPr>
          <w:rFonts w:ascii="Times New Roman" w:hAnsi="Times New Roman"/>
          <w:sz w:val="24"/>
          <w:szCs w:val="24"/>
        </w:rPr>
      </w:pPr>
      <w:r w:rsidRPr="008B1465">
        <w:rPr>
          <w:rFonts w:ascii="Times New Roman" w:hAnsi="Times New Roman"/>
          <w:sz w:val="24"/>
          <w:szCs w:val="24"/>
        </w:rPr>
        <w:t xml:space="preserve">Table 4.1 showed that 69.2 per cent of the respondents were male while 30.8 </w:t>
      </w:r>
      <w:bookmarkStart w:id="109" w:name="_Hlk131963874"/>
      <w:r w:rsidRPr="008B1465">
        <w:rPr>
          <w:rFonts w:ascii="Times New Roman" w:hAnsi="Times New Roman"/>
          <w:sz w:val="24"/>
          <w:szCs w:val="24"/>
        </w:rPr>
        <w:t xml:space="preserve">per cent </w:t>
      </w:r>
      <w:bookmarkEnd w:id="109"/>
      <w:r w:rsidRPr="008B1465">
        <w:rPr>
          <w:rFonts w:ascii="Times New Roman" w:hAnsi="Times New Roman"/>
          <w:sz w:val="24"/>
          <w:szCs w:val="24"/>
        </w:rPr>
        <w:t>were female. This implies that more male respondents participated in the study. This showed that there were gender base differences that were prevalent in accounting profession. The analysis also showed that 79.1 per cent were married, 16.5 per cent were single, 3.8 per cent were widows, while widowers among the respondents were 0.5 per cent, being married signaled to the fact that they would be emotionally stable and responsible and would enhance the information given on forensic accounting</w:t>
      </w:r>
      <w:r w:rsidR="001A479D" w:rsidRPr="008B1465">
        <w:rPr>
          <w:rFonts w:ascii="Times New Roman" w:hAnsi="Times New Roman"/>
          <w:sz w:val="24"/>
          <w:szCs w:val="24"/>
        </w:rPr>
        <w:t xml:space="preserve"> techniques and financial misconduct</w:t>
      </w:r>
      <w:r w:rsidRPr="008B1465">
        <w:rPr>
          <w:rFonts w:ascii="Times New Roman" w:hAnsi="Times New Roman"/>
          <w:sz w:val="24"/>
          <w:szCs w:val="24"/>
        </w:rPr>
        <w:t>. The majority of the respondents; 44.5 per cent and 40.7</w:t>
      </w:r>
      <w:r w:rsidRPr="008B1465">
        <w:t xml:space="preserve"> </w:t>
      </w:r>
      <w:r w:rsidRPr="008B1465">
        <w:rPr>
          <w:rFonts w:ascii="Times New Roman" w:hAnsi="Times New Roman"/>
          <w:sz w:val="24"/>
          <w:szCs w:val="24"/>
        </w:rPr>
        <w:t>per cent belonging to the age group 36 - 45years and 46 - 55 years respectively, followed by age group between 26 – 35 years</w:t>
      </w:r>
      <w:r w:rsidR="00BC7DFF" w:rsidRPr="008B1465">
        <w:rPr>
          <w:rFonts w:ascii="Times New Roman" w:hAnsi="Times New Roman"/>
          <w:sz w:val="24"/>
          <w:szCs w:val="24"/>
        </w:rPr>
        <w:t xml:space="preserve"> (</w:t>
      </w:r>
      <w:r w:rsidRPr="008B1465">
        <w:rPr>
          <w:rFonts w:ascii="Times New Roman" w:hAnsi="Times New Roman"/>
          <w:sz w:val="24"/>
          <w:szCs w:val="24"/>
        </w:rPr>
        <w:t>9.3 per cent</w:t>
      </w:r>
      <w:r w:rsidR="00BC7DFF" w:rsidRPr="008B1465">
        <w:rPr>
          <w:rFonts w:ascii="Times New Roman" w:hAnsi="Times New Roman"/>
          <w:sz w:val="24"/>
          <w:szCs w:val="24"/>
        </w:rPr>
        <w:t>)</w:t>
      </w:r>
      <w:r w:rsidRPr="008B1465">
        <w:rPr>
          <w:rFonts w:ascii="Times New Roman" w:hAnsi="Times New Roman"/>
          <w:sz w:val="24"/>
          <w:szCs w:val="24"/>
        </w:rPr>
        <w:t xml:space="preserve"> while 5.5 per cent aged 56 years and above. Analysis on table 4.1 also showed that only few respondents (5 per cent) have lower certificate (NCE/OND), majority of the respondents possessed B.Sc./HND, representing 54.4 per cent and about half (41.2 per cent) have M.Sc./MBA while, 3.8 per cent were Ph.D. holders. The implication is that the participants were well educated so they comprehended the contents of questionnaire and provided sentiment free opinion concerning the subject investigated. </w:t>
      </w:r>
    </w:p>
    <w:p w14:paraId="374D7C56" w14:textId="77777777" w:rsidR="00234521" w:rsidRPr="008B1465" w:rsidRDefault="00234521" w:rsidP="00234521">
      <w:pPr>
        <w:pStyle w:val="NoSpacing"/>
        <w:spacing w:line="360" w:lineRule="auto"/>
        <w:jc w:val="both"/>
        <w:rPr>
          <w:rFonts w:ascii="Times New Roman" w:hAnsi="Times New Roman"/>
          <w:sz w:val="24"/>
          <w:szCs w:val="24"/>
        </w:rPr>
      </w:pPr>
    </w:p>
    <w:p w14:paraId="6B33C60D" w14:textId="5EB55414" w:rsidR="00820FAF" w:rsidRPr="008B1465" w:rsidRDefault="00234521" w:rsidP="00234521">
      <w:pPr>
        <w:pStyle w:val="NoSpacing"/>
        <w:spacing w:line="360" w:lineRule="auto"/>
        <w:jc w:val="both"/>
        <w:rPr>
          <w:rFonts w:ascii="Times New Roman" w:hAnsi="Times New Roman"/>
          <w:sz w:val="24"/>
          <w:szCs w:val="24"/>
        </w:rPr>
      </w:pPr>
      <w:r w:rsidRPr="008B1465">
        <w:rPr>
          <w:rFonts w:ascii="Times New Roman" w:hAnsi="Times New Roman"/>
          <w:sz w:val="24"/>
          <w:szCs w:val="24"/>
        </w:rPr>
        <w:t xml:space="preserve">Table 4.1 also showed that the majority of the respondents have put many years </w:t>
      </w:r>
      <w:r w:rsidR="00CC415C">
        <w:rPr>
          <w:rFonts w:ascii="Times New Roman" w:hAnsi="Times New Roman"/>
          <w:sz w:val="24"/>
          <w:szCs w:val="24"/>
        </w:rPr>
        <w:t>of experience</w:t>
      </w:r>
      <w:r w:rsidR="005239F6">
        <w:rPr>
          <w:rFonts w:ascii="Times New Roman" w:hAnsi="Times New Roman"/>
          <w:sz w:val="24"/>
          <w:szCs w:val="24"/>
        </w:rPr>
        <w:t xml:space="preserve"> on the job</w:t>
      </w:r>
      <w:r w:rsidRPr="008B1465">
        <w:rPr>
          <w:rFonts w:ascii="Times New Roman" w:hAnsi="Times New Roman"/>
          <w:sz w:val="24"/>
          <w:szCs w:val="24"/>
        </w:rPr>
        <w:t xml:space="preserve">. Over 50 per cent have between 11-20 years into their job, 23.6 per cent have more than 31 years and above. The respondents have a considerable number of years on their jobs and this afforded the opportunity to </w:t>
      </w:r>
      <w:r w:rsidR="00B019AD">
        <w:rPr>
          <w:rFonts w:ascii="Times New Roman" w:hAnsi="Times New Roman"/>
          <w:sz w:val="24"/>
          <w:szCs w:val="24"/>
        </w:rPr>
        <w:t>have</w:t>
      </w:r>
      <w:r w:rsidRPr="008B1465">
        <w:rPr>
          <w:rFonts w:ascii="Times New Roman" w:hAnsi="Times New Roman"/>
          <w:sz w:val="24"/>
          <w:szCs w:val="24"/>
        </w:rPr>
        <w:t xml:space="preserve"> more knowledge</w:t>
      </w:r>
      <w:r w:rsidR="00B019AD">
        <w:rPr>
          <w:rFonts w:ascii="Times New Roman" w:hAnsi="Times New Roman"/>
          <w:sz w:val="24"/>
          <w:szCs w:val="24"/>
        </w:rPr>
        <w:t xml:space="preserve"> on</w:t>
      </w:r>
      <w:r w:rsidRPr="008B1465">
        <w:rPr>
          <w:rFonts w:ascii="Times New Roman" w:hAnsi="Times New Roman"/>
          <w:sz w:val="24"/>
          <w:szCs w:val="24"/>
        </w:rPr>
        <w:t xml:space="preserve"> forensic accounting and financial misconducts. Distribution of respondents based on department showed that 36.8 per cent worked in Bursary, 33.5 per cent were from Internal Audit while 29.7 per cent work in Procurement department. This information showed that all the participants in the survey were of accounting background. The analysis also showed distribution of professional qualifications of the respondents. The result shows that 34.6 per cent </w:t>
      </w:r>
      <w:r w:rsidR="00DF7BE4">
        <w:rPr>
          <w:rFonts w:ascii="Times New Roman" w:hAnsi="Times New Roman"/>
          <w:sz w:val="24"/>
          <w:szCs w:val="24"/>
        </w:rPr>
        <w:t>are</w:t>
      </w:r>
      <w:r w:rsidRPr="008B1465">
        <w:rPr>
          <w:rFonts w:ascii="Times New Roman" w:hAnsi="Times New Roman"/>
          <w:sz w:val="24"/>
          <w:szCs w:val="24"/>
        </w:rPr>
        <w:t xml:space="preserve"> ICAN</w:t>
      </w:r>
      <w:r w:rsidR="00DF7BE4">
        <w:rPr>
          <w:rFonts w:ascii="Times New Roman" w:hAnsi="Times New Roman"/>
          <w:sz w:val="24"/>
          <w:szCs w:val="24"/>
        </w:rPr>
        <w:t xml:space="preserve"> members</w:t>
      </w:r>
      <w:r w:rsidRPr="008B1465">
        <w:rPr>
          <w:rFonts w:ascii="Times New Roman" w:hAnsi="Times New Roman"/>
          <w:sz w:val="24"/>
          <w:szCs w:val="24"/>
        </w:rPr>
        <w:t xml:space="preserve">, 8.2 per cent </w:t>
      </w:r>
      <w:r w:rsidR="00DF7BE4">
        <w:rPr>
          <w:rFonts w:ascii="Times New Roman" w:hAnsi="Times New Roman"/>
          <w:sz w:val="24"/>
          <w:szCs w:val="24"/>
        </w:rPr>
        <w:t>are</w:t>
      </w:r>
      <w:r w:rsidRPr="008B1465">
        <w:rPr>
          <w:rFonts w:ascii="Times New Roman" w:hAnsi="Times New Roman"/>
          <w:sz w:val="24"/>
          <w:szCs w:val="24"/>
        </w:rPr>
        <w:t xml:space="preserve"> ANAN members, 3.3 per cent </w:t>
      </w:r>
      <w:r w:rsidR="00B1669A">
        <w:rPr>
          <w:rFonts w:ascii="Times New Roman" w:hAnsi="Times New Roman"/>
          <w:sz w:val="24"/>
          <w:szCs w:val="24"/>
        </w:rPr>
        <w:t>are</w:t>
      </w:r>
      <w:r w:rsidRPr="008B1465">
        <w:rPr>
          <w:rFonts w:ascii="Times New Roman" w:hAnsi="Times New Roman"/>
          <w:sz w:val="24"/>
          <w:szCs w:val="24"/>
        </w:rPr>
        <w:t xml:space="preserve"> ACCA</w:t>
      </w:r>
      <w:r w:rsidR="00B1669A">
        <w:rPr>
          <w:rFonts w:ascii="Times New Roman" w:hAnsi="Times New Roman"/>
          <w:sz w:val="24"/>
          <w:szCs w:val="24"/>
        </w:rPr>
        <w:t>,</w:t>
      </w:r>
      <w:r w:rsidRPr="008B1465">
        <w:rPr>
          <w:rFonts w:ascii="Times New Roman" w:hAnsi="Times New Roman"/>
          <w:sz w:val="24"/>
          <w:szCs w:val="24"/>
        </w:rPr>
        <w:t xml:space="preserve"> 41.2 per cent have other professional qualification</w:t>
      </w:r>
      <w:r w:rsidR="00B1669A">
        <w:rPr>
          <w:rFonts w:ascii="Times New Roman" w:hAnsi="Times New Roman"/>
          <w:sz w:val="24"/>
          <w:szCs w:val="24"/>
        </w:rPr>
        <w:t>,</w:t>
      </w:r>
      <w:r w:rsidRPr="008B1465">
        <w:rPr>
          <w:rFonts w:ascii="Times New Roman" w:hAnsi="Times New Roman"/>
          <w:sz w:val="24"/>
          <w:szCs w:val="24"/>
        </w:rPr>
        <w:t xml:space="preserve"> and 12.6 per cent yet to have professional qualifications. </w:t>
      </w:r>
    </w:p>
    <w:p w14:paraId="41990CE2" w14:textId="77777777" w:rsidR="00820FAF" w:rsidRPr="008B1465" w:rsidRDefault="00820FAF" w:rsidP="00234521">
      <w:pPr>
        <w:pStyle w:val="NoSpacing"/>
        <w:spacing w:line="360" w:lineRule="auto"/>
        <w:jc w:val="both"/>
        <w:rPr>
          <w:rFonts w:ascii="Times New Roman" w:hAnsi="Times New Roman"/>
          <w:sz w:val="24"/>
          <w:szCs w:val="24"/>
        </w:rPr>
      </w:pPr>
    </w:p>
    <w:p w14:paraId="5CE7E783" w14:textId="77777777" w:rsidR="00885D08" w:rsidRPr="008B1465" w:rsidRDefault="00234521" w:rsidP="00234521">
      <w:pPr>
        <w:pStyle w:val="NoSpacing"/>
        <w:spacing w:line="360" w:lineRule="auto"/>
        <w:jc w:val="both"/>
        <w:rPr>
          <w:rFonts w:ascii="Times New Roman" w:hAnsi="Times New Roman"/>
          <w:sz w:val="24"/>
          <w:szCs w:val="24"/>
        </w:rPr>
      </w:pPr>
      <w:r w:rsidRPr="008B1465">
        <w:rPr>
          <w:rFonts w:ascii="Times New Roman" w:hAnsi="Times New Roman"/>
          <w:sz w:val="24"/>
          <w:szCs w:val="24"/>
        </w:rPr>
        <w:t xml:space="preserve">The implication is that the respondents were seasoned accountants who have acquired relevant experience in the area of forensic accounting. The analysis also showed the distribution of respondents according to their job status. Nearly all the rank and file of the three departments surveyed participated in the study. Principal Accountants have the largest representation, accounted for 9.9 per cent, followed by Senior Store Officer, 3.3 per cent, Accountant I, 8.8 per cent and Internal Auditor II, 8.2 per cent. </w:t>
      </w:r>
    </w:p>
    <w:p w14:paraId="481643C8" w14:textId="77777777" w:rsidR="00885D08" w:rsidRPr="008B1465" w:rsidRDefault="00885D08" w:rsidP="00234521">
      <w:pPr>
        <w:pStyle w:val="NoSpacing"/>
        <w:spacing w:line="360" w:lineRule="auto"/>
        <w:jc w:val="both"/>
        <w:rPr>
          <w:rFonts w:ascii="Times New Roman" w:hAnsi="Times New Roman"/>
          <w:sz w:val="24"/>
          <w:szCs w:val="24"/>
        </w:rPr>
      </w:pPr>
    </w:p>
    <w:p w14:paraId="73D14606" w14:textId="38C3076C" w:rsidR="00FC7274" w:rsidRDefault="00234521" w:rsidP="00234521">
      <w:pPr>
        <w:pStyle w:val="NoSpacing"/>
        <w:spacing w:line="360" w:lineRule="auto"/>
        <w:jc w:val="both"/>
        <w:rPr>
          <w:rFonts w:ascii="Times New Roman" w:hAnsi="Times New Roman"/>
          <w:sz w:val="24"/>
          <w:szCs w:val="24"/>
        </w:rPr>
      </w:pPr>
      <w:r w:rsidRPr="008B1465">
        <w:rPr>
          <w:rFonts w:ascii="Times New Roman" w:hAnsi="Times New Roman"/>
          <w:sz w:val="24"/>
          <w:szCs w:val="24"/>
        </w:rPr>
        <w:t xml:space="preserve">Next in rank of participation is senior Internal Auditor 7.7 per cent, both Principal Store Officer and Assistant Chief Store Officer were 6.6 per cent respectively. Table 4.1 showed that 18 respondents (representing 4.9 per cent) were Senior Accountants, 4.4 per cent were Store Officers I, while Assistant Chief Accountant, Assistant chief Auditor, Chief Internal Auditor, and Deputy Director Internal Auditor have 3.3 per cent participation in the survey each. </w:t>
      </w:r>
      <w:r w:rsidR="00E206C2" w:rsidRPr="008B1465">
        <w:rPr>
          <w:rFonts w:ascii="Times New Roman" w:hAnsi="Times New Roman"/>
          <w:sz w:val="24"/>
          <w:szCs w:val="24"/>
        </w:rPr>
        <w:t>The analysis showed further that 3.3 per cent of the participants in the study were Internal Auditors I, Chief Store Officer was 2.7 per cent, Principal Internal Auditor, Store Officer I accounted for 1.1 per cent on the survey participation respectively while only 0.5 per cent of the respondents were Deputy Bursar. The implication is that the respondents cut across different officers/employees from level 7-15 who are working in Accounting and related departments</w:t>
      </w:r>
      <w:r w:rsidR="00874343" w:rsidRPr="008B1465">
        <w:rPr>
          <w:rFonts w:ascii="Times New Roman" w:hAnsi="Times New Roman"/>
          <w:sz w:val="24"/>
          <w:szCs w:val="24"/>
        </w:rPr>
        <w:t>.</w:t>
      </w:r>
    </w:p>
    <w:p w14:paraId="7D0E10D0" w14:textId="77777777" w:rsidR="00BC2B65" w:rsidRDefault="00BC2B65">
      <w:pPr>
        <w:spacing w:before="0" w:beforeAutospacing="0" w:after="0" w:line="240" w:lineRule="auto"/>
        <w:rPr>
          <w:rFonts w:ascii="Times New Roman" w:eastAsiaTheme="majorEastAsia" w:hAnsi="Times New Roman" w:cstheme="majorBidi"/>
          <w:b/>
          <w:sz w:val="26"/>
          <w:szCs w:val="26"/>
        </w:rPr>
      </w:pPr>
      <w:bookmarkStart w:id="110" w:name="_Toc145951124"/>
      <w:r>
        <w:br w:type="page"/>
      </w:r>
    </w:p>
    <w:p w14:paraId="3467116E" w14:textId="304C6010" w:rsidR="00234521" w:rsidRPr="008B1465" w:rsidRDefault="00234521" w:rsidP="00BF0924">
      <w:pPr>
        <w:pStyle w:val="Heading2"/>
        <w:numPr>
          <w:ilvl w:val="1"/>
          <w:numId w:val="32"/>
        </w:numPr>
      </w:pPr>
      <w:r w:rsidRPr="008B1465">
        <w:t>Analysis of Responses to Research Variables</w:t>
      </w:r>
      <w:bookmarkEnd w:id="110"/>
    </w:p>
    <w:p w14:paraId="2563561B" w14:textId="4A7D1FCD" w:rsidR="000F6857" w:rsidRPr="00BE4A34" w:rsidRDefault="000F6857" w:rsidP="00BE4A34">
      <w:pPr>
        <w:pStyle w:val="Caption"/>
        <w:keepNext/>
        <w:jc w:val="center"/>
        <w:rPr>
          <w:rFonts w:ascii="Times New Roman" w:hAnsi="Times New Roman"/>
          <w:i w:val="0"/>
          <w:iCs w:val="0"/>
          <w:color w:val="000000" w:themeColor="text1"/>
          <w:sz w:val="24"/>
          <w:szCs w:val="24"/>
        </w:rPr>
      </w:pPr>
      <w:bookmarkStart w:id="111" w:name="_Toc145952335"/>
      <w:r w:rsidRPr="00BE4A34">
        <w:rPr>
          <w:rFonts w:ascii="Times New Roman" w:hAnsi="Times New Roman"/>
          <w:i w:val="0"/>
          <w:iCs w:val="0"/>
          <w:color w:val="000000" w:themeColor="text1"/>
          <w:sz w:val="24"/>
          <w:szCs w:val="24"/>
        </w:rPr>
        <w:t xml:space="preserve">Table </w:t>
      </w:r>
      <w:r w:rsidRPr="00BE4A34">
        <w:rPr>
          <w:rFonts w:ascii="Times New Roman" w:hAnsi="Times New Roman"/>
          <w:i w:val="0"/>
          <w:iCs w:val="0"/>
          <w:color w:val="000000" w:themeColor="text1"/>
          <w:sz w:val="24"/>
          <w:szCs w:val="24"/>
        </w:rPr>
        <w:fldChar w:fldCharType="begin"/>
      </w:r>
      <w:r w:rsidRPr="00BE4A34">
        <w:rPr>
          <w:rFonts w:ascii="Times New Roman" w:hAnsi="Times New Roman"/>
          <w:i w:val="0"/>
          <w:iCs w:val="0"/>
          <w:color w:val="000000" w:themeColor="text1"/>
          <w:sz w:val="24"/>
          <w:szCs w:val="24"/>
        </w:rPr>
        <w:instrText xml:space="preserve"> STYLEREF 1 \s </w:instrText>
      </w:r>
      <w:r w:rsidRPr="00BE4A34">
        <w:rPr>
          <w:rFonts w:ascii="Times New Roman" w:hAnsi="Times New Roman"/>
          <w:i w:val="0"/>
          <w:iCs w:val="0"/>
          <w:color w:val="000000" w:themeColor="text1"/>
          <w:sz w:val="24"/>
          <w:szCs w:val="24"/>
        </w:rPr>
        <w:fldChar w:fldCharType="separate"/>
      </w:r>
      <w:r w:rsidR="007B5846">
        <w:rPr>
          <w:rFonts w:ascii="Times New Roman" w:hAnsi="Times New Roman"/>
          <w:i w:val="0"/>
          <w:iCs w:val="0"/>
          <w:noProof/>
          <w:color w:val="000000" w:themeColor="text1"/>
          <w:sz w:val="24"/>
          <w:szCs w:val="24"/>
        </w:rPr>
        <w:t>4</w:t>
      </w:r>
      <w:r w:rsidRPr="00BE4A34">
        <w:rPr>
          <w:rFonts w:ascii="Times New Roman" w:hAnsi="Times New Roman"/>
          <w:i w:val="0"/>
          <w:iCs w:val="0"/>
          <w:color w:val="000000" w:themeColor="text1"/>
          <w:sz w:val="24"/>
          <w:szCs w:val="24"/>
        </w:rPr>
        <w:fldChar w:fldCharType="end"/>
      </w:r>
      <w:r w:rsidRPr="00BE4A34">
        <w:rPr>
          <w:rFonts w:ascii="Times New Roman" w:hAnsi="Times New Roman"/>
          <w:i w:val="0"/>
          <w:iCs w:val="0"/>
          <w:color w:val="000000" w:themeColor="text1"/>
          <w:sz w:val="24"/>
          <w:szCs w:val="24"/>
        </w:rPr>
        <w:t>.</w:t>
      </w:r>
      <w:r w:rsidRPr="00BE4A34">
        <w:rPr>
          <w:rFonts w:ascii="Times New Roman" w:hAnsi="Times New Roman"/>
          <w:i w:val="0"/>
          <w:iCs w:val="0"/>
          <w:color w:val="000000" w:themeColor="text1"/>
          <w:sz w:val="24"/>
          <w:szCs w:val="24"/>
        </w:rPr>
        <w:fldChar w:fldCharType="begin"/>
      </w:r>
      <w:r w:rsidRPr="00BE4A34">
        <w:rPr>
          <w:rFonts w:ascii="Times New Roman" w:hAnsi="Times New Roman"/>
          <w:i w:val="0"/>
          <w:iCs w:val="0"/>
          <w:color w:val="000000" w:themeColor="text1"/>
          <w:sz w:val="24"/>
          <w:szCs w:val="24"/>
        </w:rPr>
        <w:instrText xml:space="preserve"> SEQ Table \* ARABIC \s 1 </w:instrText>
      </w:r>
      <w:r w:rsidRPr="00BE4A34">
        <w:rPr>
          <w:rFonts w:ascii="Times New Roman" w:hAnsi="Times New Roman"/>
          <w:i w:val="0"/>
          <w:iCs w:val="0"/>
          <w:color w:val="000000" w:themeColor="text1"/>
          <w:sz w:val="24"/>
          <w:szCs w:val="24"/>
        </w:rPr>
        <w:fldChar w:fldCharType="separate"/>
      </w:r>
      <w:r w:rsidR="007B5846">
        <w:rPr>
          <w:rFonts w:ascii="Times New Roman" w:hAnsi="Times New Roman"/>
          <w:i w:val="0"/>
          <w:iCs w:val="0"/>
          <w:noProof/>
          <w:color w:val="000000" w:themeColor="text1"/>
          <w:sz w:val="24"/>
          <w:szCs w:val="24"/>
        </w:rPr>
        <w:t>2</w:t>
      </w:r>
      <w:r w:rsidRPr="00BE4A34">
        <w:rPr>
          <w:rFonts w:ascii="Times New Roman" w:hAnsi="Times New Roman"/>
          <w:i w:val="0"/>
          <w:iCs w:val="0"/>
          <w:color w:val="000000" w:themeColor="text1"/>
          <w:sz w:val="24"/>
          <w:szCs w:val="24"/>
        </w:rPr>
        <w:fldChar w:fldCharType="end"/>
      </w:r>
      <w:r w:rsidRPr="00BE4A34">
        <w:rPr>
          <w:rFonts w:ascii="Times New Roman" w:hAnsi="Times New Roman"/>
          <w:i w:val="0"/>
          <w:iCs w:val="0"/>
          <w:color w:val="000000" w:themeColor="text1"/>
          <w:sz w:val="24"/>
          <w:szCs w:val="24"/>
        </w:rPr>
        <w:t>: Descriptive Analysis of Respondents’ Information on Investigation of Fraud</w:t>
      </w:r>
      <w:bookmarkEnd w:id="111"/>
    </w:p>
    <w:tbl>
      <w:tblPr>
        <w:tblW w:w="5053" w:type="pct"/>
        <w:tblInd w:w="85" w:type="dxa"/>
        <w:tblLayout w:type="fixed"/>
        <w:tblCellMar>
          <w:left w:w="0" w:type="dxa"/>
          <w:right w:w="0" w:type="dxa"/>
        </w:tblCellMar>
        <w:tblLook w:val="0000" w:firstRow="0" w:lastRow="0" w:firstColumn="0" w:lastColumn="0" w:noHBand="0" w:noVBand="0"/>
      </w:tblPr>
      <w:tblGrid>
        <w:gridCol w:w="368"/>
        <w:gridCol w:w="2703"/>
        <w:gridCol w:w="450"/>
        <w:gridCol w:w="543"/>
        <w:gridCol w:w="354"/>
        <w:gridCol w:w="636"/>
        <w:gridCol w:w="448"/>
        <w:gridCol w:w="630"/>
        <w:gridCol w:w="448"/>
        <w:gridCol w:w="630"/>
        <w:gridCol w:w="448"/>
        <w:gridCol w:w="630"/>
        <w:gridCol w:w="541"/>
        <w:gridCol w:w="630"/>
      </w:tblGrid>
      <w:tr w:rsidR="00B46AE3" w:rsidRPr="008B1465" w14:paraId="0A645B07" w14:textId="461FEAC8" w:rsidTr="00253D93">
        <w:trPr>
          <w:cantSplit/>
          <w:trHeight w:val="260"/>
        </w:trPr>
        <w:tc>
          <w:tcPr>
            <w:tcW w:w="194" w:type="pct"/>
            <w:tcBorders>
              <w:top w:val="thinThickSmallGap" w:sz="24" w:space="0" w:color="auto"/>
              <w:bottom w:val="thinThickSmallGap" w:sz="24" w:space="0" w:color="auto"/>
            </w:tcBorders>
            <w:shd w:val="clear" w:color="auto" w:fill="auto"/>
          </w:tcPr>
          <w:p w14:paraId="0AE928D8" w14:textId="77777777" w:rsidR="00B46AE3" w:rsidRPr="008B1465" w:rsidRDefault="00B46AE3" w:rsidP="00AF2B14">
            <w:pPr>
              <w:autoSpaceDE w:val="0"/>
              <w:autoSpaceDN w:val="0"/>
              <w:adjustRightInd w:val="0"/>
              <w:spacing w:before="0" w:beforeAutospacing="0" w:after="0" w:line="240" w:lineRule="auto"/>
              <w:jc w:val="center"/>
              <w:rPr>
                <w:rFonts w:ascii="Times New Roman" w:eastAsia="Calibri" w:hAnsi="Times New Roman"/>
                <w:b/>
                <w:bCs/>
              </w:rPr>
            </w:pPr>
            <w:r w:rsidRPr="008B1465">
              <w:rPr>
                <w:rFonts w:ascii="Times New Roman" w:eastAsia="Calibri" w:hAnsi="Times New Roman"/>
                <w:b/>
                <w:bCs/>
              </w:rPr>
              <w:t>S/N</w:t>
            </w:r>
          </w:p>
        </w:tc>
        <w:tc>
          <w:tcPr>
            <w:tcW w:w="1429" w:type="pct"/>
            <w:tcBorders>
              <w:top w:val="thinThickSmallGap" w:sz="24" w:space="0" w:color="auto"/>
              <w:bottom w:val="thinThickSmallGap" w:sz="24" w:space="0" w:color="auto"/>
            </w:tcBorders>
            <w:shd w:val="clear" w:color="auto" w:fill="auto"/>
            <w:vAlign w:val="bottom"/>
          </w:tcPr>
          <w:p w14:paraId="2DD08D82" w14:textId="77777777" w:rsidR="00B46AE3" w:rsidRPr="008B1465" w:rsidRDefault="00B46AE3" w:rsidP="00AF2B14">
            <w:pPr>
              <w:autoSpaceDE w:val="0"/>
              <w:autoSpaceDN w:val="0"/>
              <w:adjustRightInd w:val="0"/>
              <w:spacing w:before="0" w:beforeAutospacing="0" w:after="0" w:line="240" w:lineRule="auto"/>
              <w:jc w:val="center"/>
              <w:rPr>
                <w:rFonts w:ascii="Times New Roman" w:eastAsia="Calibri" w:hAnsi="Times New Roman"/>
                <w:b/>
                <w:bCs/>
              </w:rPr>
            </w:pPr>
            <w:r w:rsidRPr="008B1465">
              <w:rPr>
                <w:rFonts w:ascii="Times New Roman" w:eastAsia="Calibri" w:hAnsi="Times New Roman"/>
                <w:b/>
                <w:bCs/>
              </w:rPr>
              <w:t>Items</w:t>
            </w:r>
          </w:p>
        </w:tc>
        <w:tc>
          <w:tcPr>
            <w:tcW w:w="525" w:type="pct"/>
            <w:gridSpan w:val="2"/>
            <w:tcBorders>
              <w:top w:val="thinThickSmallGap" w:sz="24" w:space="0" w:color="auto"/>
              <w:bottom w:val="thinThickSmallGap" w:sz="24" w:space="0" w:color="auto"/>
            </w:tcBorders>
            <w:shd w:val="clear" w:color="auto" w:fill="auto"/>
            <w:vAlign w:val="bottom"/>
          </w:tcPr>
          <w:p w14:paraId="34D1800E" w14:textId="51F963AD" w:rsidR="00B46AE3" w:rsidRPr="008B1465" w:rsidRDefault="00B46AE3" w:rsidP="00683D42">
            <w:pPr>
              <w:autoSpaceDE w:val="0"/>
              <w:autoSpaceDN w:val="0"/>
              <w:adjustRightInd w:val="0"/>
              <w:spacing w:before="0" w:beforeAutospacing="0" w:after="0" w:line="320" w:lineRule="atLeast"/>
              <w:ind w:left="60" w:right="60"/>
              <w:rPr>
                <w:rFonts w:ascii="Times New Roman" w:eastAsia="Calibri" w:hAnsi="Times New Roman"/>
                <w:b/>
                <w:bCs/>
              </w:rPr>
            </w:pPr>
            <w:r w:rsidRPr="008B1465">
              <w:rPr>
                <w:rFonts w:ascii="Times New Roman" w:eastAsia="Calibri" w:hAnsi="Times New Roman"/>
                <w:b/>
                <w:bCs/>
              </w:rPr>
              <w:t>SD (%)</w:t>
            </w:r>
          </w:p>
        </w:tc>
        <w:tc>
          <w:tcPr>
            <w:tcW w:w="523" w:type="pct"/>
            <w:gridSpan w:val="2"/>
            <w:tcBorders>
              <w:top w:val="thinThickSmallGap" w:sz="24" w:space="0" w:color="auto"/>
              <w:bottom w:val="thinThickSmallGap" w:sz="24" w:space="0" w:color="auto"/>
            </w:tcBorders>
            <w:shd w:val="clear" w:color="auto" w:fill="auto"/>
            <w:vAlign w:val="center"/>
          </w:tcPr>
          <w:p w14:paraId="642A6C08" w14:textId="54175970" w:rsidR="00B46AE3" w:rsidRPr="008B1465" w:rsidRDefault="00B46AE3" w:rsidP="00683D42">
            <w:pPr>
              <w:autoSpaceDE w:val="0"/>
              <w:autoSpaceDN w:val="0"/>
              <w:adjustRightInd w:val="0"/>
              <w:spacing w:before="0" w:beforeAutospacing="0" w:after="0" w:line="320" w:lineRule="atLeast"/>
              <w:ind w:left="60" w:right="60"/>
              <w:rPr>
                <w:rFonts w:ascii="Times New Roman" w:eastAsia="Calibri" w:hAnsi="Times New Roman"/>
                <w:b/>
                <w:bCs/>
              </w:rPr>
            </w:pPr>
            <w:r w:rsidRPr="008B1465">
              <w:rPr>
                <w:rFonts w:ascii="Times New Roman" w:eastAsia="Calibri" w:hAnsi="Times New Roman"/>
                <w:b/>
                <w:bCs/>
              </w:rPr>
              <w:t xml:space="preserve">  D (%)</w:t>
            </w:r>
          </w:p>
        </w:tc>
        <w:tc>
          <w:tcPr>
            <w:tcW w:w="570" w:type="pct"/>
            <w:gridSpan w:val="2"/>
            <w:tcBorders>
              <w:top w:val="thinThickSmallGap" w:sz="24" w:space="0" w:color="auto"/>
              <w:bottom w:val="thinThickSmallGap" w:sz="24" w:space="0" w:color="auto"/>
            </w:tcBorders>
            <w:shd w:val="clear" w:color="auto" w:fill="auto"/>
            <w:vAlign w:val="bottom"/>
          </w:tcPr>
          <w:p w14:paraId="4A7F4BAB" w14:textId="4421CDCE" w:rsidR="00B46AE3" w:rsidRPr="008B1465" w:rsidRDefault="00B46AE3" w:rsidP="000A03BD">
            <w:pPr>
              <w:autoSpaceDE w:val="0"/>
              <w:autoSpaceDN w:val="0"/>
              <w:adjustRightInd w:val="0"/>
              <w:spacing w:before="0" w:beforeAutospacing="0" w:after="0" w:line="320" w:lineRule="atLeast"/>
              <w:ind w:left="60" w:right="60"/>
              <w:rPr>
                <w:rFonts w:ascii="Times New Roman" w:eastAsia="Calibri" w:hAnsi="Times New Roman"/>
                <w:b/>
                <w:bCs/>
              </w:rPr>
            </w:pPr>
            <w:r w:rsidRPr="008B1465">
              <w:rPr>
                <w:rFonts w:ascii="Times New Roman" w:eastAsia="Calibri" w:hAnsi="Times New Roman"/>
                <w:b/>
                <w:bCs/>
              </w:rPr>
              <w:t xml:space="preserve">      I (%)</w:t>
            </w:r>
          </w:p>
        </w:tc>
        <w:tc>
          <w:tcPr>
            <w:tcW w:w="570" w:type="pct"/>
            <w:gridSpan w:val="2"/>
            <w:tcBorders>
              <w:top w:val="thinThickSmallGap" w:sz="24" w:space="0" w:color="auto"/>
              <w:bottom w:val="thinThickSmallGap" w:sz="24" w:space="0" w:color="auto"/>
            </w:tcBorders>
            <w:shd w:val="clear" w:color="auto" w:fill="auto"/>
            <w:vAlign w:val="bottom"/>
          </w:tcPr>
          <w:p w14:paraId="1086B405" w14:textId="066F9225" w:rsidR="00B46AE3" w:rsidRPr="008B1465" w:rsidRDefault="00B46AE3" w:rsidP="00AF2B14">
            <w:pPr>
              <w:autoSpaceDE w:val="0"/>
              <w:autoSpaceDN w:val="0"/>
              <w:adjustRightInd w:val="0"/>
              <w:spacing w:before="0" w:beforeAutospacing="0" w:after="0" w:line="320" w:lineRule="atLeast"/>
              <w:ind w:left="60" w:right="60"/>
              <w:jc w:val="center"/>
              <w:rPr>
                <w:rFonts w:ascii="Times New Roman" w:eastAsia="Calibri" w:hAnsi="Times New Roman"/>
                <w:b/>
                <w:bCs/>
              </w:rPr>
            </w:pPr>
            <w:r w:rsidRPr="008B1465">
              <w:rPr>
                <w:rFonts w:ascii="Times New Roman" w:eastAsia="Calibri" w:hAnsi="Times New Roman"/>
                <w:b/>
                <w:bCs/>
              </w:rPr>
              <w:t xml:space="preserve"> A (%)</w:t>
            </w:r>
          </w:p>
        </w:tc>
        <w:tc>
          <w:tcPr>
            <w:tcW w:w="570" w:type="pct"/>
            <w:gridSpan w:val="2"/>
            <w:tcBorders>
              <w:top w:val="thinThickSmallGap" w:sz="24" w:space="0" w:color="auto"/>
              <w:bottom w:val="thinThickSmallGap" w:sz="24" w:space="0" w:color="auto"/>
            </w:tcBorders>
            <w:shd w:val="clear" w:color="auto" w:fill="auto"/>
            <w:vAlign w:val="bottom"/>
          </w:tcPr>
          <w:p w14:paraId="1AB4CF94" w14:textId="01464301" w:rsidR="00B46AE3" w:rsidRPr="008B1465" w:rsidRDefault="00B46AE3" w:rsidP="00C92D37">
            <w:pPr>
              <w:autoSpaceDE w:val="0"/>
              <w:autoSpaceDN w:val="0"/>
              <w:adjustRightInd w:val="0"/>
              <w:spacing w:before="0" w:beforeAutospacing="0" w:after="0" w:line="320" w:lineRule="atLeast"/>
              <w:ind w:left="60" w:right="60"/>
              <w:rPr>
                <w:rFonts w:ascii="Times New Roman" w:eastAsia="Calibri" w:hAnsi="Times New Roman"/>
                <w:b/>
                <w:bCs/>
              </w:rPr>
            </w:pPr>
            <w:r w:rsidRPr="008B1465">
              <w:rPr>
                <w:rFonts w:ascii="Times New Roman" w:eastAsia="Calibri" w:hAnsi="Times New Roman"/>
                <w:b/>
                <w:bCs/>
              </w:rPr>
              <w:t xml:space="preserve">   SA (%)</w:t>
            </w:r>
          </w:p>
        </w:tc>
        <w:tc>
          <w:tcPr>
            <w:tcW w:w="286" w:type="pct"/>
            <w:tcBorders>
              <w:top w:val="thinThickSmallGap" w:sz="24" w:space="0" w:color="auto"/>
              <w:bottom w:val="thinThickSmallGap" w:sz="24" w:space="0" w:color="auto"/>
            </w:tcBorders>
            <w:shd w:val="clear" w:color="auto" w:fill="auto"/>
            <w:vAlign w:val="bottom"/>
          </w:tcPr>
          <w:p w14:paraId="258C173E" w14:textId="326801C3" w:rsidR="00B46AE3" w:rsidRPr="00AA1F8B" w:rsidRDefault="00B46AE3" w:rsidP="00683D42">
            <w:pPr>
              <w:autoSpaceDE w:val="0"/>
              <w:autoSpaceDN w:val="0"/>
              <w:adjustRightInd w:val="0"/>
              <w:spacing w:before="0" w:beforeAutospacing="0" w:after="0" w:line="320" w:lineRule="atLeast"/>
              <w:ind w:right="60"/>
              <w:rPr>
                <w:rFonts w:ascii="Times New Roman" w:eastAsia="Calibri" w:hAnsi="Times New Roman"/>
                <w:b/>
                <w:bCs/>
                <w:sz w:val="28"/>
                <w:szCs w:val="28"/>
              </w:rPr>
            </w:pPr>
            <w:r w:rsidRPr="00AA1F8B">
              <w:rPr>
                <w:rFonts w:ascii="Times New Roman" w:eastAsia="Calibri" w:hAnsi="Times New Roman"/>
                <w:b/>
                <w:bCs/>
                <w:sz w:val="28"/>
                <w:szCs w:val="28"/>
              </w:rPr>
              <w:t xml:space="preserve">  </w:t>
            </w:r>
            <m:oMath>
              <m:acc>
                <m:accPr>
                  <m:chr m:val="̅"/>
                  <m:ctrlPr>
                    <w:rPr>
                      <w:rFonts w:ascii="Cambria Math" w:eastAsia="Calibri" w:hAnsi="Cambria Math"/>
                      <w:b/>
                      <w:bCs/>
                      <w:i/>
                      <w:sz w:val="28"/>
                      <w:szCs w:val="28"/>
                    </w:rPr>
                  </m:ctrlPr>
                </m:accPr>
                <m:e>
                  <m:r>
                    <m:rPr>
                      <m:sty m:val="bi"/>
                    </m:rPr>
                    <w:rPr>
                      <w:rFonts w:ascii="Cambria Math" w:eastAsia="Calibri" w:hAnsi="Cambria Math"/>
                      <w:sz w:val="28"/>
                      <w:szCs w:val="28"/>
                    </w:rPr>
                    <m:t>x</m:t>
                  </m:r>
                </m:e>
              </m:acc>
            </m:oMath>
          </w:p>
        </w:tc>
        <w:tc>
          <w:tcPr>
            <w:tcW w:w="333" w:type="pct"/>
            <w:tcBorders>
              <w:top w:val="thinThickSmallGap" w:sz="24" w:space="0" w:color="auto"/>
              <w:bottom w:val="thinThickSmallGap" w:sz="24" w:space="0" w:color="auto"/>
            </w:tcBorders>
            <w:shd w:val="clear" w:color="auto" w:fill="auto"/>
            <w:vAlign w:val="bottom"/>
          </w:tcPr>
          <w:p w14:paraId="517ECE8A" w14:textId="00E8B0C8" w:rsidR="00B46AE3" w:rsidRPr="008B1465" w:rsidRDefault="00AA1F8B" w:rsidP="00B46AE3">
            <w:pPr>
              <w:autoSpaceDE w:val="0"/>
              <w:autoSpaceDN w:val="0"/>
              <w:adjustRightInd w:val="0"/>
              <w:spacing w:before="0" w:beforeAutospacing="0" w:after="0" w:line="320" w:lineRule="atLeast"/>
              <w:ind w:right="60"/>
              <w:rPr>
                <w:rFonts w:ascii="Times New Roman" w:eastAsia="Calibri" w:hAnsi="Times New Roman"/>
                <w:b/>
                <w:bCs/>
              </w:rPr>
            </w:pPr>
            <w:r>
              <w:rPr>
                <w:rFonts w:ascii="Times New Roman" w:eastAsia="Calibri" w:hAnsi="Times New Roman"/>
                <w:b/>
                <w:bCs/>
              </w:rPr>
              <w:t xml:space="preserve">  S</w:t>
            </w:r>
            <w:r w:rsidR="002118CF">
              <w:rPr>
                <w:rFonts w:ascii="Times New Roman" w:eastAsia="Calibri" w:hAnsi="Times New Roman"/>
                <w:b/>
                <w:bCs/>
              </w:rPr>
              <w:t>T</w:t>
            </w:r>
            <w:r>
              <w:rPr>
                <w:rFonts w:ascii="Times New Roman" w:eastAsia="Calibri" w:hAnsi="Times New Roman"/>
                <w:b/>
                <w:bCs/>
              </w:rPr>
              <w:t xml:space="preserve">D </w:t>
            </w:r>
          </w:p>
        </w:tc>
      </w:tr>
      <w:tr w:rsidR="00AC66F7" w:rsidRPr="008B1465" w14:paraId="7AFCB589" w14:textId="77777777" w:rsidTr="00C10CB4">
        <w:trPr>
          <w:cantSplit/>
          <w:trHeight w:val="806"/>
        </w:trPr>
        <w:tc>
          <w:tcPr>
            <w:tcW w:w="194" w:type="pct"/>
            <w:tcBorders>
              <w:top w:val="thinThickSmallGap" w:sz="24" w:space="0" w:color="auto"/>
            </w:tcBorders>
            <w:shd w:val="clear" w:color="auto" w:fill="auto"/>
          </w:tcPr>
          <w:p w14:paraId="4704C32E" w14:textId="77777777" w:rsidR="00AC66F7" w:rsidRPr="008B1465" w:rsidRDefault="00AC66F7" w:rsidP="00AC66F7">
            <w:pPr>
              <w:numPr>
                <w:ilvl w:val="0"/>
                <w:numId w:val="23"/>
              </w:numPr>
              <w:autoSpaceDE w:val="0"/>
              <w:autoSpaceDN w:val="0"/>
              <w:adjustRightInd w:val="0"/>
              <w:spacing w:before="0" w:beforeAutospacing="0" w:after="0" w:line="320" w:lineRule="atLeast"/>
              <w:ind w:right="60"/>
              <w:contextualSpacing/>
              <w:rPr>
                <w:rFonts w:ascii="Times New Roman" w:eastAsia="Calibri" w:hAnsi="Times New Roman"/>
                <w:sz w:val="18"/>
                <w:szCs w:val="18"/>
              </w:rPr>
            </w:pPr>
          </w:p>
        </w:tc>
        <w:tc>
          <w:tcPr>
            <w:tcW w:w="1429" w:type="pct"/>
            <w:tcBorders>
              <w:top w:val="thinThickSmallGap" w:sz="24" w:space="0" w:color="auto"/>
            </w:tcBorders>
            <w:shd w:val="clear" w:color="auto" w:fill="auto"/>
          </w:tcPr>
          <w:p w14:paraId="1CC098ED"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Computer forensic accounting improves the investigator’s skills, ability, and intelligence to manage fraud-related cases</w:t>
            </w:r>
          </w:p>
        </w:tc>
        <w:tc>
          <w:tcPr>
            <w:tcW w:w="238" w:type="pct"/>
            <w:tcBorders>
              <w:top w:val="thinThickSmallGap" w:sz="24" w:space="0" w:color="auto"/>
            </w:tcBorders>
            <w:shd w:val="clear" w:color="auto" w:fill="auto"/>
          </w:tcPr>
          <w:p w14:paraId="23B76E14"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12</w:t>
            </w:r>
          </w:p>
        </w:tc>
        <w:tc>
          <w:tcPr>
            <w:tcW w:w="287" w:type="pct"/>
            <w:tcBorders>
              <w:top w:val="thinThickSmallGap" w:sz="24" w:space="0" w:color="auto"/>
            </w:tcBorders>
            <w:shd w:val="clear" w:color="auto" w:fill="auto"/>
          </w:tcPr>
          <w:p w14:paraId="4F06AEA9"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(3.3)</w:t>
            </w:r>
          </w:p>
        </w:tc>
        <w:tc>
          <w:tcPr>
            <w:tcW w:w="187" w:type="pct"/>
            <w:tcBorders>
              <w:top w:val="thinThickSmallGap" w:sz="24" w:space="0" w:color="auto"/>
            </w:tcBorders>
            <w:shd w:val="clear" w:color="auto" w:fill="auto"/>
          </w:tcPr>
          <w:p w14:paraId="4E67687A"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6</w:t>
            </w:r>
          </w:p>
        </w:tc>
        <w:tc>
          <w:tcPr>
            <w:tcW w:w="336" w:type="pct"/>
            <w:tcBorders>
              <w:top w:val="thinThickSmallGap" w:sz="24" w:space="0" w:color="auto"/>
            </w:tcBorders>
            <w:shd w:val="clear" w:color="auto" w:fill="auto"/>
          </w:tcPr>
          <w:p w14:paraId="701FFD6A"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(1.6)</w:t>
            </w:r>
          </w:p>
        </w:tc>
        <w:tc>
          <w:tcPr>
            <w:tcW w:w="237" w:type="pct"/>
            <w:tcBorders>
              <w:top w:val="thinThickSmallGap" w:sz="24" w:space="0" w:color="auto"/>
            </w:tcBorders>
            <w:shd w:val="clear" w:color="auto" w:fill="auto"/>
          </w:tcPr>
          <w:p w14:paraId="1649B755"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0</w:t>
            </w:r>
          </w:p>
        </w:tc>
        <w:tc>
          <w:tcPr>
            <w:tcW w:w="333" w:type="pct"/>
            <w:tcBorders>
              <w:top w:val="thinThickSmallGap" w:sz="24" w:space="0" w:color="auto"/>
            </w:tcBorders>
            <w:shd w:val="clear" w:color="auto" w:fill="auto"/>
          </w:tcPr>
          <w:p w14:paraId="250AFA0B"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(.0)</w:t>
            </w:r>
          </w:p>
        </w:tc>
        <w:tc>
          <w:tcPr>
            <w:tcW w:w="237" w:type="pct"/>
            <w:tcBorders>
              <w:top w:val="thinThickSmallGap" w:sz="24" w:space="0" w:color="auto"/>
            </w:tcBorders>
            <w:shd w:val="clear" w:color="auto" w:fill="auto"/>
          </w:tcPr>
          <w:p w14:paraId="31273A62"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144</w:t>
            </w:r>
          </w:p>
        </w:tc>
        <w:tc>
          <w:tcPr>
            <w:tcW w:w="333" w:type="pct"/>
            <w:tcBorders>
              <w:top w:val="thinThickSmallGap" w:sz="24" w:space="0" w:color="auto"/>
            </w:tcBorders>
            <w:shd w:val="clear" w:color="auto" w:fill="auto"/>
          </w:tcPr>
          <w:p w14:paraId="48F798E5" w14:textId="5B3B4310"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(39.6)</w:t>
            </w:r>
          </w:p>
        </w:tc>
        <w:tc>
          <w:tcPr>
            <w:tcW w:w="237" w:type="pct"/>
            <w:tcBorders>
              <w:top w:val="thinThickSmallGap" w:sz="24" w:space="0" w:color="auto"/>
            </w:tcBorders>
            <w:shd w:val="clear" w:color="auto" w:fill="auto"/>
          </w:tcPr>
          <w:p w14:paraId="5DB1541E"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202</w:t>
            </w:r>
          </w:p>
        </w:tc>
        <w:tc>
          <w:tcPr>
            <w:tcW w:w="333" w:type="pct"/>
            <w:tcBorders>
              <w:top w:val="thinThickSmallGap" w:sz="24" w:space="0" w:color="auto"/>
            </w:tcBorders>
            <w:shd w:val="clear" w:color="auto" w:fill="auto"/>
          </w:tcPr>
          <w:p w14:paraId="76F4F550"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(55.5)</w:t>
            </w:r>
          </w:p>
        </w:tc>
        <w:tc>
          <w:tcPr>
            <w:tcW w:w="286" w:type="pct"/>
            <w:tcBorders>
              <w:top w:val="thinThickSmallGap" w:sz="24" w:space="0" w:color="auto"/>
            </w:tcBorders>
            <w:shd w:val="clear" w:color="auto" w:fill="auto"/>
          </w:tcPr>
          <w:p w14:paraId="2E73E5EA" w14:textId="70114379" w:rsidR="00AC66F7" w:rsidRPr="00B8744D"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B8744D">
              <w:rPr>
                <w:rFonts w:ascii="Times New Roman" w:hAnsi="Times New Roman"/>
                <w:color w:val="010205"/>
                <w:sz w:val="18"/>
                <w:szCs w:val="18"/>
              </w:rPr>
              <w:t>3.49</w:t>
            </w:r>
          </w:p>
        </w:tc>
        <w:tc>
          <w:tcPr>
            <w:tcW w:w="333" w:type="pct"/>
            <w:tcBorders>
              <w:top w:val="thinThickSmallGap" w:sz="24" w:space="0" w:color="auto"/>
            </w:tcBorders>
            <w:shd w:val="clear" w:color="auto" w:fill="auto"/>
          </w:tcPr>
          <w:p w14:paraId="2F48128F" w14:textId="6156788F" w:rsidR="00AC66F7" w:rsidRPr="00B8744D"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B8744D">
              <w:rPr>
                <w:rFonts w:ascii="Times New Roman" w:hAnsi="Times New Roman"/>
                <w:color w:val="010205"/>
                <w:sz w:val="18"/>
                <w:szCs w:val="18"/>
              </w:rPr>
              <w:t>1.059</w:t>
            </w:r>
          </w:p>
        </w:tc>
      </w:tr>
      <w:tr w:rsidR="00AC66F7" w:rsidRPr="008B1465" w14:paraId="618A6ACF" w14:textId="77777777" w:rsidTr="00C10CB4">
        <w:trPr>
          <w:cantSplit/>
          <w:trHeight w:val="1068"/>
        </w:trPr>
        <w:tc>
          <w:tcPr>
            <w:tcW w:w="194" w:type="pct"/>
            <w:shd w:val="clear" w:color="auto" w:fill="auto"/>
          </w:tcPr>
          <w:p w14:paraId="4BCD54CF" w14:textId="77777777" w:rsidR="00AC66F7" w:rsidRPr="008B1465" w:rsidRDefault="00AC66F7" w:rsidP="00AC66F7">
            <w:pPr>
              <w:numPr>
                <w:ilvl w:val="0"/>
                <w:numId w:val="23"/>
              </w:numPr>
              <w:autoSpaceDE w:val="0"/>
              <w:autoSpaceDN w:val="0"/>
              <w:adjustRightInd w:val="0"/>
              <w:spacing w:before="0" w:beforeAutospacing="0" w:after="0" w:line="320" w:lineRule="atLeast"/>
              <w:ind w:right="60"/>
              <w:contextualSpacing/>
              <w:rPr>
                <w:rFonts w:ascii="Times New Roman" w:eastAsia="Calibri" w:hAnsi="Times New Roman"/>
                <w:sz w:val="18"/>
                <w:szCs w:val="18"/>
              </w:rPr>
            </w:pPr>
          </w:p>
        </w:tc>
        <w:tc>
          <w:tcPr>
            <w:tcW w:w="1429" w:type="pct"/>
            <w:shd w:val="clear" w:color="auto" w:fill="auto"/>
          </w:tcPr>
          <w:p w14:paraId="1F3B75C6" w14:textId="77777777" w:rsidR="00AC66F7" w:rsidRPr="008B1465" w:rsidRDefault="00AC66F7" w:rsidP="00AC66F7">
            <w:pPr>
              <w:autoSpaceDE w:val="0"/>
              <w:autoSpaceDN w:val="0"/>
              <w:adjustRightInd w:val="0"/>
              <w:spacing w:before="0" w:beforeAutospacing="0" w:after="0" w:line="320" w:lineRule="atLeast"/>
              <w:ind w:right="60"/>
              <w:rPr>
                <w:rFonts w:ascii="Times New Roman" w:eastAsia="Calibri" w:hAnsi="Times New Roman"/>
                <w:sz w:val="18"/>
                <w:szCs w:val="18"/>
              </w:rPr>
            </w:pPr>
            <w:r w:rsidRPr="008B1465">
              <w:rPr>
                <w:rFonts w:ascii="Times New Roman" w:eastAsia="Calibri" w:hAnsi="Times New Roman"/>
                <w:sz w:val="18"/>
                <w:szCs w:val="18"/>
              </w:rPr>
              <w:t>Digital forensic accounting helps forensic accounting experts to combat cyber fraud and other cybercrime-related cases at my Federal University in Nigeria</w:t>
            </w:r>
          </w:p>
        </w:tc>
        <w:tc>
          <w:tcPr>
            <w:tcW w:w="238" w:type="pct"/>
            <w:shd w:val="clear" w:color="auto" w:fill="auto"/>
          </w:tcPr>
          <w:p w14:paraId="4721E7F9"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8</w:t>
            </w:r>
          </w:p>
        </w:tc>
        <w:tc>
          <w:tcPr>
            <w:tcW w:w="287" w:type="pct"/>
            <w:shd w:val="clear" w:color="auto" w:fill="auto"/>
          </w:tcPr>
          <w:p w14:paraId="7ACD1A63"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(2.2)</w:t>
            </w:r>
          </w:p>
        </w:tc>
        <w:tc>
          <w:tcPr>
            <w:tcW w:w="187" w:type="pct"/>
            <w:shd w:val="clear" w:color="auto" w:fill="auto"/>
          </w:tcPr>
          <w:p w14:paraId="297A4D7D"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10</w:t>
            </w:r>
          </w:p>
        </w:tc>
        <w:tc>
          <w:tcPr>
            <w:tcW w:w="336" w:type="pct"/>
            <w:shd w:val="clear" w:color="auto" w:fill="auto"/>
          </w:tcPr>
          <w:p w14:paraId="53FB8242"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(2.7)</w:t>
            </w:r>
          </w:p>
        </w:tc>
        <w:tc>
          <w:tcPr>
            <w:tcW w:w="237" w:type="pct"/>
            <w:shd w:val="clear" w:color="auto" w:fill="auto"/>
          </w:tcPr>
          <w:p w14:paraId="72C1139C"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22</w:t>
            </w:r>
          </w:p>
        </w:tc>
        <w:tc>
          <w:tcPr>
            <w:tcW w:w="333" w:type="pct"/>
            <w:shd w:val="clear" w:color="auto" w:fill="auto"/>
          </w:tcPr>
          <w:p w14:paraId="741A4E9D"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(6.0)</w:t>
            </w:r>
          </w:p>
        </w:tc>
        <w:tc>
          <w:tcPr>
            <w:tcW w:w="237" w:type="pct"/>
            <w:shd w:val="clear" w:color="auto" w:fill="auto"/>
          </w:tcPr>
          <w:p w14:paraId="3046E27C"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168</w:t>
            </w:r>
          </w:p>
        </w:tc>
        <w:tc>
          <w:tcPr>
            <w:tcW w:w="333" w:type="pct"/>
            <w:shd w:val="clear" w:color="auto" w:fill="auto"/>
          </w:tcPr>
          <w:p w14:paraId="2A6B75DB"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(46.2)</w:t>
            </w:r>
          </w:p>
        </w:tc>
        <w:tc>
          <w:tcPr>
            <w:tcW w:w="237" w:type="pct"/>
            <w:shd w:val="clear" w:color="auto" w:fill="auto"/>
          </w:tcPr>
          <w:p w14:paraId="77951EFB"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156</w:t>
            </w:r>
          </w:p>
        </w:tc>
        <w:tc>
          <w:tcPr>
            <w:tcW w:w="333" w:type="pct"/>
            <w:shd w:val="clear" w:color="auto" w:fill="auto"/>
          </w:tcPr>
          <w:p w14:paraId="2ED28DE1"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(42.9)</w:t>
            </w:r>
          </w:p>
        </w:tc>
        <w:tc>
          <w:tcPr>
            <w:tcW w:w="286" w:type="pct"/>
            <w:shd w:val="clear" w:color="auto" w:fill="auto"/>
          </w:tcPr>
          <w:p w14:paraId="5E99AC9B" w14:textId="4D5BECAD" w:rsidR="00AC66F7" w:rsidRPr="00B8744D"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B8744D">
              <w:rPr>
                <w:rFonts w:ascii="Times New Roman" w:hAnsi="Times New Roman"/>
                <w:color w:val="010205"/>
                <w:sz w:val="18"/>
                <w:szCs w:val="18"/>
              </w:rPr>
              <w:t>3.65</w:t>
            </w:r>
          </w:p>
        </w:tc>
        <w:tc>
          <w:tcPr>
            <w:tcW w:w="333" w:type="pct"/>
            <w:shd w:val="clear" w:color="auto" w:fill="auto"/>
          </w:tcPr>
          <w:p w14:paraId="487F952B" w14:textId="5A9383CF" w:rsidR="00AC66F7" w:rsidRPr="00B8744D"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B8744D">
              <w:rPr>
                <w:rFonts w:ascii="Times New Roman" w:hAnsi="Times New Roman"/>
                <w:color w:val="010205"/>
                <w:sz w:val="18"/>
                <w:szCs w:val="18"/>
              </w:rPr>
              <w:t>.805</w:t>
            </w:r>
          </w:p>
        </w:tc>
      </w:tr>
      <w:tr w:rsidR="00AC66F7" w:rsidRPr="008B1465" w14:paraId="66E65325" w14:textId="77777777" w:rsidTr="00AC66F7">
        <w:trPr>
          <w:cantSplit/>
          <w:trHeight w:val="943"/>
        </w:trPr>
        <w:tc>
          <w:tcPr>
            <w:tcW w:w="194" w:type="pct"/>
            <w:shd w:val="clear" w:color="auto" w:fill="auto"/>
          </w:tcPr>
          <w:p w14:paraId="16307F63" w14:textId="77777777" w:rsidR="00AC66F7" w:rsidRPr="008B1465" w:rsidRDefault="00AC66F7" w:rsidP="00AC66F7">
            <w:pPr>
              <w:numPr>
                <w:ilvl w:val="0"/>
                <w:numId w:val="23"/>
              </w:numPr>
              <w:autoSpaceDE w:val="0"/>
              <w:autoSpaceDN w:val="0"/>
              <w:adjustRightInd w:val="0"/>
              <w:spacing w:before="0" w:beforeAutospacing="0" w:after="0" w:line="320" w:lineRule="atLeast"/>
              <w:ind w:right="60"/>
              <w:contextualSpacing/>
              <w:rPr>
                <w:rFonts w:ascii="Times New Roman" w:eastAsia="Calibri" w:hAnsi="Times New Roman"/>
                <w:sz w:val="18"/>
                <w:szCs w:val="18"/>
              </w:rPr>
            </w:pPr>
          </w:p>
        </w:tc>
        <w:tc>
          <w:tcPr>
            <w:tcW w:w="1429" w:type="pct"/>
            <w:shd w:val="clear" w:color="auto" w:fill="auto"/>
          </w:tcPr>
          <w:p w14:paraId="5D93B9ED"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The accounting digital investigation knowledge acquired has improved the skills and ability of the investigator to obtain concrete evidence in fraud-related cases</w:t>
            </w:r>
          </w:p>
        </w:tc>
        <w:tc>
          <w:tcPr>
            <w:tcW w:w="238" w:type="pct"/>
            <w:shd w:val="clear" w:color="auto" w:fill="auto"/>
          </w:tcPr>
          <w:p w14:paraId="0750A573"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4</w:t>
            </w:r>
          </w:p>
        </w:tc>
        <w:tc>
          <w:tcPr>
            <w:tcW w:w="287" w:type="pct"/>
            <w:shd w:val="clear" w:color="auto" w:fill="auto"/>
          </w:tcPr>
          <w:p w14:paraId="3BE7D2EB"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(1.1)</w:t>
            </w:r>
          </w:p>
        </w:tc>
        <w:tc>
          <w:tcPr>
            <w:tcW w:w="187" w:type="pct"/>
            <w:shd w:val="clear" w:color="auto" w:fill="auto"/>
          </w:tcPr>
          <w:p w14:paraId="4793464E"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6</w:t>
            </w:r>
          </w:p>
        </w:tc>
        <w:tc>
          <w:tcPr>
            <w:tcW w:w="336" w:type="pct"/>
            <w:shd w:val="clear" w:color="auto" w:fill="auto"/>
          </w:tcPr>
          <w:p w14:paraId="77FCFC5E"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(1.6)</w:t>
            </w:r>
          </w:p>
        </w:tc>
        <w:tc>
          <w:tcPr>
            <w:tcW w:w="237" w:type="pct"/>
            <w:shd w:val="clear" w:color="auto" w:fill="auto"/>
          </w:tcPr>
          <w:p w14:paraId="3F6AA0C7"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18</w:t>
            </w:r>
          </w:p>
        </w:tc>
        <w:tc>
          <w:tcPr>
            <w:tcW w:w="333" w:type="pct"/>
            <w:shd w:val="clear" w:color="auto" w:fill="auto"/>
          </w:tcPr>
          <w:p w14:paraId="78A6CB3B"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(4.9)</w:t>
            </w:r>
          </w:p>
        </w:tc>
        <w:tc>
          <w:tcPr>
            <w:tcW w:w="237" w:type="pct"/>
            <w:shd w:val="clear" w:color="auto" w:fill="auto"/>
          </w:tcPr>
          <w:p w14:paraId="31CF8794"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204</w:t>
            </w:r>
          </w:p>
        </w:tc>
        <w:tc>
          <w:tcPr>
            <w:tcW w:w="333" w:type="pct"/>
            <w:shd w:val="clear" w:color="auto" w:fill="auto"/>
          </w:tcPr>
          <w:p w14:paraId="0190F709"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(56.0)</w:t>
            </w:r>
          </w:p>
        </w:tc>
        <w:tc>
          <w:tcPr>
            <w:tcW w:w="237" w:type="pct"/>
            <w:shd w:val="clear" w:color="auto" w:fill="auto"/>
          </w:tcPr>
          <w:p w14:paraId="3161C593"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132</w:t>
            </w:r>
          </w:p>
        </w:tc>
        <w:tc>
          <w:tcPr>
            <w:tcW w:w="333" w:type="pct"/>
            <w:shd w:val="clear" w:color="auto" w:fill="auto"/>
          </w:tcPr>
          <w:p w14:paraId="0EE55FD0"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(36.3)</w:t>
            </w:r>
          </w:p>
        </w:tc>
        <w:tc>
          <w:tcPr>
            <w:tcW w:w="286" w:type="pct"/>
            <w:shd w:val="clear" w:color="auto" w:fill="auto"/>
          </w:tcPr>
          <w:p w14:paraId="10997184" w14:textId="683489AB" w:rsidR="00AC66F7" w:rsidRPr="00B8744D"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B8744D">
              <w:rPr>
                <w:rFonts w:ascii="Times New Roman" w:hAnsi="Times New Roman"/>
                <w:color w:val="010205"/>
                <w:sz w:val="18"/>
                <w:szCs w:val="18"/>
              </w:rPr>
              <w:t>3.86</w:t>
            </w:r>
          </w:p>
        </w:tc>
        <w:tc>
          <w:tcPr>
            <w:tcW w:w="333" w:type="pct"/>
            <w:shd w:val="clear" w:color="auto" w:fill="auto"/>
          </w:tcPr>
          <w:p w14:paraId="69A48099" w14:textId="42924D6C" w:rsidR="00AC66F7" w:rsidRPr="00B8744D"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B8744D">
              <w:rPr>
                <w:rFonts w:ascii="Times New Roman" w:hAnsi="Times New Roman"/>
                <w:color w:val="010205"/>
                <w:sz w:val="18"/>
                <w:szCs w:val="18"/>
              </w:rPr>
              <w:t>1.040</w:t>
            </w:r>
          </w:p>
        </w:tc>
      </w:tr>
      <w:tr w:rsidR="00AC66F7" w:rsidRPr="008B1465" w14:paraId="15B62ABA" w14:textId="77777777" w:rsidTr="00AC66F7">
        <w:trPr>
          <w:cantSplit/>
          <w:trHeight w:val="806"/>
        </w:trPr>
        <w:tc>
          <w:tcPr>
            <w:tcW w:w="194" w:type="pct"/>
            <w:shd w:val="clear" w:color="auto" w:fill="auto"/>
          </w:tcPr>
          <w:p w14:paraId="2D10A7A1" w14:textId="77777777" w:rsidR="00AC66F7" w:rsidRPr="008B1465" w:rsidRDefault="00AC66F7" w:rsidP="00AC66F7">
            <w:pPr>
              <w:numPr>
                <w:ilvl w:val="0"/>
                <w:numId w:val="23"/>
              </w:numPr>
              <w:autoSpaceDE w:val="0"/>
              <w:autoSpaceDN w:val="0"/>
              <w:adjustRightInd w:val="0"/>
              <w:spacing w:before="0" w:beforeAutospacing="0" w:after="0" w:line="320" w:lineRule="atLeast"/>
              <w:ind w:right="60"/>
              <w:contextualSpacing/>
              <w:rPr>
                <w:rFonts w:ascii="Times New Roman" w:eastAsia="Calibri" w:hAnsi="Times New Roman"/>
                <w:sz w:val="18"/>
                <w:szCs w:val="18"/>
              </w:rPr>
            </w:pPr>
          </w:p>
        </w:tc>
        <w:tc>
          <w:tcPr>
            <w:tcW w:w="1429" w:type="pct"/>
            <w:shd w:val="clear" w:color="auto" w:fill="auto"/>
          </w:tcPr>
          <w:p w14:paraId="72FBA89F"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Lack of sound knowledge of forensic accounting hinders investigators from obtaining significant evidence against fraudsters</w:t>
            </w:r>
          </w:p>
        </w:tc>
        <w:tc>
          <w:tcPr>
            <w:tcW w:w="238" w:type="pct"/>
            <w:shd w:val="clear" w:color="auto" w:fill="auto"/>
          </w:tcPr>
          <w:p w14:paraId="3B80D37F"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24</w:t>
            </w:r>
          </w:p>
        </w:tc>
        <w:tc>
          <w:tcPr>
            <w:tcW w:w="287" w:type="pct"/>
            <w:shd w:val="clear" w:color="auto" w:fill="auto"/>
          </w:tcPr>
          <w:p w14:paraId="583E932A"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(6.6)</w:t>
            </w:r>
          </w:p>
        </w:tc>
        <w:tc>
          <w:tcPr>
            <w:tcW w:w="187" w:type="pct"/>
            <w:shd w:val="clear" w:color="auto" w:fill="auto"/>
          </w:tcPr>
          <w:p w14:paraId="73A09EE7"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18</w:t>
            </w:r>
          </w:p>
        </w:tc>
        <w:tc>
          <w:tcPr>
            <w:tcW w:w="336" w:type="pct"/>
            <w:shd w:val="clear" w:color="auto" w:fill="auto"/>
          </w:tcPr>
          <w:p w14:paraId="73FCEC4A"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(4.9)</w:t>
            </w:r>
          </w:p>
        </w:tc>
        <w:tc>
          <w:tcPr>
            <w:tcW w:w="237" w:type="pct"/>
            <w:shd w:val="clear" w:color="auto" w:fill="auto"/>
          </w:tcPr>
          <w:p w14:paraId="4901D422"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32</w:t>
            </w:r>
          </w:p>
        </w:tc>
        <w:tc>
          <w:tcPr>
            <w:tcW w:w="333" w:type="pct"/>
            <w:shd w:val="clear" w:color="auto" w:fill="auto"/>
          </w:tcPr>
          <w:p w14:paraId="663402ED"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(8.8)</w:t>
            </w:r>
          </w:p>
        </w:tc>
        <w:tc>
          <w:tcPr>
            <w:tcW w:w="237" w:type="pct"/>
            <w:shd w:val="clear" w:color="auto" w:fill="auto"/>
          </w:tcPr>
          <w:p w14:paraId="7461317C"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174</w:t>
            </w:r>
          </w:p>
        </w:tc>
        <w:tc>
          <w:tcPr>
            <w:tcW w:w="333" w:type="pct"/>
            <w:shd w:val="clear" w:color="auto" w:fill="auto"/>
          </w:tcPr>
          <w:p w14:paraId="4FB457C2"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(47.8)</w:t>
            </w:r>
          </w:p>
        </w:tc>
        <w:tc>
          <w:tcPr>
            <w:tcW w:w="237" w:type="pct"/>
            <w:shd w:val="clear" w:color="auto" w:fill="auto"/>
          </w:tcPr>
          <w:p w14:paraId="5497951A"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116</w:t>
            </w:r>
          </w:p>
        </w:tc>
        <w:tc>
          <w:tcPr>
            <w:tcW w:w="333" w:type="pct"/>
            <w:shd w:val="clear" w:color="auto" w:fill="auto"/>
          </w:tcPr>
          <w:p w14:paraId="563FE84D"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(31.9)</w:t>
            </w:r>
          </w:p>
        </w:tc>
        <w:tc>
          <w:tcPr>
            <w:tcW w:w="286" w:type="pct"/>
            <w:shd w:val="clear" w:color="auto" w:fill="auto"/>
          </w:tcPr>
          <w:p w14:paraId="6CBFB45A" w14:textId="01B0FC15" w:rsidR="00AC66F7" w:rsidRPr="00B8744D"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B8744D">
              <w:rPr>
                <w:rFonts w:ascii="Times New Roman" w:hAnsi="Times New Roman"/>
                <w:color w:val="010205"/>
                <w:sz w:val="18"/>
                <w:szCs w:val="18"/>
              </w:rPr>
              <w:t>3.93</w:t>
            </w:r>
          </w:p>
        </w:tc>
        <w:tc>
          <w:tcPr>
            <w:tcW w:w="333" w:type="pct"/>
            <w:shd w:val="clear" w:color="auto" w:fill="auto"/>
          </w:tcPr>
          <w:p w14:paraId="1176CD7F" w14:textId="7DC36EEB" w:rsidR="00AC66F7" w:rsidRPr="00B8744D"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B8744D">
              <w:rPr>
                <w:rFonts w:ascii="Times New Roman" w:hAnsi="Times New Roman"/>
                <w:color w:val="010205"/>
                <w:sz w:val="18"/>
                <w:szCs w:val="18"/>
              </w:rPr>
              <w:t>1.094</w:t>
            </w:r>
          </w:p>
        </w:tc>
      </w:tr>
      <w:tr w:rsidR="00AC66F7" w:rsidRPr="008B1465" w14:paraId="343ADEC8" w14:textId="77777777" w:rsidTr="00AC66F7">
        <w:trPr>
          <w:cantSplit/>
          <w:trHeight w:val="806"/>
        </w:trPr>
        <w:tc>
          <w:tcPr>
            <w:tcW w:w="194" w:type="pct"/>
            <w:shd w:val="clear" w:color="auto" w:fill="auto"/>
          </w:tcPr>
          <w:p w14:paraId="0891CDC8" w14:textId="77777777" w:rsidR="00AC66F7" w:rsidRPr="008B1465" w:rsidRDefault="00AC66F7" w:rsidP="00AC66F7">
            <w:pPr>
              <w:numPr>
                <w:ilvl w:val="0"/>
                <w:numId w:val="23"/>
              </w:numPr>
              <w:autoSpaceDE w:val="0"/>
              <w:autoSpaceDN w:val="0"/>
              <w:adjustRightInd w:val="0"/>
              <w:spacing w:before="0" w:beforeAutospacing="0" w:after="0" w:line="320" w:lineRule="atLeast"/>
              <w:ind w:right="60"/>
              <w:contextualSpacing/>
              <w:rPr>
                <w:rFonts w:ascii="Times New Roman" w:eastAsia="Calibri" w:hAnsi="Times New Roman"/>
                <w:sz w:val="18"/>
                <w:szCs w:val="18"/>
              </w:rPr>
            </w:pPr>
          </w:p>
        </w:tc>
        <w:tc>
          <w:tcPr>
            <w:tcW w:w="1429" w:type="pct"/>
            <w:shd w:val="clear" w:color="auto" w:fill="auto"/>
          </w:tcPr>
          <w:p w14:paraId="5C902B93"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A forensic accountant who also doubles as a psychologist can reliably obtain evidence, present evidence, and prosecute offenders.</w:t>
            </w:r>
          </w:p>
        </w:tc>
        <w:tc>
          <w:tcPr>
            <w:tcW w:w="238" w:type="pct"/>
            <w:shd w:val="clear" w:color="auto" w:fill="auto"/>
          </w:tcPr>
          <w:p w14:paraId="21E48FE7"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10</w:t>
            </w:r>
          </w:p>
        </w:tc>
        <w:tc>
          <w:tcPr>
            <w:tcW w:w="287" w:type="pct"/>
            <w:shd w:val="clear" w:color="auto" w:fill="auto"/>
          </w:tcPr>
          <w:p w14:paraId="5871612A"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(2.7)</w:t>
            </w:r>
          </w:p>
        </w:tc>
        <w:tc>
          <w:tcPr>
            <w:tcW w:w="187" w:type="pct"/>
            <w:shd w:val="clear" w:color="auto" w:fill="auto"/>
          </w:tcPr>
          <w:p w14:paraId="10A976B5"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40</w:t>
            </w:r>
          </w:p>
        </w:tc>
        <w:tc>
          <w:tcPr>
            <w:tcW w:w="336" w:type="pct"/>
            <w:shd w:val="clear" w:color="auto" w:fill="auto"/>
          </w:tcPr>
          <w:p w14:paraId="503BA730"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(11.0)</w:t>
            </w:r>
          </w:p>
        </w:tc>
        <w:tc>
          <w:tcPr>
            <w:tcW w:w="237" w:type="pct"/>
            <w:shd w:val="clear" w:color="auto" w:fill="auto"/>
          </w:tcPr>
          <w:p w14:paraId="1B89C770"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46</w:t>
            </w:r>
          </w:p>
        </w:tc>
        <w:tc>
          <w:tcPr>
            <w:tcW w:w="333" w:type="pct"/>
            <w:shd w:val="clear" w:color="auto" w:fill="auto"/>
          </w:tcPr>
          <w:p w14:paraId="0FB4D5DA"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(12.6)</w:t>
            </w:r>
          </w:p>
        </w:tc>
        <w:tc>
          <w:tcPr>
            <w:tcW w:w="237" w:type="pct"/>
            <w:shd w:val="clear" w:color="auto" w:fill="auto"/>
          </w:tcPr>
          <w:p w14:paraId="277CCE95"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164</w:t>
            </w:r>
          </w:p>
        </w:tc>
        <w:tc>
          <w:tcPr>
            <w:tcW w:w="333" w:type="pct"/>
            <w:shd w:val="clear" w:color="auto" w:fill="auto"/>
          </w:tcPr>
          <w:p w14:paraId="7A0E016B"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(45.1)</w:t>
            </w:r>
          </w:p>
        </w:tc>
        <w:tc>
          <w:tcPr>
            <w:tcW w:w="237" w:type="pct"/>
            <w:shd w:val="clear" w:color="auto" w:fill="auto"/>
          </w:tcPr>
          <w:p w14:paraId="0659572B"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104</w:t>
            </w:r>
          </w:p>
        </w:tc>
        <w:tc>
          <w:tcPr>
            <w:tcW w:w="333" w:type="pct"/>
            <w:shd w:val="clear" w:color="auto" w:fill="auto"/>
          </w:tcPr>
          <w:p w14:paraId="2C71B250"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(28.6)</w:t>
            </w:r>
          </w:p>
        </w:tc>
        <w:tc>
          <w:tcPr>
            <w:tcW w:w="286" w:type="pct"/>
            <w:shd w:val="clear" w:color="auto" w:fill="auto"/>
          </w:tcPr>
          <w:p w14:paraId="20D2688D" w14:textId="4D831D8A" w:rsidR="00AC66F7" w:rsidRPr="00B8744D"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B8744D">
              <w:rPr>
                <w:rFonts w:ascii="Times New Roman" w:hAnsi="Times New Roman"/>
                <w:color w:val="010205"/>
                <w:sz w:val="18"/>
                <w:szCs w:val="18"/>
              </w:rPr>
              <w:t>4.25</w:t>
            </w:r>
          </w:p>
        </w:tc>
        <w:tc>
          <w:tcPr>
            <w:tcW w:w="333" w:type="pct"/>
            <w:shd w:val="clear" w:color="auto" w:fill="auto"/>
          </w:tcPr>
          <w:p w14:paraId="4301B99F" w14:textId="3A1124C1" w:rsidR="00AC66F7" w:rsidRPr="00B8744D"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B8744D">
              <w:rPr>
                <w:rFonts w:ascii="Times New Roman" w:hAnsi="Times New Roman"/>
                <w:color w:val="010205"/>
                <w:sz w:val="18"/>
                <w:szCs w:val="18"/>
              </w:rPr>
              <w:t>.719</w:t>
            </w:r>
          </w:p>
        </w:tc>
      </w:tr>
      <w:tr w:rsidR="00AC66F7" w:rsidRPr="008B1465" w14:paraId="7FA1D1B9" w14:textId="77777777" w:rsidTr="00AC66F7">
        <w:trPr>
          <w:cantSplit/>
          <w:trHeight w:val="806"/>
        </w:trPr>
        <w:tc>
          <w:tcPr>
            <w:tcW w:w="194" w:type="pct"/>
            <w:shd w:val="clear" w:color="auto" w:fill="auto"/>
          </w:tcPr>
          <w:p w14:paraId="51816636" w14:textId="77777777" w:rsidR="00AC66F7" w:rsidRPr="008B1465" w:rsidRDefault="00AC66F7" w:rsidP="00AC66F7">
            <w:pPr>
              <w:numPr>
                <w:ilvl w:val="0"/>
                <w:numId w:val="23"/>
              </w:numPr>
              <w:autoSpaceDE w:val="0"/>
              <w:autoSpaceDN w:val="0"/>
              <w:adjustRightInd w:val="0"/>
              <w:spacing w:before="0" w:beforeAutospacing="0" w:after="0" w:line="320" w:lineRule="atLeast"/>
              <w:ind w:right="60"/>
              <w:contextualSpacing/>
              <w:rPr>
                <w:rFonts w:ascii="Times New Roman" w:eastAsia="Calibri" w:hAnsi="Times New Roman"/>
                <w:sz w:val="18"/>
                <w:szCs w:val="18"/>
              </w:rPr>
            </w:pPr>
          </w:p>
        </w:tc>
        <w:tc>
          <w:tcPr>
            <w:tcW w:w="1429" w:type="pct"/>
            <w:shd w:val="clear" w:color="auto" w:fill="auto"/>
          </w:tcPr>
          <w:p w14:paraId="6C3B115D"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Where fraud involves employees my university forensic accountants are involved in the investigation</w:t>
            </w:r>
          </w:p>
        </w:tc>
        <w:tc>
          <w:tcPr>
            <w:tcW w:w="238" w:type="pct"/>
            <w:shd w:val="clear" w:color="auto" w:fill="auto"/>
          </w:tcPr>
          <w:p w14:paraId="3115FE45"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14</w:t>
            </w:r>
          </w:p>
        </w:tc>
        <w:tc>
          <w:tcPr>
            <w:tcW w:w="287" w:type="pct"/>
            <w:shd w:val="clear" w:color="auto" w:fill="auto"/>
          </w:tcPr>
          <w:p w14:paraId="33C85CAE"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(3.8)</w:t>
            </w:r>
          </w:p>
        </w:tc>
        <w:tc>
          <w:tcPr>
            <w:tcW w:w="187" w:type="pct"/>
            <w:shd w:val="clear" w:color="auto" w:fill="auto"/>
          </w:tcPr>
          <w:p w14:paraId="28986138"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52</w:t>
            </w:r>
          </w:p>
        </w:tc>
        <w:tc>
          <w:tcPr>
            <w:tcW w:w="336" w:type="pct"/>
            <w:shd w:val="clear" w:color="auto" w:fill="auto"/>
          </w:tcPr>
          <w:p w14:paraId="78D66B4B"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(14.3)</w:t>
            </w:r>
          </w:p>
        </w:tc>
        <w:tc>
          <w:tcPr>
            <w:tcW w:w="237" w:type="pct"/>
            <w:shd w:val="clear" w:color="auto" w:fill="auto"/>
          </w:tcPr>
          <w:p w14:paraId="54DF272A"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102</w:t>
            </w:r>
          </w:p>
        </w:tc>
        <w:tc>
          <w:tcPr>
            <w:tcW w:w="333" w:type="pct"/>
            <w:shd w:val="clear" w:color="auto" w:fill="auto"/>
          </w:tcPr>
          <w:p w14:paraId="0FEE471C"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(28.0)</w:t>
            </w:r>
          </w:p>
        </w:tc>
        <w:tc>
          <w:tcPr>
            <w:tcW w:w="237" w:type="pct"/>
            <w:shd w:val="clear" w:color="auto" w:fill="auto"/>
          </w:tcPr>
          <w:p w14:paraId="432AB046"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132</w:t>
            </w:r>
          </w:p>
        </w:tc>
        <w:tc>
          <w:tcPr>
            <w:tcW w:w="333" w:type="pct"/>
            <w:shd w:val="clear" w:color="auto" w:fill="auto"/>
          </w:tcPr>
          <w:p w14:paraId="57B9429F"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(36.3)</w:t>
            </w:r>
          </w:p>
        </w:tc>
        <w:tc>
          <w:tcPr>
            <w:tcW w:w="237" w:type="pct"/>
            <w:shd w:val="clear" w:color="auto" w:fill="auto"/>
          </w:tcPr>
          <w:p w14:paraId="793DBBC1"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64</w:t>
            </w:r>
          </w:p>
        </w:tc>
        <w:tc>
          <w:tcPr>
            <w:tcW w:w="333" w:type="pct"/>
            <w:shd w:val="clear" w:color="auto" w:fill="auto"/>
          </w:tcPr>
          <w:p w14:paraId="5058CDD4"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(17.6)</w:t>
            </w:r>
          </w:p>
        </w:tc>
        <w:tc>
          <w:tcPr>
            <w:tcW w:w="286" w:type="pct"/>
            <w:shd w:val="clear" w:color="auto" w:fill="auto"/>
          </w:tcPr>
          <w:p w14:paraId="79DD1B73" w14:textId="3EBBCFFD" w:rsidR="00AC66F7" w:rsidRPr="00B8744D"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B8744D">
              <w:rPr>
                <w:rFonts w:ascii="Times New Roman" w:hAnsi="Times New Roman"/>
                <w:color w:val="010205"/>
                <w:sz w:val="18"/>
                <w:szCs w:val="18"/>
              </w:rPr>
              <w:t>4.25</w:t>
            </w:r>
          </w:p>
        </w:tc>
        <w:tc>
          <w:tcPr>
            <w:tcW w:w="333" w:type="pct"/>
            <w:shd w:val="clear" w:color="auto" w:fill="auto"/>
          </w:tcPr>
          <w:p w14:paraId="3272F806" w14:textId="4626E883" w:rsidR="00AC66F7" w:rsidRPr="00B8744D"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B8744D">
              <w:rPr>
                <w:rFonts w:ascii="Times New Roman" w:hAnsi="Times New Roman"/>
                <w:color w:val="010205"/>
                <w:sz w:val="18"/>
                <w:szCs w:val="18"/>
              </w:rPr>
              <w:t>.859</w:t>
            </w:r>
          </w:p>
        </w:tc>
      </w:tr>
      <w:tr w:rsidR="00AC66F7" w:rsidRPr="008B1465" w14:paraId="612AFE2D" w14:textId="77777777" w:rsidTr="00AC66F7">
        <w:trPr>
          <w:cantSplit/>
          <w:trHeight w:val="806"/>
        </w:trPr>
        <w:tc>
          <w:tcPr>
            <w:tcW w:w="194" w:type="pct"/>
            <w:tcBorders>
              <w:bottom w:val="thinThickSmallGap" w:sz="24" w:space="0" w:color="auto"/>
            </w:tcBorders>
            <w:shd w:val="clear" w:color="auto" w:fill="auto"/>
          </w:tcPr>
          <w:p w14:paraId="7DF79459" w14:textId="77777777" w:rsidR="00AC66F7" w:rsidRPr="008B1465" w:rsidRDefault="00AC66F7" w:rsidP="00AC66F7">
            <w:pPr>
              <w:numPr>
                <w:ilvl w:val="0"/>
                <w:numId w:val="23"/>
              </w:numPr>
              <w:autoSpaceDE w:val="0"/>
              <w:autoSpaceDN w:val="0"/>
              <w:adjustRightInd w:val="0"/>
              <w:spacing w:before="0" w:beforeAutospacing="0" w:after="0" w:line="320" w:lineRule="atLeast"/>
              <w:ind w:right="60"/>
              <w:contextualSpacing/>
              <w:rPr>
                <w:rFonts w:ascii="Times New Roman" w:eastAsia="Calibri" w:hAnsi="Times New Roman"/>
                <w:sz w:val="18"/>
                <w:szCs w:val="18"/>
              </w:rPr>
            </w:pPr>
          </w:p>
        </w:tc>
        <w:tc>
          <w:tcPr>
            <w:tcW w:w="1429" w:type="pct"/>
            <w:tcBorders>
              <w:bottom w:val="thinThickSmallGap" w:sz="24" w:space="0" w:color="auto"/>
            </w:tcBorders>
            <w:shd w:val="clear" w:color="auto" w:fill="auto"/>
          </w:tcPr>
          <w:p w14:paraId="1E031B23"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A forensic accountant who also doubles as a psychologist can reliably obtain evidence, present evidence, and prosecute offenders.</w:t>
            </w:r>
          </w:p>
        </w:tc>
        <w:tc>
          <w:tcPr>
            <w:tcW w:w="238" w:type="pct"/>
            <w:tcBorders>
              <w:bottom w:val="thinThickSmallGap" w:sz="24" w:space="0" w:color="auto"/>
            </w:tcBorders>
            <w:shd w:val="clear" w:color="auto" w:fill="auto"/>
          </w:tcPr>
          <w:p w14:paraId="7834CA7B"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6</w:t>
            </w:r>
          </w:p>
        </w:tc>
        <w:tc>
          <w:tcPr>
            <w:tcW w:w="287" w:type="pct"/>
            <w:tcBorders>
              <w:bottom w:val="thinThickSmallGap" w:sz="24" w:space="0" w:color="auto"/>
            </w:tcBorders>
            <w:shd w:val="clear" w:color="auto" w:fill="auto"/>
          </w:tcPr>
          <w:p w14:paraId="1C48B670"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(1.6)</w:t>
            </w:r>
          </w:p>
        </w:tc>
        <w:tc>
          <w:tcPr>
            <w:tcW w:w="187" w:type="pct"/>
            <w:tcBorders>
              <w:bottom w:val="thinThickSmallGap" w:sz="24" w:space="0" w:color="auto"/>
            </w:tcBorders>
            <w:shd w:val="clear" w:color="auto" w:fill="auto"/>
          </w:tcPr>
          <w:p w14:paraId="2C8BB3F1"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22</w:t>
            </w:r>
          </w:p>
        </w:tc>
        <w:tc>
          <w:tcPr>
            <w:tcW w:w="336" w:type="pct"/>
            <w:tcBorders>
              <w:bottom w:val="thinThickSmallGap" w:sz="24" w:space="0" w:color="auto"/>
            </w:tcBorders>
            <w:shd w:val="clear" w:color="auto" w:fill="auto"/>
          </w:tcPr>
          <w:p w14:paraId="0682E272"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(6.0)</w:t>
            </w:r>
          </w:p>
        </w:tc>
        <w:tc>
          <w:tcPr>
            <w:tcW w:w="237" w:type="pct"/>
            <w:tcBorders>
              <w:bottom w:val="thinThickSmallGap" w:sz="24" w:space="0" w:color="auto"/>
            </w:tcBorders>
            <w:shd w:val="clear" w:color="auto" w:fill="auto"/>
          </w:tcPr>
          <w:p w14:paraId="6635E43D"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102</w:t>
            </w:r>
          </w:p>
        </w:tc>
        <w:tc>
          <w:tcPr>
            <w:tcW w:w="333" w:type="pct"/>
            <w:tcBorders>
              <w:bottom w:val="thinThickSmallGap" w:sz="24" w:space="0" w:color="auto"/>
            </w:tcBorders>
            <w:shd w:val="clear" w:color="auto" w:fill="auto"/>
          </w:tcPr>
          <w:p w14:paraId="3C81D42C"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(28.0)</w:t>
            </w:r>
          </w:p>
        </w:tc>
        <w:tc>
          <w:tcPr>
            <w:tcW w:w="237" w:type="pct"/>
            <w:tcBorders>
              <w:bottom w:val="thinThickSmallGap" w:sz="24" w:space="0" w:color="auto"/>
            </w:tcBorders>
            <w:shd w:val="clear" w:color="auto" w:fill="auto"/>
          </w:tcPr>
          <w:p w14:paraId="5BB577EC"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198</w:t>
            </w:r>
          </w:p>
        </w:tc>
        <w:tc>
          <w:tcPr>
            <w:tcW w:w="333" w:type="pct"/>
            <w:tcBorders>
              <w:bottom w:val="thinThickSmallGap" w:sz="24" w:space="0" w:color="auto"/>
            </w:tcBorders>
            <w:shd w:val="clear" w:color="auto" w:fill="auto"/>
          </w:tcPr>
          <w:p w14:paraId="5BC66DB4"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(54.4)</w:t>
            </w:r>
          </w:p>
        </w:tc>
        <w:tc>
          <w:tcPr>
            <w:tcW w:w="237" w:type="pct"/>
            <w:tcBorders>
              <w:bottom w:val="thinThickSmallGap" w:sz="24" w:space="0" w:color="auto"/>
            </w:tcBorders>
            <w:shd w:val="clear" w:color="auto" w:fill="auto"/>
          </w:tcPr>
          <w:p w14:paraId="666B6B7A" w14:textId="77777777" w:rsidR="00AC66F7" w:rsidRPr="008B1465"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8B1465">
              <w:rPr>
                <w:rFonts w:ascii="Times New Roman" w:eastAsia="Calibri" w:hAnsi="Times New Roman"/>
                <w:sz w:val="18"/>
                <w:szCs w:val="18"/>
              </w:rPr>
              <w:t>36</w:t>
            </w:r>
          </w:p>
        </w:tc>
        <w:tc>
          <w:tcPr>
            <w:tcW w:w="333" w:type="pct"/>
            <w:tcBorders>
              <w:bottom w:val="thinThickSmallGap" w:sz="24" w:space="0" w:color="auto"/>
            </w:tcBorders>
            <w:shd w:val="clear" w:color="auto" w:fill="auto"/>
          </w:tcPr>
          <w:p w14:paraId="42072666" w14:textId="77777777" w:rsidR="00AC66F7" w:rsidRPr="008B1465"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8B1465">
              <w:rPr>
                <w:rFonts w:ascii="Times New Roman" w:eastAsia="Calibri" w:hAnsi="Times New Roman"/>
                <w:sz w:val="18"/>
                <w:szCs w:val="18"/>
              </w:rPr>
              <w:t>(9.9)</w:t>
            </w:r>
          </w:p>
        </w:tc>
        <w:tc>
          <w:tcPr>
            <w:tcW w:w="286" w:type="pct"/>
            <w:tcBorders>
              <w:bottom w:val="thinThickSmallGap" w:sz="24" w:space="0" w:color="auto"/>
            </w:tcBorders>
            <w:shd w:val="clear" w:color="auto" w:fill="auto"/>
          </w:tcPr>
          <w:p w14:paraId="2758F34B" w14:textId="5DB2CDFE" w:rsidR="00AC66F7" w:rsidRPr="00B8744D" w:rsidRDefault="00AC66F7" w:rsidP="00AC66F7">
            <w:pPr>
              <w:autoSpaceDE w:val="0"/>
              <w:autoSpaceDN w:val="0"/>
              <w:adjustRightInd w:val="0"/>
              <w:spacing w:before="0" w:beforeAutospacing="0" w:after="0" w:line="320" w:lineRule="atLeast"/>
              <w:ind w:left="60" w:right="60"/>
              <w:jc w:val="right"/>
              <w:rPr>
                <w:rFonts w:ascii="Times New Roman" w:eastAsia="Calibri" w:hAnsi="Times New Roman"/>
                <w:sz w:val="18"/>
                <w:szCs w:val="18"/>
              </w:rPr>
            </w:pPr>
            <w:r w:rsidRPr="00B8744D">
              <w:rPr>
                <w:rFonts w:ascii="Times New Roman" w:hAnsi="Times New Roman"/>
                <w:color w:val="010205"/>
                <w:sz w:val="18"/>
                <w:szCs w:val="18"/>
              </w:rPr>
              <w:t>4.42</w:t>
            </w:r>
          </w:p>
        </w:tc>
        <w:tc>
          <w:tcPr>
            <w:tcW w:w="333" w:type="pct"/>
            <w:tcBorders>
              <w:bottom w:val="thinThickSmallGap" w:sz="24" w:space="0" w:color="auto"/>
            </w:tcBorders>
            <w:shd w:val="clear" w:color="auto" w:fill="auto"/>
          </w:tcPr>
          <w:p w14:paraId="1A7A4EBA" w14:textId="2F957266" w:rsidR="00AC66F7" w:rsidRPr="00B8744D" w:rsidRDefault="00AC66F7" w:rsidP="00AC66F7">
            <w:pPr>
              <w:autoSpaceDE w:val="0"/>
              <w:autoSpaceDN w:val="0"/>
              <w:adjustRightInd w:val="0"/>
              <w:spacing w:before="0" w:beforeAutospacing="0" w:after="0" w:line="320" w:lineRule="atLeast"/>
              <w:ind w:left="60" w:right="60"/>
              <w:rPr>
                <w:rFonts w:ascii="Times New Roman" w:eastAsia="Calibri" w:hAnsi="Times New Roman"/>
                <w:sz w:val="18"/>
                <w:szCs w:val="18"/>
              </w:rPr>
            </w:pPr>
            <w:r w:rsidRPr="00B8744D">
              <w:rPr>
                <w:rFonts w:ascii="Times New Roman" w:hAnsi="Times New Roman"/>
                <w:color w:val="010205"/>
                <w:sz w:val="18"/>
                <w:szCs w:val="18"/>
              </w:rPr>
              <w:t>.861</w:t>
            </w:r>
          </w:p>
        </w:tc>
      </w:tr>
    </w:tbl>
    <w:p w14:paraId="1A094A6A" w14:textId="77777777" w:rsidR="0058051A" w:rsidRPr="008B1465" w:rsidRDefault="00234521" w:rsidP="00FF5E1B">
      <w:pPr>
        <w:pStyle w:val="NoSpacing"/>
        <w:rPr>
          <w:rFonts w:asciiTheme="minorHAnsi" w:hAnsiTheme="minorHAnsi" w:cstheme="minorHAnsi"/>
          <w:b/>
          <w:bCs/>
          <w:sz w:val="18"/>
          <w:szCs w:val="18"/>
        </w:rPr>
      </w:pPr>
      <w:r w:rsidRPr="008B1465">
        <w:rPr>
          <w:rFonts w:ascii="Times New Roman" w:hAnsi="Times New Roman"/>
          <w:b/>
          <w:sz w:val="18"/>
          <w:szCs w:val="18"/>
        </w:rPr>
        <w:t xml:space="preserve">Source: Researcher’s field survey, 2023, SPSS 25.0 </w:t>
      </w:r>
      <w:r w:rsidRPr="008B1465">
        <w:rPr>
          <w:rFonts w:asciiTheme="minorHAnsi" w:hAnsiTheme="minorHAnsi" w:cstheme="minorHAnsi"/>
          <w:b/>
          <w:bCs/>
          <w:sz w:val="18"/>
          <w:szCs w:val="18"/>
        </w:rPr>
        <w:t>Version</w:t>
      </w:r>
      <w:bookmarkStart w:id="112" w:name="_Hlk137229166"/>
    </w:p>
    <w:p w14:paraId="268D54A1" w14:textId="498410F1" w:rsidR="00814BC3" w:rsidRDefault="00E15600" w:rsidP="00FF5E1B">
      <w:pPr>
        <w:pStyle w:val="NoSpacing"/>
        <w:rPr>
          <w:rFonts w:ascii="Times New Roman" w:hAnsi="Times New Roman"/>
          <w:b/>
          <w:bCs/>
          <w:sz w:val="18"/>
          <w:szCs w:val="18"/>
        </w:rPr>
      </w:pPr>
      <w:r w:rsidRPr="008B1465">
        <w:rPr>
          <w:rFonts w:ascii="Times New Roman" w:hAnsi="Times New Roman"/>
          <w:b/>
          <w:bCs/>
          <w:sz w:val="18"/>
          <w:szCs w:val="18"/>
        </w:rPr>
        <w:t xml:space="preserve">Keys: SD=Strongly Disagreed, D=Disagreed, </w:t>
      </w:r>
      <w:r w:rsidR="008A7393" w:rsidRPr="008B1465">
        <w:rPr>
          <w:rFonts w:ascii="Times New Roman" w:hAnsi="Times New Roman"/>
          <w:b/>
          <w:bCs/>
          <w:sz w:val="18"/>
          <w:szCs w:val="18"/>
        </w:rPr>
        <w:t>I</w:t>
      </w:r>
      <w:r w:rsidRPr="008B1465">
        <w:rPr>
          <w:rFonts w:ascii="Times New Roman" w:hAnsi="Times New Roman"/>
          <w:b/>
          <w:bCs/>
          <w:sz w:val="18"/>
          <w:szCs w:val="18"/>
        </w:rPr>
        <w:t xml:space="preserve">= </w:t>
      </w:r>
      <w:r w:rsidR="003650EA" w:rsidRPr="008B1465">
        <w:rPr>
          <w:rFonts w:ascii="Times New Roman" w:hAnsi="Times New Roman"/>
          <w:b/>
          <w:bCs/>
          <w:sz w:val="18"/>
          <w:szCs w:val="18"/>
        </w:rPr>
        <w:t>Indifferent</w:t>
      </w:r>
      <w:r w:rsidRPr="008B1465">
        <w:rPr>
          <w:rFonts w:ascii="Times New Roman" w:hAnsi="Times New Roman"/>
          <w:b/>
          <w:bCs/>
          <w:sz w:val="18"/>
          <w:szCs w:val="18"/>
        </w:rPr>
        <w:t>, A=Agreed, SA=Strongly Agreed</w:t>
      </w:r>
      <w:bookmarkEnd w:id="112"/>
      <w:r w:rsidR="00300F46" w:rsidRPr="008B1465">
        <w:rPr>
          <w:rFonts w:ascii="Times New Roman" w:hAnsi="Times New Roman"/>
          <w:b/>
          <w:bCs/>
          <w:sz w:val="18"/>
          <w:szCs w:val="18"/>
        </w:rPr>
        <w:t>,</w:t>
      </w:r>
      <w:r w:rsidR="00214C57">
        <w:rPr>
          <w:rFonts w:ascii="Times New Roman" w:hAnsi="Times New Roman"/>
          <w:b/>
          <w:bCs/>
          <w:sz w:val="18"/>
          <w:szCs w:val="18"/>
        </w:rPr>
        <w:t xml:space="preserve"> </w:t>
      </w:r>
      <w:r w:rsidR="00300F46" w:rsidRPr="008B1465">
        <w:rPr>
          <w:rFonts w:ascii="Times New Roman" w:hAnsi="Times New Roman"/>
          <w:b/>
          <w:bCs/>
          <w:sz w:val="18"/>
          <w:szCs w:val="18"/>
        </w:rPr>
        <w:t>(%)</w:t>
      </w:r>
      <w:r w:rsidR="00284E38" w:rsidRPr="008B1465">
        <w:rPr>
          <w:rFonts w:ascii="Times New Roman" w:hAnsi="Times New Roman"/>
          <w:b/>
          <w:bCs/>
          <w:sz w:val="18"/>
          <w:szCs w:val="18"/>
        </w:rPr>
        <w:t xml:space="preserve"> </w:t>
      </w:r>
      <w:r w:rsidR="00300F46" w:rsidRPr="008B1465">
        <w:rPr>
          <w:rFonts w:ascii="Times New Roman" w:hAnsi="Times New Roman"/>
          <w:b/>
          <w:bCs/>
          <w:sz w:val="18"/>
          <w:szCs w:val="18"/>
        </w:rPr>
        <w:t>= Percentages</w:t>
      </w:r>
      <w:r w:rsidR="002118CF">
        <w:rPr>
          <w:rFonts w:ascii="Times New Roman" w:hAnsi="Times New Roman"/>
          <w:b/>
          <w:bCs/>
          <w:sz w:val="18"/>
          <w:szCs w:val="18"/>
        </w:rPr>
        <w:t xml:space="preserve">, </w:t>
      </w:r>
    </w:p>
    <w:p w14:paraId="5CC93AAF" w14:textId="4C4750F0" w:rsidR="00D84390" w:rsidRPr="008B1465" w:rsidRDefault="00814BC3" w:rsidP="00FF5E1B">
      <w:pPr>
        <w:pStyle w:val="NoSpacing"/>
        <w:rPr>
          <w:rFonts w:ascii="Times New Roman" w:hAnsi="Times New Roman"/>
          <w:b/>
          <w:bCs/>
          <w:sz w:val="18"/>
          <w:szCs w:val="18"/>
        </w:rPr>
      </w:pPr>
      <w:r>
        <w:rPr>
          <w:rFonts w:ascii="Times New Roman" w:hAnsi="Times New Roman"/>
          <w:b/>
          <w:bCs/>
          <w:sz w:val="18"/>
          <w:szCs w:val="18"/>
        </w:rPr>
        <w:t>(</w:t>
      </w:r>
      <m:oMath>
        <m:acc>
          <m:accPr>
            <m:chr m:val="̅"/>
            <m:ctrlPr>
              <w:rPr>
                <w:rFonts w:ascii="Cambria Math" w:eastAsia="Calibri" w:hAnsi="Cambria Math"/>
                <w:b/>
                <w:bCs/>
                <w:i/>
                <w:sz w:val="24"/>
                <w:szCs w:val="24"/>
              </w:rPr>
            </m:ctrlPr>
          </m:accPr>
          <m:e>
            <m:r>
              <m:rPr>
                <m:sty m:val="bi"/>
              </m:rPr>
              <w:rPr>
                <w:rFonts w:ascii="Cambria Math" w:eastAsia="Calibri" w:hAnsi="Cambria Math"/>
                <w:sz w:val="24"/>
                <w:szCs w:val="24"/>
              </w:rPr>
              <m:t>x</m:t>
            </m:r>
          </m:e>
        </m:acc>
      </m:oMath>
      <w:r>
        <w:rPr>
          <w:rFonts w:ascii="Times New Roman" w:hAnsi="Times New Roman"/>
          <w:b/>
          <w:bCs/>
          <w:sz w:val="18"/>
          <w:szCs w:val="18"/>
        </w:rPr>
        <w:t>)</w:t>
      </w:r>
      <w:r w:rsidR="007C58EE">
        <w:rPr>
          <w:rFonts w:ascii="Times New Roman" w:hAnsi="Times New Roman"/>
          <w:b/>
          <w:bCs/>
          <w:sz w:val="18"/>
          <w:szCs w:val="18"/>
        </w:rPr>
        <w:t xml:space="preserve"> = </w:t>
      </w:r>
      <w:r w:rsidR="002118CF">
        <w:rPr>
          <w:rFonts w:ascii="Times New Roman" w:hAnsi="Times New Roman"/>
          <w:b/>
          <w:bCs/>
          <w:sz w:val="18"/>
          <w:szCs w:val="18"/>
        </w:rPr>
        <w:t>Mean</w:t>
      </w:r>
      <w:r w:rsidR="007C58EE">
        <w:rPr>
          <w:rFonts w:ascii="Times New Roman" w:hAnsi="Times New Roman"/>
          <w:b/>
          <w:bCs/>
          <w:sz w:val="18"/>
          <w:szCs w:val="18"/>
        </w:rPr>
        <w:t>,</w:t>
      </w:r>
      <w:r w:rsidR="00E91AA1">
        <w:rPr>
          <w:rFonts w:ascii="Times New Roman" w:hAnsi="Times New Roman"/>
          <w:b/>
          <w:bCs/>
          <w:sz w:val="18"/>
          <w:szCs w:val="18"/>
        </w:rPr>
        <w:t xml:space="preserve"> and </w:t>
      </w:r>
      <w:r w:rsidR="00BA123C">
        <w:rPr>
          <w:rFonts w:ascii="Times New Roman" w:hAnsi="Times New Roman"/>
          <w:b/>
          <w:bCs/>
          <w:sz w:val="18"/>
          <w:szCs w:val="18"/>
        </w:rPr>
        <w:t>STD= Standard Deviation.</w:t>
      </w:r>
    </w:p>
    <w:p w14:paraId="2F71446A" w14:textId="77777777" w:rsidR="00041EFB" w:rsidRPr="008B1465" w:rsidRDefault="00041EFB" w:rsidP="00FF5E1B">
      <w:pPr>
        <w:pStyle w:val="NoSpacing"/>
        <w:rPr>
          <w:rFonts w:asciiTheme="minorHAnsi" w:hAnsiTheme="minorHAnsi" w:cstheme="minorHAnsi"/>
          <w:b/>
          <w:bCs/>
          <w:sz w:val="18"/>
          <w:szCs w:val="18"/>
        </w:rPr>
      </w:pPr>
    </w:p>
    <w:p w14:paraId="5281269D" w14:textId="77777777" w:rsidR="00BE0255" w:rsidRPr="008B1465" w:rsidRDefault="00BE0255" w:rsidP="00BE0255">
      <w:pPr>
        <w:spacing w:line="360" w:lineRule="auto"/>
        <w:jc w:val="both"/>
        <w:rPr>
          <w:rFonts w:ascii="Times New Roman" w:hAnsi="Times New Roman"/>
          <w:sz w:val="24"/>
          <w:szCs w:val="24"/>
        </w:rPr>
      </w:pPr>
      <w:r w:rsidRPr="008B1465">
        <w:rPr>
          <w:rFonts w:ascii="Times New Roman" w:hAnsi="Times New Roman"/>
          <w:sz w:val="24"/>
          <w:szCs w:val="24"/>
        </w:rPr>
        <w:t>This survey aimed to gather feedback on various aspects of the financial misconduct among federal universities in Southwest, Nigeria. The survey participants were asked to rate their agreement or disagreement with specific statements using a five-point Likert’s scale ranging from "Strongly disagree" to "Strongly agree." The survey results are presented in a tabular format, providing counts and percentages for each response category.</w:t>
      </w:r>
      <w:r w:rsidRPr="008B1465">
        <w:rPr>
          <w:rFonts w:ascii="Times New Roman" w:eastAsia="SimSun" w:hAnsi="Times New Roman"/>
          <w:sz w:val="24"/>
          <w:szCs w:val="24"/>
        </w:rPr>
        <w:t xml:space="preserve"> Table 4.2</w:t>
      </w:r>
      <w:r w:rsidRPr="008B1465">
        <w:rPr>
          <w:rFonts w:ascii="Times New Roman" w:eastAsia="SimSun" w:hAnsi="Times New Roman"/>
          <w:b/>
          <w:bCs/>
          <w:sz w:val="24"/>
          <w:szCs w:val="24"/>
        </w:rPr>
        <w:t xml:space="preserve"> </w:t>
      </w:r>
      <w:r w:rsidRPr="008B1465">
        <w:rPr>
          <w:rFonts w:ascii="Times New Roman" w:eastAsia="SimSun" w:hAnsi="Times New Roman"/>
          <w:sz w:val="24"/>
          <w:szCs w:val="24"/>
        </w:rPr>
        <w:t>depicts the responses of the respondents regarding the investigation of fraud. In the first item, which explores the impact of computer forensic accounting on investigators' skills and abilities in managing fraud-related cases, a majority of respondents (55.5 per cent) strongly agreed that it improves investigators' skills, followed by (39.6 per cent) who agreed with the statement. A smaller percentage either disagreed (1.6 per cent), strongly disagreed (3.3 per cent), or are indifferent (0.0 per cent) on this matter. The second item focuses on the effectiveness of digital forensic accounting in combating cyber fraud and other cybercrime-related cases at the university.</w:t>
      </w:r>
    </w:p>
    <w:p w14:paraId="2DC18156" w14:textId="77777777" w:rsidR="007871B8" w:rsidRDefault="00F036CB" w:rsidP="00F036CB">
      <w:pPr>
        <w:spacing w:line="360" w:lineRule="auto"/>
        <w:jc w:val="both"/>
        <w:rPr>
          <w:rFonts w:ascii="Times New Roman" w:hAnsi="Times New Roman"/>
          <w:sz w:val="24"/>
          <w:szCs w:val="24"/>
        </w:rPr>
      </w:pPr>
      <w:r w:rsidRPr="008B1465">
        <w:rPr>
          <w:rFonts w:ascii="Times New Roman" w:eastAsia="SimSun" w:hAnsi="Times New Roman"/>
          <w:sz w:val="24"/>
          <w:szCs w:val="24"/>
        </w:rPr>
        <w:t>The largest percentage of respondents (46.2 per cent) agreed that it helps in this regard, while (42.9 per cent) strongly agreed. A smaller percentage of respondents disagreed (2.7 per cent) or strongly disagreed (2.2 per cent), and some express indifference (6.0 per cent).</w:t>
      </w:r>
      <w:r w:rsidRPr="008B1465">
        <w:rPr>
          <w:rFonts w:ascii="Times New Roman" w:hAnsi="Times New Roman"/>
          <w:sz w:val="24"/>
          <w:szCs w:val="24"/>
        </w:rPr>
        <w:t xml:space="preserve"> </w:t>
      </w:r>
      <w:r w:rsidRPr="006714D2">
        <w:rPr>
          <w:rFonts w:ascii="Times New Roman" w:hAnsi="Times New Roman"/>
          <w:sz w:val="24"/>
          <w:szCs w:val="24"/>
        </w:rPr>
        <w:t>On average, respondents believe that digital forensic accounting helps forensic accounting experts combat cyber fraud and other cybercrime-related cases at their Federal University in Nigeria.</w:t>
      </w:r>
      <w:r>
        <w:rPr>
          <w:rFonts w:ascii="Times New Roman" w:hAnsi="Times New Roman"/>
          <w:sz w:val="24"/>
          <w:szCs w:val="24"/>
        </w:rPr>
        <w:t xml:space="preserve"> </w:t>
      </w:r>
    </w:p>
    <w:p w14:paraId="4DCD0BF0" w14:textId="77777777" w:rsidR="00FC7274" w:rsidRDefault="00F036CB" w:rsidP="00BE0255">
      <w:pPr>
        <w:spacing w:line="360" w:lineRule="auto"/>
        <w:jc w:val="both"/>
        <w:rPr>
          <w:rFonts w:ascii="Times New Roman" w:eastAsia="SimSun" w:hAnsi="Times New Roman"/>
          <w:sz w:val="24"/>
          <w:szCs w:val="24"/>
        </w:rPr>
      </w:pPr>
      <w:r w:rsidRPr="006714D2">
        <w:rPr>
          <w:rFonts w:ascii="Times New Roman" w:hAnsi="Times New Roman"/>
          <w:sz w:val="24"/>
          <w:szCs w:val="24"/>
        </w:rPr>
        <w:t>The standard deviation of 0.805 suggests that respondents' opinions are relatively consistent, with most leaning towards agreement on the effectiveness of digital forensic accounting in combating cyber fraud.</w:t>
      </w:r>
      <w:r>
        <w:rPr>
          <w:rFonts w:ascii="Times New Roman" w:hAnsi="Times New Roman"/>
          <w:sz w:val="24"/>
          <w:szCs w:val="24"/>
        </w:rPr>
        <w:t xml:space="preserve"> </w:t>
      </w:r>
      <w:r w:rsidRPr="008B1465">
        <w:rPr>
          <w:rFonts w:ascii="Times New Roman" w:eastAsia="SimSun" w:hAnsi="Times New Roman"/>
          <w:sz w:val="24"/>
          <w:szCs w:val="24"/>
        </w:rPr>
        <w:t>The third item assesses the impact of acquired accounting digital investigation knowledge on the ability of investigators to obtain concrete evidence in fraud-related cases. The majority (56.0 per cent) agreed that it has improved their skills and ability, while (36.3 per cent) strongly agreed. A smaller percentage disagreed (barriers faced by investigators due to a lack of sound knowledge of forensic accounting.</w:t>
      </w:r>
      <w:r>
        <w:rPr>
          <w:rFonts w:ascii="Times New Roman" w:eastAsia="SimSun" w:hAnsi="Times New Roman"/>
          <w:sz w:val="24"/>
          <w:szCs w:val="24"/>
        </w:rPr>
        <w:t xml:space="preserve"> </w:t>
      </w:r>
      <w:r w:rsidRPr="00334E33">
        <w:rPr>
          <w:rFonts w:ascii="Times New Roman" w:eastAsia="SimSun" w:hAnsi="Times New Roman"/>
          <w:sz w:val="24"/>
          <w:szCs w:val="24"/>
        </w:rPr>
        <w:t>On average, respondents think that the knowledge of accounting digital investigation acquired has improved investigators' skills and ability to obtain concrete evidence in fraud-related cases.</w:t>
      </w:r>
      <w:r>
        <w:rPr>
          <w:rFonts w:ascii="Times New Roman" w:eastAsia="SimSun" w:hAnsi="Times New Roman"/>
          <w:sz w:val="24"/>
          <w:szCs w:val="24"/>
        </w:rPr>
        <w:t xml:space="preserve"> </w:t>
      </w:r>
      <w:r w:rsidRPr="00334E33">
        <w:rPr>
          <w:rFonts w:ascii="Times New Roman" w:eastAsia="SimSun" w:hAnsi="Times New Roman"/>
          <w:sz w:val="24"/>
          <w:szCs w:val="24"/>
        </w:rPr>
        <w:t>The standard deviation of 1.040 indicates some variability in responses, with a moderate level of dispersion. Some respondents strongly agree, while others may have a less strong agreement.</w:t>
      </w:r>
      <w:r w:rsidRPr="008B1465">
        <w:rPr>
          <w:rFonts w:ascii="Times New Roman" w:eastAsia="SimSun" w:hAnsi="Times New Roman"/>
          <w:sz w:val="24"/>
          <w:szCs w:val="24"/>
        </w:rPr>
        <w:t xml:space="preserve"> The results show that a significant portion of respondents (47.8 per cent) agree that the lack of sound knowledge hinders investigators from obtaining significant evidence against fraudsters. Additionally, (31.9 per cent) strongly agree, while smaller percentages disagree (4.9 per cent), strongly disagree (6.6 per cent), or are indifferent (8.8 per cent) on this issue. </w:t>
      </w:r>
      <w:r>
        <w:rPr>
          <w:rFonts w:ascii="Times New Roman" w:eastAsia="SimSun" w:hAnsi="Times New Roman"/>
          <w:sz w:val="24"/>
          <w:szCs w:val="24"/>
        </w:rPr>
        <w:t>The mean shows that the</w:t>
      </w:r>
      <w:r w:rsidRPr="00334E33">
        <w:rPr>
          <w:rFonts w:ascii="Times New Roman" w:eastAsia="SimSun" w:hAnsi="Times New Roman"/>
          <w:sz w:val="24"/>
          <w:szCs w:val="24"/>
        </w:rPr>
        <w:t xml:space="preserve"> respondents believe that a lack of sound knowledge of forensic accounting hinders investigators from obtaining significant evidence against fraudsters.</w:t>
      </w:r>
      <w:r>
        <w:rPr>
          <w:rFonts w:ascii="Times New Roman" w:eastAsia="SimSun" w:hAnsi="Times New Roman"/>
          <w:sz w:val="24"/>
          <w:szCs w:val="24"/>
        </w:rPr>
        <w:t xml:space="preserve"> </w:t>
      </w:r>
      <w:r w:rsidRPr="00334E33">
        <w:rPr>
          <w:rFonts w:ascii="Times New Roman" w:eastAsia="SimSun" w:hAnsi="Times New Roman"/>
          <w:sz w:val="24"/>
          <w:szCs w:val="24"/>
        </w:rPr>
        <w:t>The standard deviation of 1.094 suggests variability in responses, with some respondents strongly agreeing that knowledge is essential, while others may have a less strong agreement</w:t>
      </w:r>
      <w:r w:rsidR="007871B8">
        <w:rPr>
          <w:rFonts w:ascii="Times New Roman" w:eastAsia="SimSun" w:hAnsi="Times New Roman"/>
          <w:sz w:val="24"/>
          <w:szCs w:val="24"/>
        </w:rPr>
        <w:t xml:space="preserve">. </w:t>
      </w:r>
      <w:r w:rsidRPr="008B1465">
        <w:rPr>
          <w:rFonts w:ascii="Times New Roman" w:eastAsia="SimSun" w:hAnsi="Times New Roman"/>
          <w:sz w:val="24"/>
          <w:szCs w:val="24"/>
        </w:rPr>
        <w:t xml:space="preserve">The fifth item explores the perception of respondents regarding the effectiveness of a forensic accountant who also possesses psychology skills in obtaining evidence, presenting it, and prosecuting offenders. The results indicate that (45.1 per cent) agree that such a combination of skills is reliable in these tasks, while (28.6 per cent) strongly agree. On the other hand, (11.0 per cent) disagree, (2.7 per cent) strongly disagree, and (12.6 per cent) are indifferent. </w:t>
      </w:r>
      <w:r>
        <w:rPr>
          <w:rFonts w:ascii="Times New Roman" w:eastAsia="SimSun" w:hAnsi="Times New Roman"/>
          <w:sz w:val="24"/>
          <w:szCs w:val="24"/>
        </w:rPr>
        <w:t xml:space="preserve">The average result shows that </w:t>
      </w:r>
      <w:r w:rsidRPr="009F3BBA">
        <w:rPr>
          <w:rFonts w:ascii="Times New Roman" w:eastAsia="SimSun" w:hAnsi="Times New Roman"/>
          <w:sz w:val="24"/>
          <w:szCs w:val="24"/>
        </w:rPr>
        <w:t>respondents strongly agree that a forensic accountant who also doubles as a psychologist can reliably obtain evidence, present evidence, and prosecute offenders.</w:t>
      </w:r>
      <w:r>
        <w:rPr>
          <w:rFonts w:ascii="Times New Roman" w:eastAsia="SimSun" w:hAnsi="Times New Roman"/>
          <w:sz w:val="24"/>
          <w:szCs w:val="24"/>
        </w:rPr>
        <w:t xml:space="preserve"> </w:t>
      </w:r>
      <w:r w:rsidRPr="009F3BBA">
        <w:rPr>
          <w:rFonts w:ascii="Times New Roman" w:eastAsia="SimSun" w:hAnsi="Times New Roman"/>
          <w:sz w:val="24"/>
          <w:szCs w:val="24"/>
        </w:rPr>
        <w:t>The standard deviation of 0.719 indicates relatively low variability in responses, with most respondents strongly agreeing on this statement.</w:t>
      </w:r>
      <w:r>
        <w:rPr>
          <w:rFonts w:ascii="Times New Roman" w:eastAsia="SimSun" w:hAnsi="Times New Roman"/>
          <w:sz w:val="24"/>
          <w:szCs w:val="24"/>
        </w:rPr>
        <w:t xml:space="preserve"> </w:t>
      </w:r>
    </w:p>
    <w:p w14:paraId="52F93708" w14:textId="6791573F" w:rsidR="00F036CB" w:rsidRPr="008B1465" w:rsidRDefault="00F036CB" w:rsidP="00BE0255">
      <w:pPr>
        <w:spacing w:line="360" w:lineRule="auto"/>
        <w:jc w:val="both"/>
        <w:rPr>
          <w:rFonts w:ascii="Times New Roman" w:eastAsia="SimSun" w:hAnsi="Times New Roman"/>
          <w:sz w:val="24"/>
          <w:szCs w:val="24"/>
        </w:rPr>
      </w:pPr>
      <w:r w:rsidRPr="008B1465">
        <w:rPr>
          <w:rFonts w:ascii="Times New Roman" w:eastAsia="SimSun" w:hAnsi="Times New Roman"/>
          <w:sz w:val="24"/>
          <w:szCs w:val="24"/>
        </w:rPr>
        <w:t>The sixth item investigates the involvement of university forensic accountants in employee-related fraud investigations. The results revealed that a considerable portion of respondents (36.3 per cent) agree that the university forensic accountants are involved in such investigations, while (28.0 per cent) strongly agree. Conversely, (14.3 per cent) disagree, (3.8 per cent) strongly disagree, and (17.6 per cent) express indifference on this matter.</w:t>
      </w:r>
      <w:r>
        <w:rPr>
          <w:rFonts w:ascii="Times New Roman" w:eastAsia="SimSun" w:hAnsi="Times New Roman"/>
          <w:sz w:val="24"/>
          <w:szCs w:val="24"/>
        </w:rPr>
        <w:t xml:space="preserve"> </w:t>
      </w:r>
      <w:r w:rsidRPr="00306B5D">
        <w:rPr>
          <w:rFonts w:ascii="Times New Roman" w:eastAsia="SimSun" w:hAnsi="Times New Roman"/>
          <w:sz w:val="24"/>
          <w:szCs w:val="24"/>
        </w:rPr>
        <w:t>On average, respondents strongly agree that when fraud involves employees, their university's forensic accountants are involved in the investigation.</w:t>
      </w:r>
      <w:r>
        <w:rPr>
          <w:rFonts w:ascii="Times New Roman" w:eastAsia="SimSun" w:hAnsi="Times New Roman"/>
          <w:sz w:val="24"/>
          <w:szCs w:val="24"/>
        </w:rPr>
        <w:t xml:space="preserve"> </w:t>
      </w:r>
      <w:r w:rsidRPr="00306B5D">
        <w:rPr>
          <w:rFonts w:ascii="Times New Roman" w:eastAsia="SimSun" w:hAnsi="Times New Roman"/>
          <w:sz w:val="24"/>
          <w:szCs w:val="24"/>
        </w:rPr>
        <w:t>The standard deviation of 0.859 suggests some variability in responses, with most respondents strongly agreeing but with some variation in the strength of agreement.</w:t>
      </w:r>
    </w:p>
    <w:p w14:paraId="0A135593" w14:textId="1FA7F4F3" w:rsidR="00CB377A" w:rsidRPr="00BC2B65" w:rsidRDefault="00F036CB" w:rsidP="00BC2B65">
      <w:pPr>
        <w:autoSpaceDE w:val="0"/>
        <w:autoSpaceDN w:val="0"/>
        <w:adjustRightInd w:val="0"/>
        <w:spacing w:before="0" w:beforeAutospacing="0" w:after="0" w:line="360" w:lineRule="auto"/>
        <w:jc w:val="both"/>
        <w:rPr>
          <w:rFonts w:ascii="Times New Roman" w:eastAsia="SimSun" w:hAnsi="Times New Roman"/>
          <w:sz w:val="24"/>
          <w:szCs w:val="24"/>
        </w:rPr>
      </w:pPr>
      <w:r w:rsidRPr="008B1465">
        <w:rPr>
          <w:rFonts w:ascii="Times New Roman" w:eastAsia="SimSun" w:hAnsi="Times New Roman"/>
          <w:sz w:val="24"/>
          <w:szCs w:val="24"/>
        </w:rPr>
        <w:t>Lastly, the seventh item repeats the statement about the reliability of a forensic accountant with psychology skills in obtaining evidence, presenting it, and prosecuting offenders. The results show that the majority of respondents (54.4 per cent) agree with this statement, while (28.0 per cent) are indifferent. Smaller percentages disagree (6.0 per cent), strongly disagree (1.6 per cent), or strongly agree (9.9 per cent).</w:t>
      </w:r>
      <w:r w:rsidRPr="00306B5D">
        <w:t xml:space="preserve"> </w:t>
      </w:r>
      <w:r w:rsidRPr="00306B5D">
        <w:rPr>
          <w:rFonts w:ascii="Times New Roman" w:eastAsia="SimSun" w:hAnsi="Times New Roman"/>
          <w:sz w:val="24"/>
          <w:szCs w:val="24"/>
        </w:rPr>
        <w:t>On average, respondents strongly agree that a forensic accountant who also doubles as a psychologist can reliably obtain evidence, present evidence, and prosecute offenders.</w:t>
      </w:r>
      <w:r>
        <w:rPr>
          <w:rFonts w:ascii="Times New Roman" w:eastAsia="SimSun" w:hAnsi="Times New Roman"/>
          <w:sz w:val="24"/>
          <w:szCs w:val="24"/>
        </w:rPr>
        <w:t xml:space="preserve"> </w:t>
      </w:r>
      <w:r w:rsidRPr="00337A55">
        <w:rPr>
          <w:rFonts w:ascii="Times New Roman" w:eastAsia="SimSun" w:hAnsi="Times New Roman"/>
          <w:sz w:val="24"/>
          <w:szCs w:val="24"/>
        </w:rPr>
        <w:t>The</w:t>
      </w:r>
      <w:r w:rsidRPr="00306B5D">
        <w:rPr>
          <w:rFonts w:ascii="Times New Roman" w:eastAsia="SimSun" w:hAnsi="Times New Roman"/>
          <w:sz w:val="24"/>
          <w:szCs w:val="24"/>
        </w:rPr>
        <w:t xml:space="preserve"> standard deviation of 0.861 indicates some variability in responses, with most respondents strongly agreeing but with some variation in the strength of agreement.</w:t>
      </w:r>
      <w:r w:rsidRPr="008B1465">
        <w:rPr>
          <w:rFonts w:ascii="Times New Roman" w:eastAsia="SimSun" w:hAnsi="Times New Roman"/>
          <w:sz w:val="24"/>
          <w:szCs w:val="24"/>
        </w:rPr>
        <w:t xml:space="preserve"> The survey results indicate a generally positive perception of computer and digital forensic accounting's impact on investigators' skills and abilities in managing fraud-related cases. Respondents also recognize the importance of knowledge and expertise in forensic accounting for obtaining concrete evidence against fraudsters. The inclusion of psychology skills in forensic accounting is met with mixed opinions, and the involvement of university forensic accountants in employee-related fraud investigations is acknowledged by a significant portion of respondents</w:t>
      </w:r>
    </w:p>
    <w:p w14:paraId="369D5693" w14:textId="75122A3B" w:rsidR="00DE0B41" w:rsidRPr="00DE0B41" w:rsidRDefault="00DE0B41" w:rsidP="00FB350F">
      <w:pPr>
        <w:pStyle w:val="Caption"/>
        <w:keepNext/>
        <w:jc w:val="center"/>
        <w:rPr>
          <w:rFonts w:ascii="Times New Roman" w:hAnsi="Times New Roman"/>
          <w:i w:val="0"/>
          <w:iCs w:val="0"/>
          <w:color w:val="auto"/>
          <w:sz w:val="24"/>
          <w:szCs w:val="24"/>
        </w:rPr>
      </w:pPr>
      <w:bookmarkStart w:id="113" w:name="_Toc145952336"/>
      <w:r w:rsidRPr="00DE0B41">
        <w:rPr>
          <w:rFonts w:ascii="Times New Roman" w:hAnsi="Times New Roman"/>
          <w:i w:val="0"/>
          <w:iCs w:val="0"/>
          <w:color w:val="auto"/>
          <w:sz w:val="24"/>
          <w:szCs w:val="24"/>
        </w:rPr>
        <w:t xml:space="preserve">Table </w:t>
      </w:r>
      <w:r w:rsidR="000F6857">
        <w:rPr>
          <w:rFonts w:ascii="Times New Roman" w:hAnsi="Times New Roman"/>
          <w:i w:val="0"/>
          <w:iCs w:val="0"/>
          <w:color w:val="auto"/>
          <w:sz w:val="24"/>
          <w:szCs w:val="24"/>
        </w:rPr>
        <w:fldChar w:fldCharType="begin"/>
      </w:r>
      <w:r w:rsidR="000F6857">
        <w:rPr>
          <w:rFonts w:ascii="Times New Roman" w:hAnsi="Times New Roman"/>
          <w:i w:val="0"/>
          <w:iCs w:val="0"/>
          <w:color w:val="auto"/>
          <w:sz w:val="24"/>
          <w:szCs w:val="24"/>
        </w:rPr>
        <w:instrText xml:space="preserve"> STYLEREF 1 \s </w:instrText>
      </w:r>
      <w:r w:rsidR="000F6857">
        <w:rPr>
          <w:rFonts w:ascii="Times New Roman" w:hAnsi="Times New Roman"/>
          <w:i w:val="0"/>
          <w:iCs w:val="0"/>
          <w:color w:val="auto"/>
          <w:sz w:val="24"/>
          <w:szCs w:val="24"/>
        </w:rPr>
        <w:fldChar w:fldCharType="separate"/>
      </w:r>
      <w:r w:rsidR="007B5846">
        <w:rPr>
          <w:rFonts w:ascii="Times New Roman" w:hAnsi="Times New Roman"/>
          <w:i w:val="0"/>
          <w:iCs w:val="0"/>
          <w:noProof/>
          <w:color w:val="auto"/>
          <w:sz w:val="24"/>
          <w:szCs w:val="24"/>
        </w:rPr>
        <w:t>4</w:t>
      </w:r>
      <w:r w:rsidR="000F6857">
        <w:rPr>
          <w:rFonts w:ascii="Times New Roman" w:hAnsi="Times New Roman"/>
          <w:i w:val="0"/>
          <w:iCs w:val="0"/>
          <w:color w:val="auto"/>
          <w:sz w:val="24"/>
          <w:szCs w:val="24"/>
        </w:rPr>
        <w:fldChar w:fldCharType="end"/>
      </w:r>
      <w:r w:rsidR="000F6857">
        <w:rPr>
          <w:rFonts w:ascii="Times New Roman" w:hAnsi="Times New Roman"/>
          <w:i w:val="0"/>
          <w:iCs w:val="0"/>
          <w:color w:val="auto"/>
          <w:sz w:val="24"/>
          <w:szCs w:val="24"/>
        </w:rPr>
        <w:t>.</w:t>
      </w:r>
      <w:r w:rsidR="000F6857">
        <w:rPr>
          <w:rFonts w:ascii="Times New Roman" w:hAnsi="Times New Roman"/>
          <w:i w:val="0"/>
          <w:iCs w:val="0"/>
          <w:color w:val="auto"/>
          <w:sz w:val="24"/>
          <w:szCs w:val="24"/>
        </w:rPr>
        <w:fldChar w:fldCharType="begin"/>
      </w:r>
      <w:r w:rsidR="000F6857">
        <w:rPr>
          <w:rFonts w:ascii="Times New Roman" w:hAnsi="Times New Roman"/>
          <w:i w:val="0"/>
          <w:iCs w:val="0"/>
          <w:color w:val="auto"/>
          <w:sz w:val="24"/>
          <w:szCs w:val="24"/>
        </w:rPr>
        <w:instrText xml:space="preserve"> SEQ Table \* ARABIC \s 1 </w:instrText>
      </w:r>
      <w:r w:rsidR="000F6857">
        <w:rPr>
          <w:rFonts w:ascii="Times New Roman" w:hAnsi="Times New Roman"/>
          <w:i w:val="0"/>
          <w:iCs w:val="0"/>
          <w:color w:val="auto"/>
          <w:sz w:val="24"/>
          <w:szCs w:val="24"/>
        </w:rPr>
        <w:fldChar w:fldCharType="separate"/>
      </w:r>
      <w:r w:rsidR="007B5846">
        <w:rPr>
          <w:rFonts w:ascii="Times New Roman" w:hAnsi="Times New Roman"/>
          <w:i w:val="0"/>
          <w:iCs w:val="0"/>
          <w:noProof/>
          <w:color w:val="auto"/>
          <w:sz w:val="24"/>
          <w:szCs w:val="24"/>
        </w:rPr>
        <w:t>3</w:t>
      </w:r>
      <w:r w:rsidR="000F6857">
        <w:rPr>
          <w:rFonts w:ascii="Times New Roman" w:hAnsi="Times New Roman"/>
          <w:i w:val="0"/>
          <w:iCs w:val="0"/>
          <w:color w:val="auto"/>
          <w:sz w:val="24"/>
          <w:szCs w:val="24"/>
        </w:rPr>
        <w:fldChar w:fldCharType="end"/>
      </w:r>
      <w:r w:rsidRPr="00DE0B41">
        <w:rPr>
          <w:rFonts w:ascii="Times New Roman" w:hAnsi="Times New Roman"/>
          <w:i w:val="0"/>
          <w:iCs w:val="0"/>
          <w:color w:val="auto"/>
          <w:sz w:val="24"/>
          <w:szCs w:val="24"/>
        </w:rPr>
        <w:t>: Descriptive Analysis of Respondents’ Information on Litigation Services</w:t>
      </w:r>
      <w:bookmarkEnd w:id="113"/>
    </w:p>
    <w:tbl>
      <w:tblPr>
        <w:tblW w:w="10170" w:type="dxa"/>
        <w:jc w:val="center"/>
        <w:tblLayout w:type="fixed"/>
        <w:tblCellMar>
          <w:left w:w="0" w:type="dxa"/>
          <w:right w:w="0" w:type="dxa"/>
        </w:tblCellMar>
        <w:tblLook w:val="0000" w:firstRow="0" w:lastRow="0" w:firstColumn="0" w:lastColumn="0" w:noHBand="0" w:noVBand="0"/>
      </w:tblPr>
      <w:tblGrid>
        <w:gridCol w:w="355"/>
        <w:gridCol w:w="2915"/>
        <w:gridCol w:w="318"/>
        <w:gridCol w:w="514"/>
        <w:gridCol w:w="318"/>
        <w:gridCol w:w="621"/>
        <w:gridCol w:w="424"/>
        <w:gridCol w:w="621"/>
        <w:gridCol w:w="456"/>
        <w:gridCol w:w="653"/>
        <w:gridCol w:w="360"/>
        <w:gridCol w:w="635"/>
        <w:gridCol w:w="990"/>
        <w:gridCol w:w="990"/>
      </w:tblGrid>
      <w:tr w:rsidR="00DB6337" w:rsidRPr="008B1465" w14:paraId="50056657" w14:textId="42FFE7D6" w:rsidTr="00AE5DE4">
        <w:trPr>
          <w:cantSplit/>
          <w:trHeight w:val="260"/>
          <w:jc w:val="center"/>
        </w:trPr>
        <w:tc>
          <w:tcPr>
            <w:tcW w:w="355" w:type="dxa"/>
            <w:tcBorders>
              <w:top w:val="single" w:sz="24" w:space="0" w:color="auto"/>
              <w:bottom w:val="single" w:sz="24" w:space="0" w:color="auto"/>
            </w:tcBorders>
            <w:shd w:val="clear" w:color="auto" w:fill="auto"/>
            <w:vAlign w:val="center"/>
          </w:tcPr>
          <w:p w14:paraId="4F3B629E" w14:textId="77777777" w:rsidR="00DB6337" w:rsidRPr="008B1465" w:rsidRDefault="00DB6337" w:rsidP="00DB6337">
            <w:pPr>
              <w:autoSpaceDE w:val="0"/>
              <w:autoSpaceDN w:val="0"/>
              <w:adjustRightInd w:val="0"/>
              <w:spacing w:after="0" w:line="240" w:lineRule="auto"/>
              <w:rPr>
                <w:rFonts w:ascii="Times New Roman" w:hAnsi="Times New Roman"/>
                <w:b/>
                <w:bCs/>
              </w:rPr>
            </w:pPr>
            <w:r w:rsidRPr="008B1465">
              <w:rPr>
                <w:rFonts w:ascii="Times New Roman" w:hAnsi="Times New Roman"/>
                <w:b/>
                <w:bCs/>
              </w:rPr>
              <w:t>S/N</w:t>
            </w:r>
          </w:p>
        </w:tc>
        <w:tc>
          <w:tcPr>
            <w:tcW w:w="2915" w:type="dxa"/>
            <w:tcBorders>
              <w:top w:val="single" w:sz="24" w:space="0" w:color="auto"/>
              <w:bottom w:val="single" w:sz="24" w:space="0" w:color="auto"/>
            </w:tcBorders>
            <w:shd w:val="clear" w:color="auto" w:fill="auto"/>
            <w:vAlign w:val="center"/>
          </w:tcPr>
          <w:p w14:paraId="34432895" w14:textId="77777777" w:rsidR="00DB6337" w:rsidRPr="008B1465" w:rsidRDefault="00DB6337" w:rsidP="00DB6337">
            <w:pPr>
              <w:autoSpaceDE w:val="0"/>
              <w:autoSpaceDN w:val="0"/>
              <w:adjustRightInd w:val="0"/>
              <w:spacing w:after="0" w:line="240" w:lineRule="auto"/>
              <w:jc w:val="center"/>
              <w:rPr>
                <w:rFonts w:ascii="Times New Roman" w:hAnsi="Times New Roman"/>
                <w:b/>
                <w:bCs/>
              </w:rPr>
            </w:pPr>
            <w:r w:rsidRPr="008B1465">
              <w:rPr>
                <w:rFonts w:ascii="Times New Roman" w:hAnsi="Times New Roman"/>
                <w:b/>
                <w:bCs/>
              </w:rPr>
              <w:t>Items</w:t>
            </w:r>
          </w:p>
        </w:tc>
        <w:tc>
          <w:tcPr>
            <w:tcW w:w="832" w:type="dxa"/>
            <w:gridSpan w:val="2"/>
            <w:tcBorders>
              <w:top w:val="single" w:sz="24" w:space="0" w:color="auto"/>
              <w:bottom w:val="single" w:sz="24" w:space="0" w:color="auto"/>
            </w:tcBorders>
            <w:shd w:val="clear" w:color="auto" w:fill="auto"/>
            <w:vAlign w:val="center"/>
          </w:tcPr>
          <w:p w14:paraId="0F78A629" w14:textId="77777777" w:rsidR="00DB6337" w:rsidRPr="008B1465" w:rsidRDefault="00DB6337" w:rsidP="00DB6337">
            <w:pPr>
              <w:autoSpaceDE w:val="0"/>
              <w:autoSpaceDN w:val="0"/>
              <w:adjustRightInd w:val="0"/>
              <w:spacing w:after="0" w:line="320" w:lineRule="atLeast"/>
              <w:ind w:right="60"/>
              <w:rPr>
                <w:rFonts w:ascii="Times New Roman" w:hAnsi="Times New Roman"/>
                <w:b/>
                <w:bCs/>
              </w:rPr>
            </w:pPr>
            <w:r w:rsidRPr="008B1465">
              <w:rPr>
                <w:rFonts w:ascii="Times New Roman" w:hAnsi="Times New Roman"/>
                <w:b/>
                <w:bCs/>
              </w:rPr>
              <w:t xml:space="preserve">SD </w:t>
            </w:r>
            <w:r w:rsidRPr="008B1465">
              <w:rPr>
                <w:rFonts w:ascii="Times New Roman" w:eastAsia="Calibri" w:hAnsi="Times New Roman"/>
                <w:b/>
                <w:bCs/>
              </w:rPr>
              <w:t>(%)</w:t>
            </w:r>
          </w:p>
        </w:tc>
        <w:tc>
          <w:tcPr>
            <w:tcW w:w="939" w:type="dxa"/>
            <w:gridSpan w:val="2"/>
            <w:tcBorders>
              <w:top w:val="single" w:sz="24" w:space="0" w:color="auto"/>
              <w:bottom w:val="single" w:sz="24" w:space="0" w:color="auto"/>
            </w:tcBorders>
            <w:shd w:val="clear" w:color="auto" w:fill="auto"/>
            <w:vAlign w:val="center"/>
          </w:tcPr>
          <w:p w14:paraId="228B380E" w14:textId="3D558980" w:rsidR="00DB6337" w:rsidRPr="008B1465" w:rsidRDefault="00DB6337" w:rsidP="00DB6337">
            <w:pPr>
              <w:autoSpaceDE w:val="0"/>
              <w:autoSpaceDN w:val="0"/>
              <w:adjustRightInd w:val="0"/>
              <w:spacing w:after="0" w:line="320" w:lineRule="atLeast"/>
              <w:ind w:left="60" w:right="60"/>
              <w:rPr>
                <w:rFonts w:ascii="Times New Roman" w:hAnsi="Times New Roman"/>
                <w:b/>
                <w:bCs/>
              </w:rPr>
            </w:pPr>
            <w:r w:rsidRPr="008B1465">
              <w:rPr>
                <w:rFonts w:ascii="Times New Roman" w:hAnsi="Times New Roman"/>
                <w:b/>
                <w:bCs/>
              </w:rPr>
              <w:t xml:space="preserve"> D </w:t>
            </w:r>
            <w:r w:rsidRPr="008B1465">
              <w:rPr>
                <w:rFonts w:ascii="Times New Roman" w:eastAsia="Calibri" w:hAnsi="Times New Roman"/>
                <w:b/>
                <w:bCs/>
              </w:rPr>
              <w:t>(%)</w:t>
            </w:r>
          </w:p>
        </w:tc>
        <w:tc>
          <w:tcPr>
            <w:tcW w:w="1045" w:type="dxa"/>
            <w:gridSpan w:val="2"/>
            <w:tcBorders>
              <w:top w:val="single" w:sz="24" w:space="0" w:color="auto"/>
              <w:bottom w:val="single" w:sz="24" w:space="0" w:color="auto"/>
            </w:tcBorders>
            <w:shd w:val="clear" w:color="auto" w:fill="auto"/>
            <w:vAlign w:val="center"/>
          </w:tcPr>
          <w:p w14:paraId="51F23DA9" w14:textId="1588CBD8" w:rsidR="00DB6337" w:rsidRPr="008B1465" w:rsidRDefault="00DB6337" w:rsidP="00DB6337">
            <w:pPr>
              <w:autoSpaceDE w:val="0"/>
              <w:autoSpaceDN w:val="0"/>
              <w:adjustRightInd w:val="0"/>
              <w:spacing w:after="0" w:line="320" w:lineRule="atLeast"/>
              <w:ind w:left="60" w:right="60"/>
              <w:rPr>
                <w:rFonts w:ascii="Times New Roman" w:hAnsi="Times New Roman"/>
                <w:b/>
                <w:bCs/>
              </w:rPr>
            </w:pPr>
            <w:r w:rsidRPr="008B1465">
              <w:rPr>
                <w:rFonts w:ascii="Times New Roman" w:hAnsi="Times New Roman"/>
                <w:b/>
                <w:bCs/>
              </w:rPr>
              <w:t xml:space="preserve">  I  </w:t>
            </w:r>
            <w:r w:rsidRPr="008B1465">
              <w:rPr>
                <w:rFonts w:ascii="Times New Roman" w:eastAsia="Calibri" w:hAnsi="Times New Roman"/>
                <w:b/>
                <w:bCs/>
              </w:rPr>
              <w:t>(%)</w:t>
            </w:r>
            <w:r w:rsidRPr="008B1465">
              <w:rPr>
                <w:rFonts w:ascii="Times New Roman" w:hAnsi="Times New Roman"/>
                <w:b/>
                <w:bCs/>
              </w:rPr>
              <w:t xml:space="preserve">         </w:t>
            </w:r>
          </w:p>
        </w:tc>
        <w:tc>
          <w:tcPr>
            <w:tcW w:w="1109" w:type="dxa"/>
            <w:gridSpan w:val="2"/>
            <w:tcBorders>
              <w:top w:val="single" w:sz="24" w:space="0" w:color="auto"/>
              <w:bottom w:val="single" w:sz="24" w:space="0" w:color="auto"/>
            </w:tcBorders>
            <w:shd w:val="clear" w:color="auto" w:fill="auto"/>
            <w:vAlign w:val="center"/>
          </w:tcPr>
          <w:p w14:paraId="5786234F" w14:textId="18069B2E" w:rsidR="00DB6337" w:rsidRPr="008B1465" w:rsidRDefault="00DB6337" w:rsidP="00DB6337">
            <w:pPr>
              <w:autoSpaceDE w:val="0"/>
              <w:autoSpaceDN w:val="0"/>
              <w:adjustRightInd w:val="0"/>
              <w:spacing w:after="0" w:line="320" w:lineRule="atLeast"/>
              <w:ind w:right="60"/>
              <w:rPr>
                <w:rFonts w:ascii="Times New Roman" w:hAnsi="Times New Roman"/>
                <w:b/>
                <w:bCs/>
              </w:rPr>
            </w:pPr>
            <w:r w:rsidRPr="008B1465">
              <w:rPr>
                <w:rFonts w:ascii="Times New Roman" w:hAnsi="Times New Roman"/>
                <w:b/>
                <w:bCs/>
              </w:rPr>
              <w:t xml:space="preserve">  A  </w:t>
            </w:r>
            <w:r w:rsidRPr="008B1465">
              <w:rPr>
                <w:rFonts w:ascii="Times New Roman" w:eastAsia="Calibri" w:hAnsi="Times New Roman"/>
                <w:b/>
                <w:bCs/>
              </w:rPr>
              <w:t>(%)</w:t>
            </w:r>
          </w:p>
        </w:tc>
        <w:tc>
          <w:tcPr>
            <w:tcW w:w="995" w:type="dxa"/>
            <w:gridSpan w:val="2"/>
            <w:tcBorders>
              <w:top w:val="single" w:sz="24" w:space="0" w:color="auto"/>
              <w:bottom w:val="single" w:sz="24" w:space="0" w:color="auto"/>
            </w:tcBorders>
            <w:shd w:val="clear" w:color="auto" w:fill="auto"/>
            <w:vAlign w:val="center"/>
          </w:tcPr>
          <w:p w14:paraId="339E756E" w14:textId="033F2CCE" w:rsidR="00DB6337" w:rsidRPr="008B1465" w:rsidRDefault="00DB6337" w:rsidP="00DB6337">
            <w:pPr>
              <w:autoSpaceDE w:val="0"/>
              <w:autoSpaceDN w:val="0"/>
              <w:adjustRightInd w:val="0"/>
              <w:spacing w:after="0" w:line="320" w:lineRule="atLeast"/>
              <w:ind w:right="60"/>
              <w:rPr>
                <w:rFonts w:ascii="Times New Roman" w:hAnsi="Times New Roman"/>
                <w:b/>
                <w:bCs/>
              </w:rPr>
            </w:pPr>
            <w:r w:rsidRPr="008B1465">
              <w:rPr>
                <w:rFonts w:ascii="Times New Roman" w:hAnsi="Times New Roman"/>
                <w:b/>
                <w:bCs/>
              </w:rPr>
              <w:t xml:space="preserve"> S </w:t>
            </w:r>
            <w:r w:rsidRPr="008B1465">
              <w:rPr>
                <w:rFonts w:ascii="Times New Roman" w:eastAsia="Calibri" w:hAnsi="Times New Roman"/>
                <w:b/>
                <w:bCs/>
              </w:rPr>
              <w:t>(%)</w:t>
            </w:r>
            <w:r w:rsidRPr="008B1465">
              <w:rPr>
                <w:rFonts w:ascii="Times New Roman" w:hAnsi="Times New Roman"/>
                <w:b/>
                <w:bCs/>
              </w:rPr>
              <w:t xml:space="preserve">      </w:t>
            </w:r>
          </w:p>
        </w:tc>
        <w:tc>
          <w:tcPr>
            <w:tcW w:w="990" w:type="dxa"/>
            <w:tcBorders>
              <w:top w:val="single" w:sz="24" w:space="0" w:color="auto"/>
              <w:bottom w:val="single" w:sz="24" w:space="0" w:color="auto"/>
            </w:tcBorders>
            <w:shd w:val="clear" w:color="auto" w:fill="auto"/>
            <w:vAlign w:val="bottom"/>
          </w:tcPr>
          <w:p w14:paraId="1796921B" w14:textId="697FA70C" w:rsidR="00DB6337" w:rsidRPr="008B1465" w:rsidRDefault="00DB6337" w:rsidP="00DB6337">
            <w:pPr>
              <w:autoSpaceDE w:val="0"/>
              <w:autoSpaceDN w:val="0"/>
              <w:adjustRightInd w:val="0"/>
              <w:spacing w:after="0" w:line="320" w:lineRule="atLeast"/>
              <w:ind w:right="60"/>
              <w:jc w:val="center"/>
              <w:rPr>
                <w:rFonts w:ascii="Times New Roman" w:hAnsi="Times New Roman"/>
                <w:b/>
                <w:bCs/>
              </w:rPr>
            </w:pPr>
            <w:r w:rsidRPr="00AA1F8B">
              <w:rPr>
                <w:rFonts w:ascii="Times New Roman" w:eastAsia="Calibri" w:hAnsi="Times New Roman"/>
                <w:b/>
                <w:bCs/>
                <w:sz w:val="28"/>
                <w:szCs w:val="28"/>
              </w:rPr>
              <w:t xml:space="preserve">  </w:t>
            </w:r>
            <m:oMath>
              <m:acc>
                <m:accPr>
                  <m:chr m:val="̅"/>
                  <m:ctrlPr>
                    <w:rPr>
                      <w:rFonts w:ascii="Cambria Math" w:eastAsia="Calibri" w:hAnsi="Cambria Math"/>
                      <w:b/>
                      <w:bCs/>
                      <w:i/>
                      <w:sz w:val="28"/>
                      <w:szCs w:val="28"/>
                    </w:rPr>
                  </m:ctrlPr>
                </m:accPr>
                <m:e>
                  <m:r>
                    <m:rPr>
                      <m:sty m:val="bi"/>
                    </m:rPr>
                    <w:rPr>
                      <w:rFonts w:ascii="Cambria Math" w:eastAsia="Calibri" w:hAnsi="Cambria Math"/>
                      <w:sz w:val="28"/>
                      <w:szCs w:val="28"/>
                    </w:rPr>
                    <m:t>x</m:t>
                  </m:r>
                </m:e>
              </m:acc>
            </m:oMath>
          </w:p>
        </w:tc>
        <w:tc>
          <w:tcPr>
            <w:tcW w:w="990" w:type="dxa"/>
            <w:tcBorders>
              <w:top w:val="single" w:sz="24" w:space="0" w:color="auto"/>
              <w:bottom w:val="single" w:sz="24" w:space="0" w:color="auto"/>
            </w:tcBorders>
            <w:vAlign w:val="bottom"/>
          </w:tcPr>
          <w:p w14:paraId="6E6DD887" w14:textId="7C779B2A" w:rsidR="00DB6337" w:rsidRPr="008B1465" w:rsidRDefault="00DB6337" w:rsidP="00DB6337">
            <w:pPr>
              <w:autoSpaceDE w:val="0"/>
              <w:autoSpaceDN w:val="0"/>
              <w:adjustRightInd w:val="0"/>
              <w:spacing w:after="0" w:line="320" w:lineRule="atLeast"/>
              <w:ind w:right="60"/>
              <w:jc w:val="center"/>
              <w:rPr>
                <w:rFonts w:ascii="Times New Roman" w:hAnsi="Times New Roman"/>
                <w:b/>
                <w:bCs/>
              </w:rPr>
            </w:pPr>
            <w:r>
              <w:rPr>
                <w:rFonts w:ascii="Times New Roman" w:eastAsia="Calibri" w:hAnsi="Times New Roman"/>
                <w:b/>
                <w:bCs/>
              </w:rPr>
              <w:t>S</w:t>
            </w:r>
            <w:r w:rsidR="00B8744D">
              <w:rPr>
                <w:rFonts w:ascii="Times New Roman" w:eastAsia="Calibri" w:hAnsi="Times New Roman"/>
                <w:b/>
                <w:bCs/>
              </w:rPr>
              <w:t>T</w:t>
            </w:r>
            <w:r>
              <w:rPr>
                <w:rFonts w:ascii="Times New Roman" w:eastAsia="Calibri" w:hAnsi="Times New Roman"/>
                <w:b/>
                <w:bCs/>
              </w:rPr>
              <w:t xml:space="preserve">D </w:t>
            </w:r>
          </w:p>
        </w:tc>
      </w:tr>
      <w:tr w:rsidR="00F91742" w:rsidRPr="008B1465" w14:paraId="23474DB1" w14:textId="0718A071" w:rsidTr="006046EC">
        <w:trPr>
          <w:cantSplit/>
          <w:trHeight w:val="20"/>
          <w:jc w:val="center"/>
        </w:trPr>
        <w:tc>
          <w:tcPr>
            <w:tcW w:w="355" w:type="dxa"/>
            <w:tcBorders>
              <w:top w:val="single" w:sz="24" w:space="0" w:color="auto"/>
            </w:tcBorders>
            <w:shd w:val="clear" w:color="auto" w:fill="auto"/>
          </w:tcPr>
          <w:p w14:paraId="7A33ECDF" w14:textId="77777777" w:rsidR="00F91742" w:rsidRPr="008B1465" w:rsidRDefault="00F91742" w:rsidP="00F91742">
            <w:pPr>
              <w:pStyle w:val="ListParagraph"/>
              <w:numPr>
                <w:ilvl w:val="0"/>
                <w:numId w:val="24"/>
              </w:numPr>
              <w:autoSpaceDE w:val="0"/>
              <w:autoSpaceDN w:val="0"/>
              <w:adjustRightInd w:val="0"/>
              <w:spacing w:before="0" w:beforeAutospacing="0" w:after="0" w:line="320" w:lineRule="atLeast"/>
              <w:ind w:right="60"/>
              <w:rPr>
                <w:rFonts w:ascii="Times New Roman" w:hAnsi="Times New Roman"/>
                <w:sz w:val="18"/>
                <w:szCs w:val="18"/>
              </w:rPr>
            </w:pPr>
          </w:p>
        </w:tc>
        <w:tc>
          <w:tcPr>
            <w:tcW w:w="2915" w:type="dxa"/>
            <w:tcBorders>
              <w:top w:val="single" w:sz="24" w:space="0" w:color="auto"/>
            </w:tcBorders>
            <w:shd w:val="clear" w:color="auto" w:fill="auto"/>
          </w:tcPr>
          <w:p w14:paraId="35131BFA" w14:textId="77777777" w:rsidR="00F91742" w:rsidRPr="008B1465" w:rsidRDefault="00F91742" w:rsidP="00F91742">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My university utilizes the services of litigation consultants in prosecuting fraud cases involving staff members.</w:t>
            </w:r>
          </w:p>
        </w:tc>
        <w:tc>
          <w:tcPr>
            <w:tcW w:w="318" w:type="dxa"/>
            <w:tcBorders>
              <w:top w:val="single" w:sz="24" w:space="0" w:color="auto"/>
            </w:tcBorders>
            <w:shd w:val="clear" w:color="auto" w:fill="auto"/>
            <w:vAlign w:val="center"/>
          </w:tcPr>
          <w:p w14:paraId="39250E20"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20</w:t>
            </w:r>
          </w:p>
        </w:tc>
        <w:tc>
          <w:tcPr>
            <w:tcW w:w="514" w:type="dxa"/>
            <w:tcBorders>
              <w:top w:val="single" w:sz="24" w:space="0" w:color="auto"/>
            </w:tcBorders>
            <w:shd w:val="clear" w:color="auto" w:fill="auto"/>
            <w:vAlign w:val="center"/>
          </w:tcPr>
          <w:p w14:paraId="5D9BC654"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(5.5)</w:t>
            </w:r>
          </w:p>
        </w:tc>
        <w:tc>
          <w:tcPr>
            <w:tcW w:w="318" w:type="dxa"/>
            <w:tcBorders>
              <w:top w:val="single" w:sz="24" w:space="0" w:color="auto"/>
            </w:tcBorders>
            <w:shd w:val="clear" w:color="auto" w:fill="auto"/>
            <w:vAlign w:val="center"/>
          </w:tcPr>
          <w:p w14:paraId="3C146327"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40</w:t>
            </w:r>
          </w:p>
        </w:tc>
        <w:tc>
          <w:tcPr>
            <w:tcW w:w="621" w:type="dxa"/>
            <w:tcBorders>
              <w:top w:val="single" w:sz="24" w:space="0" w:color="auto"/>
            </w:tcBorders>
            <w:shd w:val="clear" w:color="auto" w:fill="auto"/>
            <w:vAlign w:val="center"/>
          </w:tcPr>
          <w:p w14:paraId="752C9273"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(11.0)</w:t>
            </w:r>
          </w:p>
        </w:tc>
        <w:tc>
          <w:tcPr>
            <w:tcW w:w="424" w:type="dxa"/>
            <w:tcBorders>
              <w:top w:val="single" w:sz="24" w:space="0" w:color="auto"/>
            </w:tcBorders>
            <w:shd w:val="clear" w:color="auto" w:fill="auto"/>
            <w:vAlign w:val="center"/>
          </w:tcPr>
          <w:p w14:paraId="49FB4A53"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116</w:t>
            </w:r>
          </w:p>
        </w:tc>
        <w:tc>
          <w:tcPr>
            <w:tcW w:w="621" w:type="dxa"/>
            <w:tcBorders>
              <w:top w:val="single" w:sz="24" w:space="0" w:color="auto"/>
            </w:tcBorders>
            <w:shd w:val="clear" w:color="auto" w:fill="auto"/>
            <w:vAlign w:val="center"/>
          </w:tcPr>
          <w:p w14:paraId="485F386E"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(31.9)</w:t>
            </w:r>
          </w:p>
        </w:tc>
        <w:tc>
          <w:tcPr>
            <w:tcW w:w="456" w:type="dxa"/>
            <w:tcBorders>
              <w:top w:val="single" w:sz="24" w:space="0" w:color="auto"/>
            </w:tcBorders>
            <w:shd w:val="clear" w:color="auto" w:fill="auto"/>
            <w:vAlign w:val="center"/>
          </w:tcPr>
          <w:p w14:paraId="0804AB7B"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148</w:t>
            </w:r>
          </w:p>
        </w:tc>
        <w:tc>
          <w:tcPr>
            <w:tcW w:w="653" w:type="dxa"/>
            <w:tcBorders>
              <w:top w:val="single" w:sz="24" w:space="0" w:color="auto"/>
            </w:tcBorders>
            <w:shd w:val="clear" w:color="auto" w:fill="auto"/>
            <w:vAlign w:val="center"/>
          </w:tcPr>
          <w:p w14:paraId="36334728"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(40.7)</w:t>
            </w:r>
          </w:p>
        </w:tc>
        <w:tc>
          <w:tcPr>
            <w:tcW w:w="360" w:type="dxa"/>
            <w:tcBorders>
              <w:top w:val="single" w:sz="24" w:space="0" w:color="auto"/>
            </w:tcBorders>
            <w:shd w:val="clear" w:color="auto" w:fill="auto"/>
            <w:vAlign w:val="center"/>
          </w:tcPr>
          <w:p w14:paraId="683D8938"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40</w:t>
            </w:r>
          </w:p>
        </w:tc>
        <w:tc>
          <w:tcPr>
            <w:tcW w:w="635" w:type="dxa"/>
            <w:tcBorders>
              <w:top w:val="single" w:sz="24" w:space="0" w:color="auto"/>
            </w:tcBorders>
            <w:shd w:val="clear" w:color="auto" w:fill="auto"/>
            <w:vAlign w:val="center"/>
          </w:tcPr>
          <w:p w14:paraId="1BC61252"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(11.0)</w:t>
            </w:r>
          </w:p>
        </w:tc>
        <w:tc>
          <w:tcPr>
            <w:tcW w:w="990" w:type="dxa"/>
            <w:tcBorders>
              <w:top w:val="single" w:sz="24" w:space="0" w:color="auto"/>
            </w:tcBorders>
            <w:shd w:val="clear" w:color="auto" w:fill="auto"/>
            <w:vAlign w:val="center"/>
          </w:tcPr>
          <w:p w14:paraId="18B999A0" w14:textId="47FD33B2" w:rsidR="00F91742" w:rsidRPr="00B8744D" w:rsidRDefault="00F91742" w:rsidP="00355B94">
            <w:pPr>
              <w:autoSpaceDE w:val="0"/>
              <w:autoSpaceDN w:val="0"/>
              <w:adjustRightInd w:val="0"/>
              <w:spacing w:after="0" w:line="320" w:lineRule="atLeast"/>
              <w:ind w:left="60" w:right="60"/>
              <w:jc w:val="center"/>
              <w:rPr>
                <w:rFonts w:ascii="Times New Roman" w:hAnsi="Times New Roman"/>
                <w:sz w:val="18"/>
                <w:szCs w:val="18"/>
              </w:rPr>
            </w:pPr>
            <w:r w:rsidRPr="00B8744D">
              <w:rPr>
                <w:rFonts w:ascii="Times New Roman" w:hAnsi="Times New Roman"/>
                <w:color w:val="010205"/>
                <w:sz w:val="18"/>
                <w:szCs w:val="18"/>
              </w:rPr>
              <w:t>3.41</w:t>
            </w:r>
          </w:p>
        </w:tc>
        <w:tc>
          <w:tcPr>
            <w:tcW w:w="990" w:type="dxa"/>
            <w:tcBorders>
              <w:top w:val="single" w:sz="24" w:space="0" w:color="auto"/>
            </w:tcBorders>
            <w:vAlign w:val="center"/>
          </w:tcPr>
          <w:p w14:paraId="56CFCA05" w14:textId="57B512BF" w:rsidR="00F91742" w:rsidRPr="00B8744D" w:rsidRDefault="00F91742" w:rsidP="00355B94">
            <w:pPr>
              <w:autoSpaceDE w:val="0"/>
              <w:autoSpaceDN w:val="0"/>
              <w:adjustRightInd w:val="0"/>
              <w:spacing w:after="0" w:line="320" w:lineRule="atLeast"/>
              <w:ind w:left="60" w:right="60"/>
              <w:jc w:val="center"/>
              <w:rPr>
                <w:rFonts w:ascii="Times New Roman" w:hAnsi="Times New Roman"/>
                <w:sz w:val="18"/>
                <w:szCs w:val="18"/>
              </w:rPr>
            </w:pPr>
            <w:r w:rsidRPr="00B8744D">
              <w:rPr>
                <w:rFonts w:ascii="Times New Roman" w:hAnsi="Times New Roman"/>
                <w:color w:val="010205"/>
                <w:sz w:val="18"/>
                <w:szCs w:val="18"/>
              </w:rPr>
              <w:t>1.007</w:t>
            </w:r>
          </w:p>
        </w:tc>
      </w:tr>
      <w:tr w:rsidR="00F91742" w:rsidRPr="008B1465" w14:paraId="4FEBB07B" w14:textId="7C85F9C7" w:rsidTr="00355B94">
        <w:trPr>
          <w:cantSplit/>
          <w:trHeight w:val="20"/>
          <w:jc w:val="center"/>
        </w:trPr>
        <w:tc>
          <w:tcPr>
            <w:tcW w:w="355" w:type="dxa"/>
            <w:shd w:val="clear" w:color="auto" w:fill="auto"/>
          </w:tcPr>
          <w:p w14:paraId="017C4C7B" w14:textId="77777777" w:rsidR="00F91742" w:rsidRPr="008B1465" w:rsidRDefault="00F91742" w:rsidP="00F91742">
            <w:pPr>
              <w:pStyle w:val="ListParagraph"/>
              <w:numPr>
                <w:ilvl w:val="0"/>
                <w:numId w:val="24"/>
              </w:numPr>
              <w:autoSpaceDE w:val="0"/>
              <w:autoSpaceDN w:val="0"/>
              <w:adjustRightInd w:val="0"/>
              <w:spacing w:before="0" w:beforeAutospacing="0" w:after="0" w:line="320" w:lineRule="atLeast"/>
              <w:ind w:right="60"/>
              <w:rPr>
                <w:rFonts w:ascii="Times New Roman" w:hAnsi="Times New Roman"/>
                <w:sz w:val="18"/>
                <w:szCs w:val="18"/>
              </w:rPr>
            </w:pPr>
          </w:p>
        </w:tc>
        <w:tc>
          <w:tcPr>
            <w:tcW w:w="2915" w:type="dxa"/>
            <w:shd w:val="clear" w:color="auto" w:fill="auto"/>
          </w:tcPr>
          <w:p w14:paraId="188EC19C" w14:textId="77777777" w:rsidR="00F91742" w:rsidRPr="008B1465" w:rsidRDefault="00F91742" w:rsidP="00F91742">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My university often involves forensic accountants in reviewing the expert's reports on fraud cases</w:t>
            </w:r>
          </w:p>
        </w:tc>
        <w:tc>
          <w:tcPr>
            <w:tcW w:w="318" w:type="dxa"/>
            <w:shd w:val="clear" w:color="auto" w:fill="auto"/>
            <w:vAlign w:val="center"/>
          </w:tcPr>
          <w:p w14:paraId="37A6369F"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14</w:t>
            </w:r>
          </w:p>
        </w:tc>
        <w:tc>
          <w:tcPr>
            <w:tcW w:w="514" w:type="dxa"/>
            <w:shd w:val="clear" w:color="auto" w:fill="auto"/>
            <w:vAlign w:val="center"/>
          </w:tcPr>
          <w:p w14:paraId="7E8A3289"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(3.8)</w:t>
            </w:r>
          </w:p>
        </w:tc>
        <w:tc>
          <w:tcPr>
            <w:tcW w:w="318" w:type="dxa"/>
            <w:shd w:val="clear" w:color="auto" w:fill="auto"/>
            <w:vAlign w:val="center"/>
          </w:tcPr>
          <w:p w14:paraId="16C19FEB"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28</w:t>
            </w:r>
          </w:p>
        </w:tc>
        <w:tc>
          <w:tcPr>
            <w:tcW w:w="621" w:type="dxa"/>
            <w:shd w:val="clear" w:color="auto" w:fill="auto"/>
            <w:vAlign w:val="center"/>
          </w:tcPr>
          <w:p w14:paraId="1D20AE73"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(7.7)</w:t>
            </w:r>
          </w:p>
        </w:tc>
        <w:tc>
          <w:tcPr>
            <w:tcW w:w="424" w:type="dxa"/>
            <w:shd w:val="clear" w:color="auto" w:fill="auto"/>
            <w:vAlign w:val="center"/>
          </w:tcPr>
          <w:p w14:paraId="09D12E79"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76</w:t>
            </w:r>
          </w:p>
        </w:tc>
        <w:tc>
          <w:tcPr>
            <w:tcW w:w="621" w:type="dxa"/>
            <w:shd w:val="clear" w:color="auto" w:fill="auto"/>
            <w:vAlign w:val="center"/>
          </w:tcPr>
          <w:p w14:paraId="38F09061"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(20.9)</w:t>
            </w:r>
          </w:p>
        </w:tc>
        <w:tc>
          <w:tcPr>
            <w:tcW w:w="456" w:type="dxa"/>
            <w:shd w:val="clear" w:color="auto" w:fill="auto"/>
            <w:vAlign w:val="center"/>
          </w:tcPr>
          <w:p w14:paraId="7FDFAA75"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208</w:t>
            </w:r>
          </w:p>
        </w:tc>
        <w:tc>
          <w:tcPr>
            <w:tcW w:w="653" w:type="dxa"/>
            <w:shd w:val="clear" w:color="auto" w:fill="auto"/>
            <w:vAlign w:val="center"/>
          </w:tcPr>
          <w:p w14:paraId="429B46CF"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(57.1)</w:t>
            </w:r>
          </w:p>
        </w:tc>
        <w:tc>
          <w:tcPr>
            <w:tcW w:w="360" w:type="dxa"/>
            <w:shd w:val="clear" w:color="auto" w:fill="auto"/>
            <w:vAlign w:val="center"/>
          </w:tcPr>
          <w:p w14:paraId="59F85A39"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38</w:t>
            </w:r>
          </w:p>
        </w:tc>
        <w:tc>
          <w:tcPr>
            <w:tcW w:w="635" w:type="dxa"/>
            <w:shd w:val="clear" w:color="auto" w:fill="auto"/>
            <w:vAlign w:val="center"/>
          </w:tcPr>
          <w:p w14:paraId="27AA338C"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(10.4)</w:t>
            </w:r>
          </w:p>
        </w:tc>
        <w:tc>
          <w:tcPr>
            <w:tcW w:w="990" w:type="dxa"/>
            <w:shd w:val="clear" w:color="auto" w:fill="auto"/>
            <w:vAlign w:val="center"/>
          </w:tcPr>
          <w:p w14:paraId="4788387B" w14:textId="1D745882" w:rsidR="00F91742" w:rsidRPr="00B8744D" w:rsidRDefault="00F91742" w:rsidP="00355B94">
            <w:pPr>
              <w:autoSpaceDE w:val="0"/>
              <w:autoSpaceDN w:val="0"/>
              <w:adjustRightInd w:val="0"/>
              <w:spacing w:after="0" w:line="320" w:lineRule="atLeast"/>
              <w:ind w:left="60" w:right="60"/>
              <w:jc w:val="center"/>
              <w:rPr>
                <w:rFonts w:ascii="Times New Roman" w:hAnsi="Times New Roman"/>
                <w:sz w:val="18"/>
                <w:szCs w:val="18"/>
              </w:rPr>
            </w:pPr>
            <w:r w:rsidRPr="00B8744D">
              <w:rPr>
                <w:rFonts w:ascii="Times New Roman" w:hAnsi="Times New Roman"/>
                <w:color w:val="010205"/>
                <w:sz w:val="18"/>
                <w:szCs w:val="18"/>
              </w:rPr>
              <w:t>3.63</w:t>
            </w:r>
          </w:p>
        </w:tc>
        <w:tc>
          <w:tcPr>
            <w:tcW w:w="990" w:type="dxa"/>
            <w:vAlign w:val="center"/>
          </w:tcPr>
          <w:p w14:paraId="3ACC50F0" w14:textId="13743551" w:rsidR="00F91742" w:rsidRPr="00B8744D" w:rsidRDefault="00F91742" w:rsidP="00355B94">
            <w:pPr>
              <w:autoSpaceDE w:val="0"/>
              <w:autoSpaceDN w:val="0"/>
              <w:adjustRightInd w:val="0"/>
              <w:spacing w:after="0" w:line="320" w:lineRule="atLeast"/>
              <w:ind w:left="60" w:right="60"/>
              <w:jc w:val="center"/>
              <w:rPr>
                <w:rFonts w:ascii="Times New Roman" w:hAnsi="Times New Roman"/>
                <w:sz w:val="18"/>
                <w:szCs w:val="18"/>
              </w:rPr>
            </w:pPr>
            <w:r w:rsidRPr="00B8744D">
              <w:rPr>
                <w:rFonts w:ascii="Times New Roman" w:hAnsi="Times New Roman"/>
                <w:color w:val="010205"/>
                <w:sz w:val="18"/>
                <w:szCs w:val="18"/>
              </w:rPr>
              <w:t>.911</w:t>
            </w:r>
          </w:p>
        </w:tc>
      </w:tr>
      <w:tr w:rsidR="00F91742" w:rsidRPr="008B1465" w14:paraId="3B9C8A95" w14:textId="4B49D497" w:rsidTr="00355B94">
        <w:trPr>
          <w:cantSplit/>
          <w:trHeight w:val="20"/>
          <w:jc w:val="center"/>
        </w:trPr>
        <w:tc>
          <w:tcPr>
            <w:tcW w:w="355" w:type="dxa"/>
            <w:shd w:val="clear" w:color="auto" w:fill="auto"/>
          </w:tcPr>
          <w:p w14:paraId="1FDE4ACF" w14:textId="77777777" w:rsidR="00F91742" w:rsidRPr="008B1465" w:rsidRDefault="00F91742" w:rsidP="00F91742">
            <w:pPr>
              <w:pStyle w:val="ListParagraph"/>
              <w:numPr>
                <w:ilvl w:val="0"/>
                <w:numId w:val="24"/>
              </w:numPr>
              <w:autoSpaceDE w:val="0"/>
              <w:autoSpaceDN w:val="0"/>
              <w:adjustRightInd w:val="0"/>
              <w:spacing w:before="0" w:beforeAutospacing="0" w:after="0" w:line="320" w:lineRule="atLeast"/>
              <w:ind w:right="60"/>
              <w:rPr>
                <w:rFonts w:ascii="Times New Roman" w:hAnsi="Times New Roman"/>
                <w:sz w:val="18"/>
                <w:szCs w:val="18"/>
              </w:rPr>
            </w:pPr>
          </w:p>
        </w:tc>
        <w:tc>
          <w:tcPr>
            <w:tcW w:w="2915" w:type="dxa"/>
            <w:shd w:val="clear" w:color="auto" w:fill="auto"/>
          </w:tcPr>
          <w:p w14:paraId="2DE89ECC" w14:textId="77777777" w:rsidR="00F91742" w:rsidRPr="008B1465" w:rsidRDefault="00F91742" w:rsidP="00F91742">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My university has skillful and a well-funded litigation support unit within the accounting and legal departments</w:t>
            </w:r>
          </w:p>
        </w:tc>
        <w:tc>
          <w:tcPr>
            <w:tcW w:w="318" w:type="dxa"/>
            <w:shd w:val="clear" w:color="auto" w:fill="auto"/>
            <w:vAlign w:val="center"/>
          </w:tcPr>
          <w:p w14:paraId="5020C968"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16</w:t>
            </w:r>
          </w:p>
        </w:tc>
        <w:tc>
          <w:tcPr>
            <w:tcW w:w="514" w:type="dxa"/>
            <w:shd w:val="clear" w:color="auto" w:fill="auto"/>
            <w:vAlign w:val="center"/>
          </w:tcPr>
          <w:p w14:paraId="14DB77B2"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(4.4)</w:t>
            </w:r>
          </w:p>
        </w:tc>
        <w:tc>
          <w:tcPr>
            <w:tcW w:w="318" w:type="dxa"/>
            <w:shd w:val="clear" w:color="auto" w:fill="auto"/>
            <w:vAlign w:val="center"/>
          </w:tcPr>
          <w:p w14:paraId="428BA422"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34</w:t>
            </w:r>
          </w:p>
        </w:tc>
        <w:tc>
          <w:tcPr>
            <w:tcW w:w="621" w:type="dxa"/>
            <w:shd w:val="clear" w:color="auto" w:fill="auto"/>
            <w:vAlign w:val="center"/>
          </w:tcPr>
          <w:p w14:paraId="0224763C"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(9.3)</w:t>
            </w:r>
          </w:p>
        </w:tc>
        <w:tc>
          <w:tcPr>
            <w:tcW w:w="424" w:type="dxa"/>
            <w:shd w:val="clear" w:color="auto" w:fill="auto"/>
            <w:vAlign w:val="center"/>
          </w:tcPr>
          <w:p w14:paraId="4BD89305"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94</w:t>
            </w:r>
          </w:p>
        </w:tc>
        <w:tc>
          <w:tcPr>
            <w:tcW w:w="621" w:type="dxa"/>
            <w:shd w:val="clear" w:color="auto" w:fill="auto"/>
            <w:vAlign w:val="center"/>
          </w:tcPr>
          <w:p w14:paraId="4E8CFBA3"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(25.8)</w:t>
            </w:r>
          </w:p>
        </w:tc>
        <w:tc>
          <w:tcPr>
            <w:tcW w:w="456" w:type="dxa"/>
            <w:shd w:val="clear" w:color="auto" w:fill="auto"/>
            <w:vAlign w:val="center"/>
          </w:tcPr>
          <w:p w14:paraId="119E7E60"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186</w:t>
            </w:r>
          </w:p>
        </w:tc>
        <w:tc>
          <w:tcPr>
            <w:tcW w:w="653" w:type="dxa"/>
            <w:shd w:val="clear" w:color="auto" w:fill="auto"/>
            <w:vAlign w:val="center"/>
          </w:tcPr>
          <w:p w14:paraId="0862DA68"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(51.1)</w:t>
            </w:r>
          </w:p>
        </w:tc>
        <w:tc>
          <w:tcPr>
            <w:tcW w:w="360" w:type="dxa"/>
            <w:shd w:val="clear" w:color="auto" w:fill="auto"/>
            <w:vAlign w:val="center"/>
          </w:tcPr>
          <w:p w14:paraId="53617DBB"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34</w:t>
            </w:r>
          </w:p>
        </w:tc>
        <w:tc>
          <w:tcPr>
            <w:tcW w:w="635" w:type="dxa"/>
            <w:shd w:val="clear" w:color="auto" w:fill="auto"/>
            <w:vAlign w:val="center"/>
          </w:tcPr>
          <w:p w14:paraId="5E214061"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(9.3)</w:t>
            </w:r>
          </w:p>
        </w:tc>
        <w:tc>
          <w:tcPr>
            <w:tcW w:w="990" w:type="dxa"/>
            <w:shd w:val="clear" w:color="auto" w:fill="auto"/>
            <w:vAlign w:val="center"/>
          </w:tcPr>
          <w:p w14:paraId="3CAFB416" w14:textId="40887CE2" w:rsidR="00F91742" w:rsidRPr="00B8744D" w:rsidRDefault="00F91742" w:rsidP="00355B94">
            <w:pPr>
              <w:autoSpaceDE w:val="0"/>
              <w:autoSpaceDN w:val="0"/>
              <w:adjustRightInd w:val="0"/>
              <w:spacing w:after="0" w:line="320" w:lineRule="atLeast"/>
              <w:ind w:left="60" w:right="60"/>
              <w:jc w:val="center"/>
              <w:rPr>
                <w:rFonts w:ascii="Times New Roman" w:hAnsi="Times New Roman"/>
                <w:sz w:val="18"/>
                <w:szCs w:val="18"/>
              </w:rPr>
            </w:pPr>
            <w:r w:rsidRPr="00B8744D">
              <w:rPr>
                <w:rFonts w:ascii="Times New Roman" w:hAnsi="Times New Roman"/>
                <w:color w:val="010205"/>
                <w:sz w:val="18"/>
                <w:szCs w:val="18"/>
              </w:rPr>
              <w:t>3.52</w:t>
            </w:r>
          </w:p>
        </w:tc>
        <w:tc>
          <w:tcPr>
            <w:tcW w:w="990" w:type="dxa"/>
            <w:vAlign w:val="center"/>
          </w:tcPr>
          <w:p w14:paraId="6A6D70AE" w14:textId="4F2BB4A8" w:rsidR="00F91742" w:rsidRPr="00B8744D" w:rsidRDefault="00F91742" w:rsidP="00355B94">
            <w:pPr>
              <w:autoSpaceDE w:val="0"/>
              <w:autoSpaceDN w:val="0"/>
              <w:adjustRightInd w:val="0"/>
              <w:spacing w:after="0" w:line="320" w:lineRule="atLeast"/>
              <w:ind w:left="60" w:right="60"/>
              <w:jc w:val="center"/>
              <w:rPr>
                <w:rFonts w:ascii="Times New Roman" w:hAnsi="Times New Roman"/>
                <w:sz w:val="18"/>
                <w:szCs w:val="18"/>
              </w:rPr>
            </w:pPr>
            <w:r w:rsidRPr="00B8744D">
              <w:rPr>
                <w:rFonts w:ascii="Times New Roman" w:hAnsi="Times New Roman"/>
                <w:color w:val="010205"/>
                <w:sz w:val="18"/>
                <w:szCs w:val="18"/>
              </w:rPr>
              <w:t>.943</w:t>
            </w:r>
          </w:p>
        </w:tc>
      </w:tr>
      <w:tr w:rsidR="00F91742" w:rsidRPr="008B1465" w14:paraId="104AC9D5" w14:textId="0388BC86" w:rsidTr="00355B94">
        <w:trPr>
          <w:cantSplit/>
          <w:trHeight w:val="20"/>
          <w:jc w:val="center"/>
        </w:trPr>
        <w:tc>
          <w:tcPr>
            <w:tcW w:w="355" w:type="dxa"/>
            <w:shd w:val="clear" w:color="auto" w:fill="auto"/>
          </w:tcPr>
          <w:p w14:paraId="7F7D40C1" w14:textId="77777777" w:rsidR="00F91742" w:rsidRPr="008B1465" w:rsidRDefault="00F91742" w:rsidP="00F91742">
            <w:pPr>
              <w:pStyle w:val="ListParagraph"/>
              <w:numPr>
                <w:ilvl w:val="0"/>
                <w:numId w:val="24"/>
              </w:numPr>
              <w:autoSpaceDE w:val="0"/>
              <w:autoSpaceDN w:val="0"/>
              <w:adjustRightInd w:val="0"/>
              <w:spacing w:before="0" w:beforeAutospacing="0" w:after="0" w:line="320" w:lineRule="atLeast"/>
              <w:ind w:right="60"/>
              <w:rPr>
                <w:rFonts w:ascii="Times New Roman" w:hAnsi="Times New Roman"/>
                <w:sz w:val="18"/>
                <w:szCs w:val="18"/>
              </w:rPr>
            </w:pPr>
          </w:p>
        </w:tc>
        <w:tc>
          <w:tcPr>
            <w:tcW w:w="2915" w:type="dxa"/>
            <w:shd w:val="clear" w:color="auto" w:fill="auto"/>
          </w:tcPr>
          <w:p w14:paraId="032A2906" w14:textId="77777777" w:rsidR="00F91742" w:rsidRPr="008B1465" w:rsidRDefault="00F91742" w:rsidP="00F91742">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Forensic accountants have been involved in securing documentation necessary to support litigation processes in my University</w:t>
            </w:r>
          </w:p>
        </w:tc>
        <w:tc>
          <w:tcPr>
            <w:tcW w:w="318" w:type="dxa"/>
            <w:shd w:val="clear" w:color="auto" w:fill="auto"/>
            <w:vAlign w:val="center"/>
          </w:tcPr>
          <w:p w14:paraId="037476DE"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28</w:t>
            </w:r>
          </w:p>
        </w:tc>
        <w:tc>
          <w:tcPr>
            <w:tcW w:w="514" w:type="dxa"/>
            <w:shd w:val="clear" w:color="auto" w:fill="auto"/>
            <w:vAlign w:val="center"/>
          </w:tcPr>
          <w:p w14:paraId="2600D228"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(7.7)</w:t>
            </w:r>
          </w:p>
        </w:tc>
        <w:tc>
          <w:tcPr>
            <w:tcW w:w="318" w:type="dxa"/>
            <w:shd w:val="clear" w:color="auto" w:fill="auto"/>
            <w:vAlign w:val="center"/>
          </w:tcPr>
          <w:p w14:paraId="088B1926"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22</w:t>
            </w:r>
          </w:p>
        </w:tc>
        <w:tc>
          <w:tcPr>
            <w:tcW w:w="621" w:type="dxa"/>
            <w:shd w:val="clear" w:color="auto" w:fill="auto"/>
            <w:vAlign w:val="center"/>
          </w:tcPr>
          <w:p w14:paraId="5B507C1D"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(6.0)</w:t>
            </w:r>
          </w:p>
        </w:tc>
        <w:tc>
          <w:tcPr>
            <w:tcW w:w="424" w:type="dxa"/>
            <w:shd w:val="clear" w:color="auto" w:fill="auto"/>
            <w:vAlign w:val="center"/>
          </w:tcPr>
          <w:p w14:paraId="39B65AA9"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78</w:t>
            </w:r>
          </w:p>
        </w:tc>
        <w:tc>
          <w:tcPr>
            <w:tcW w:w="621" w:type="dxa"/>
            <w:shd w:val="clear" w:color="auto" w:fill="auto"/>
            <w:vAlign w:val="center"/>
          </w:tcPr>
          <w:p w14:paraId="23C0D9C4"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(21.4)</w:t>
            </w:r>
          </w:p>
        </w:tc>
        <w:tc>
          <w:tcPr>
            <w:tcW w:w="456" w:type="dxa"/>
            <w:shd w:val="clear" w:color="auto" w:fill="auto"/>
            <w:vAlign w:val="center"/>
          </w:tcPr>
          <w:p w14:paraId="386EFBE9"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162</w:t>
            </w:r>
          </w:p>
        </w:tc>
        <w:tc>
          <w:tcPr>
            <w:tcW w:w="653" w:type="dxa"/>
            <w:shd w:val="clear" w:color="auto" w:fill="auto"/>
            <w:vAlign w:val="center"/>
          </w:tcPr>
          <w:p w14:paraId="14C2ECF8"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(44.5)</w:t>
            </w:r>
          </w:p>
        </w:tc>
        <w:tc>
          <w:tcPr>
            <w:tcW w:w="360" w:type="dxa"/>
            <w:shd w:val="clear" w:color="auto" w:fill="auto"/>
            <w:vAlign w:val="center"/>
          </w:tcPr>
          <w:p w14:paraId="150998F9"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74</w:t>
            </w:r>
          </w:p>
        </w:tc>
        <w:tc>
          <w:tcPr>
            <w:tcW w:w="635" w:type="dxa"/>
            <w:shd w:val="clear" w:color="auto" w:fill="auto"/>
            <w:vAlign w:val="center"/>
          </w:tcPr>
          <w:p w14:paraId="2C3E48BF"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(20.3)</w:t>
            </w:r>
          </w:p>
        </w:tc>
        <w:tc>
          <w:tcPr>
            <w:tcW w:w="990" w:type="dxa"/>
            <w:shd w:val="clear" w:color="auto" w:fill="auto"/>
            <w:vAlign w:val="center"/>
          </w:tcPr>
          <w:p w14:paraId="6C799B61" w14:textId="548CF066" w:rsidR="00F91742" w:rsidRPr="00B8744D" w:rsidRDefault="00F91742" w:rsidP="00355B94">
            <w:pPr>
              <w:autoSpaceDE w:val="0"/>
              <w:autoSpaceDN w:val="0"/>
              <w:adjustRightInd w:val="0"/>
              <w:spacing w:after="0" w:line="320" w:lineRule="atLeast"/>
              <w:ind w:left="60" w:right="60"/>
              <w:jc w:val="center"/>
              <w:rPr>
                <w:rFonts w:ascii="Times New Roman" w:hAnsi="Times New Roman"/>
                <w:sz w:val="18"/>
                <w:szCs w:val="18"/>
              </w:rPr>
            </w:pPr>
            <w:r w:rsidRPr="00B8744D">
              <w:rPr>
                <w:rFonts w:ascii="Times New Roman" w:hAnsi="Times New Roman"/>
                <w:color w:val="010205"/>
                <w:sz w:val="18"/>
                <w:szCs w:val="18"/>
              </w:rPr>
              <w:t>3.64</w:t>
            </w:r>
          </w:p>
        </w:tc>
        <w:tc>
          <w:tcPr>
            <w:tcW w:w="990" w:type="dxa"/>
            <w:vAlign w:val="center"/>
          </w:tcPr>
          <w:p w14:paraId="2FB51714" w14:textId="3DEF6DF1" w:rsidR="00F91742" w:rsidRPr="00B8744D" w:rsidRDefault="00F91742" w:rsidP="00355B94">
            <w:pPr>
              <w:autoSpaceDE w:val="0"/>
              <w:autoSpaceDN w:val="0"/>
              <w:adjustRightInd w:val="0"/>
              <w:spacing w:after="0" w:line="320" w:lineRule="atLeast"/>
              <w:ind w:left="60" w:right="60"/>
              <w:jc w:val="center"/>
              <w:rPr>
                <w:rFonts w:ascii="Times New Roman" w:hAnsi="Times New Roman"/>
                <w:sz w:val="18"/>
                <w:szCs w:val="18"/>
              </w:rPr>
            </w:pPr>
            <w:r w:rsidRPr="00B8744D">
              <w:rPr>
                <w:rFonts w:ascii="Times New Roman" w:hAnsi="Times New Roman"/>
                <w:color w:val="010205"/>
                <w:sz w:val="18"/>
                <w:szCs w:val="18"/>
              </w:rPr>
              <w:t>1.106</w:t>
            </w:r>
          </w:p>
        </w:tc>
      </w:tr>
      <w:tr w:rsidR="00F91742" w:rsidRPr="008B1465" w14:paraId="4BBD8E87" w14:textId="51432F29" w:rsidTr="00355B94">
        <w:trPr>
          <w:cantSplit/>
          <w:trHeight w:val="20"/>
          <w:jc w:val="center"/>
        </w:trPr>
        <w:tc>
          <w:tcPr>
            <w:tcW w:w="355" w:type="dxa"/>
            <w:tcBorders>
              <w:bottom w:val="single" w:sz="24" w:space="0" w:color="auto"/>
            </w:tcBorders>
            <w:shd w:val="clear" w:color="auto" w:fill="auto"/>
          </w:tcPr>
          <w:p w14:paraId="202DB1F2" w14:textId="77777777" w:rsidR="00F91742" w:rsidRPr="008B1465" w:rsidRDefault="00F91742" w:rsidP="00F91742">
            <w:pPr>
              <w:pStyle w:val="ListParagraph"/>
              <w:numPr>
                <w:ilvl w:val="0"/>
                <w:numId w:val="24"/>
              </w:numPr>
              <w:autoSpaceDE w:val="0"/>
              <w:autoSpaceDN w:val="0"/>
              <w:adjustRightInd w:val="0"/>
              <w:spacing w:before="0" w:beforeAutospacing="0" w:after="0" w:line="320" w:lineRule="atLeast"/>
              <w:ind w:right="60"/>
              <w:rPr>
                <w:rFonts w:ascii="Times New Roman" w:hAnsi="Times New Roman"/>
                <w:sz w:val="18"/>
                <w:szCs w:val="18"/>
              </w:rPr>
            </w:pPr>
          </w:p>
        </w:tc>
        <w:tc>
          <w:tcPr>
            <w:tcW w:w="2915" w:type="dxa"/>
            <w:tcBorders>
              <w:bottom w:val="single" w:sz="24" w:space="0" w:color="auto"/>
            </w:tcBorders>
            <w:shd w:val="clear" w:color="auto" w:fill="auto"/>
          </w:tcPr>
          <w:p w14:paraId="141041EC" w14:textId="77777777" w:rsidR="00F91742" w:rsidRPr="008B1465" w:rsidRDefault="00F91742" w:rsidP="00F91742">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My university incurs substantial litigation costs in the course of litigation support services</w:t>
            </w:r>
          </w:p>
        </w:tc>
        <w:tc>
          <w:tcPr>
            <w:tcW w:w="318" w:type="dxa"/>
            <w:tcBorders>
              <w:bottom w:val="single" w:sz="24" w:space="0" w:color="auto"/>
            </w:tcBorders>
            <w:shd w:val="clear" w:color="auto" w:fill="auto"/>
            <w:vAlign w:val="center"/>
          </w:tcPr>
          <w:p w14:paraId="4EBDA644"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10</w:t>
            </w:r>
          </w:p>
        </w:tc>
        <w:tc>
          <w:tcPr>
            <w:tcW w:w="514" w:type="dxa"/>
            <w:tcBorders>
              <w:bottom w:val="single" w:sz="24" w:space="0" w:color="auto"/>
            </w:tcBorders>
            <w:shd w:val="clear" w:color="auto" w:fill="auto"/>
            <w:vAlign w:val="center"/>
          </w:tcPr>
          <w:p w14:paraId="5CA06CFF"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(2.7)</w:t>
            </w:r>
          </w:p>
        </w:tc>
        <w:tc>
          <w:tcPr>
            <w:tcW w:w="318" w:type="dxa"/>
            <w:tcBorders>
              <w:bottom w:val="single" w:sz="24" w:space="0" w:color="auto"/>
            </w:tcBorders>
            <w:shd w:val="clear" w:color="auto" w:fill="auto"/>
            <w:vAlign w:val="center"/>
          </w:tcPr>
          <w:p w14:paraId="11825ADD"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56</w:t>
            </w:r>
          </w:p>
        </w:tc>
        <w:tc>
          <w:tcPr>
            <w:tcW w:w="621" w:type="dxa"/>
            <w:tcBorders>
              <w:bottom w:val="single" w:sz="24" w:space="0" w:color="auto"/>
            </w:tcBorders>
            <w:shd w:val="clear" w:color="auto" w:fill="auto"/>
            <w:vAlign w:val="center"/>
          </w:tcPr>
          <w:p w14:paraId="50E49D29"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(15.4)</w:t>
            </w:r>
          </w:p>
        </w:tc>
        <w:tc>
          <w:tcPr>
            <w:tcW w:w="424" w:type="dxa"/>
            <w:tcBorders>
              <w:bottom w:val="single" w:sz="24" w:space="0" w:color="auto"/>
            </w:tcBorders>
            <w:shd w:val="clear" w:color="auto" w:fill="auto"/>
            <w:vAlign w:val="center"/>
          </w:tcPr>
          <w:p w14:paraId="6D6E15AB"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108</w:t>
            </w:r>
          </w:p>
        </w:tc>
        <w:tc>
          <w:tcPr>
            <w:tcW w:w="621" w:type="dxa"/>
            <w:tcBorders>
              <w:bottom w:val="single" w:sz="24" w:space="0" w:color="auto"/>
            </w:tcBorders>
            <w:shd w:val="clear" w:color="auto" w:fill="auto"/>
            <w:vAlign w:val="center"/>
          </w:tcPr>
          <w:p w14:paraId="334230EA"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(29.7)</w:t>
            </w:r>
          </w:p>
        </w:tc>
        <w:tc>
          <w:tcPr>
            <w:tcW w:w="456" w:type="dxa"/>
            <w:tcBorders>
              <w:bottom w:val="single" w:sz="24" w:space="0" w:color="auto"/>
            </w:tcBorders>
            <w:shd w:val="clear" w:color="auto" w:fill="auto"/>
            <w:vAlign w:val="center"/>
          </w:tcPr>
          <w:p w14:paraId="0D5B5B26"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138</w:t>
            </w:r>
          </w:p>
        </w:tc>
        <w:tc>
          <w:tcPr>
            <w:tcW w:w="653" w:type="dxa"/>
            <w:tcBorders>
              <w:bottom w:val="single" w:sz="24" w:space="0" w:color="auto"/>
            </w:tcBorders>
            <w:shd w:val="clear" w:color="auto" w:fill="auto"/>
            <w:vAlign w:val="center"/>
          </w:tcPr>
          <w:p w14:paraId="04C487FE"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(37.9)</w:t>
            </w:r>
          </w:p>
        </w:tc>
        <w:tc>
          <w:tcPr>
            <w:tcW w:w="360" w:type="dxa"/>
            <w:tcBorders>
              <w:bottom w:val="single" w:sz="24" w:space="0" w:color="auto"/>
            </w:tcBorders>
            <w:shd w:val="clear" w:color="auto" w:fill="auto"/>
            <w:vAlign w:val="center"/>
          </w:tcPr>
          <w:p w14:paraId="02A1BDD2"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52</w:t>
            </w:r>
          </w:p>
        </w:tc>
        <w:tc>
          <w:tcPr>
            <w:tcW w:w="635" w:type="dxa"/>
            <w:tcBorders>
              <w:bottom w:val="single" w:sz="24" w:space="0" w:color="auto"/>
            </w:tcBorders>
            <w:shd w:val="clear" w:color="auto" w:fill="auto"/>
            <w:vAlign w:val="center"/>
          </w:tcPr>
          <w:p w14:paraId="11FBCAA7" w14:textId="77777777" w:rsidR="00F91742" w:rsidRPr="008B1465" w:rsidRDefault="00F91742" w:rsidP="00F91742">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(14.3)</w:t>
            </w:r>
          </w:p>
        </w:tc>
        <w:tc>
          <w:tcPr>
            <w:tcW w:w="990" w:type="dxa"/>
            <w:tcBorders>
              <w:bottom w:val="single" w:sz="24" w:space="0" w:color="auto"/>
            </w:tcBorders>
            <w:shd w:val="clear" w:color="auto" w:fill="auto"/>
            <w:vAlign w:val="center"/>
          </w:tcPr>
          <w:p w14:paraId="039A2657" w14:textId="7A160633" w:rsidR="00F91742" w:rsidRPr="00B8744D" w:rsidRDefault="00F91742" w:rsidP="00355B94">
            <w:pPr>
              <w:autoSpaceDE w:val="0"/>
              <w:autoSpaceDN w:val="0"/>
              <w:adjustRightInd w:val="0"/>
              <w:spacing w:after="0" w:line="320" w:lineRule="atLeast"/>
              <w:ind w:left="60" w:right="60"/>
              <w:jc w:val="center"/>
              <w:rPr>
                <w:rFonts w:ascii="Times New Roman" w:hAnsi="Times New Roman"/>
                <w:sz w:val="18"/>
                <w:szCs w:val="18"/>
              </w:rPr>
            </w:pPr>
            <w:r w:rsidRPr="00B8744D">
              <w:rPr>
                <w:rFonts w:ascii="Times New Roman" w:hAnsi="Times New Roman"/>
                <w:color w:val="010205"/>
                <w:sz w:val="18"/>
                <w:szCs w:val="18"/>
              </w:rPr>
              <w:t>3.46</w:t>
            </w:r>
          </w:p>
        </w:tc>
        <w:tc>
          <w:tcPr>
            <w:tcW w:w="990" w:type="dxa"/>
            <w:tcBorders>
              <w:bottom w:val="single" w:sz="24" w:space="0" w:color="auto"/>
            </w:tcBorders>
            <w:vAlign w:val="center"/>
          </w:tcPr>
          <w:p w14:paraId="19750A05" w14:textId="39F8DB46" w:rsidR="00F91742" w:rsidRPr="00B8744D" w:rsidRDefault="00F91742" w:rsidP="00355B94">
            <w:pPr>
              <w:autoSpaceDE w:val="0"/>
              <w:autoSpaceDN w:val="0"/>
              <w:adjustRightInd w:val="0"/>
              <w:spacing w:after="0" w:line="320" w:lineRule="atLeast"/>
              <w:ind w:left="60" w:right="60"/>
              <w:jc w:val="center"/>
              <w:rPr>
                <w:rFonts w:ascii="Times New Roman" w:hAnsi="Times New Roman"/>
                <w:sz w:val="18"/>
                <w:szCs w:val="18"/>
              </w:rPr>
            </w:pPr>
            <w:r w:rsidRPr="00B8744D">
              <w:rPr>
                <w:rFonts w:ascii="Times New Roman" w:hAnsi="Times New Roman"/>
                <w:color w:val="010205"/>
                <w:sz w:val="18"/>
                <w:szCs w:val="18"/>
              </w:rPr>
              <w:t>1.005</w:t>
            </w:r>
          </w:p>
        </w:tc>
      </w:tr>
    </w:tbl>
    <w:p w14:paraId="33C26283" w14:textId="77777777" w:rsidR="006652DA" w:rsidRPr="008B1465" w:rsidRDefault="006652DA" w:rsidP="00FF5E1B">
      <w:pPr>
        <w:pStyle w:val="NoSpacing"/>
        <w:spacing w:line="360" w:lineRule="auto"/>
        <w:rPr>
          <w:rFonts w:asciiTheme="minorHAnsi" w:hAnsiTheme="minorHAnsi" w:cstheme="minorHAnsi"/>
          <w:b/>
          <w:bCs/>
          <w:sz w:val="18"/>
          <w:szCs w:val="18"/>
        </w:rPr>
      </w:pPr>
      <w:r w:rsidRPr="008B1465">
        <w:rPr>
          <w:rFonts w:ascii="Times New Roman" w:hAnsi="Times New Roman"/>
          <w:b/>
          <w:sz w:val="18"/>
          <w:szCs w:val="18"/>
        </w:rPr>
        <w:t xml:space="preserve">Source: Researcher’s field survey, 2023, SPSS 25.0 </w:t>
      </w:r>
      <w:r w:rsidRPr="008B1465">
        <w:rPr>
          <w:rFonts w:asciiTheme="minorHAnsi" w:hAnsiTheme="minorHAnsi" w:cstheme="minorHAnsi"/>
          <w:b/>
          <w:bCs/>
          <w:sz w:val="18"/>
          <w:szCs w:val="18"/>
        </w:rPr>
        <w:t>Version</w:t>
      </w:r>
    </w:p>
    <w:p w14:paraId="006C8C27" w14:textId="77777777" w:rsidR="00234521" w:rsidRPr="008B1465" w:rsidRDefault="00234521" w:rsidP="00234521">
      <w:pPr>
        <w:pStyle w:val="NoSpacing"/>
        <w:spacing w:line="360" w:lineRule="auto"/>
        <w:jc w:val="both"/>
        <w:rPr>
          <w:rFonts w:ascii="Times New Roman" w:eastAsia="SimSun" w:hAnsi="Times New Roman"/>
          <w:sz w:val="24"/>
          <w:szCs w:val="24"/>
        </w:rPr>
      </w:pPr>
    </w:p>
    <w:p w14:paraId="6334F345" w14:textId="6941FFC6" w:rsidR="002972CA" w:rsidRDefault="00324AF5" w:rsidP="00324AF5">
      <w:pPr>
        <w:pStyle w:val="NoSpacing"/>
        <w:spacing w:line="360" w:lineRule="auto"/>
        <w:jc w:val="both"/>
        <w:rPr>
          <w:rFonts w:ascii="Times New Roman" w:eastAsia="SimSun" w:hAnsi="Times New Roman"/>
          <w:sz w:val="24"/>
          <w:szCs w:val="24"/>
        </w:rPr>
      </w:pPr>
      <w:r w:rsidRPr="008B1465">
        <w:rPr>
          <w:rFonts w:ascii="Times New Roman" w:eastAsia="SimSun" w:hAnsi="Times New Roman"/>
          <w:sz w:val="24"/>
          <w:szCs w:val="24"/>
        </w:rPr>
        <w:t>Table 4.3</w:t>
      </w:r>
      <w:r w:rsidRPr="008B1465">
        <w:rPr>
          <w:rFonts w:ascii="Times New Roman" w:eastAsia="SimSun" w:hAnsi="Times New Roman"/>
          <w:b/>
          <w:bCs/>
          <w:sz w:val="24"/>
          <w:szCs w:val="24"/>
        </w:rPr>
        <w:t xml:space="preserve"> </w:t>
      </w:r>
      <w:r w:rsidRPr="008B1465">
        <w:rPr>
          <w:rFonts w:ascii="Times New Roman" w:eastAsia="SimSun" w:hAnsi="Times New Roman"/>
          <w:sz w:val="24"/>
          <w:szCs w:val="24"/>
        </w:rPr>
        <w:t>depicts the responses of the respondents regarding the litigation services. For the first item, which pertains to the utilization of litigation consultants, the responses indicate that 5.5 per cent of the participants strongly disagree, (11.0 per cent) disagree, (31.9 per cent) are indifferent, (40.7 per cent) agree, and (11.0 per cent) strongly agree. In total, there were 364 responses for this item.</w:t>
      </w:r>
      <w:r>
        <w:rPr>
          <w:rFonts w:ascii="Times New Roman" w:eastAsia="SimSun" w:hAnsi="Times New Roman"/>
          <w:sz w:val="24"/>
          <w:szCs w:val="24"/>
        </w:rPr>
        <w:t xml:space="preserve"> On the average, it is believed that </w:t>
      </w:r>
      <w:r w:rsidRPr="00306B5D">
        <w:rPr>
          <w:rFonts w:ascii="Times New Roman" w:eastAsia="SimSun" w:hAnsi="Times New Roman"/>
          <w:sz w:val="24"/>
          <w:szCs w:val="24"/>
        </w:rPr>
        <w:t>university utilizes the services of litigation consultants in prosecuting fraud cases involving staff members.</w:t>
      </w:r>
      <w:r>
        <w:rPr>
          <w:rFonts w:ascii="Times New Roman" w:eastAsia="SimSun" w:hAnsi="Times New Roman"/>
          <w:sz w:val="24"/>
          <w:szCs w:val="24"/>
        </w:rPr>
        <w:t xml:space="preserve"> </w:t>
      </w:r>
      <w:r w:rsidRPr="00306B5D">
        <w:rPr>
          <w:rFonts w:ascii="Times New Roman" w:eastAsia="SimSun" w:hAnsi="Times New Roman"/>
          <w:sz w:val="24"/>
          <w:szCs w:val="24"/>
        </w:rPr>
        <w:t>The standard deviation of 1.007 indicates some variability in responses, with some respondents strongly agreeing while others may have a less strong agreement.</w:t>
      </w:r>
      <w:r w:rsidRPr="008B1465">
        <w:rPr>
          <w:rFonts w:ascii="Times New Roman" w:eastAsia="SimSun" w:hAnsi="Times New Roman"/>
          <w:sz w:val="24"/>
          <w:szCs w:val="24"/>
        </w:rPr>
        <w:t xml:space="preserve"> This suggests that a significant portion of the respondents agree or strongly agree that their university employs the services of litigation consultants in prosecuting fraud cases involving staff members. The second item relates to the involvement of forensic accountants in reviewing expert reports on fraud cases. The survey results show that (3.8 per cent) strongly disagree, (7.7 per cent) disagree, (20.9 per cent) are indifferent, (57.1 per cent) agree, and (10.4 per cent) strongly agree. Again, this item received 364 responses. </w:t>
      </w:r>
      <w:r>
        <w:rPr>
          <w:rFonts w:ascii="Times New Roman" w:eastAsia="SimSun" w:hAnsi="Times New Roman"/>
          <w:sz w:val="24"/>
          <w:szCs w:val="24"/>
        </w:rPr>
        <w:t>The mean shows that respondents</w:t>
      </w:r>
      <w:r w:rsidRPr="00306B5D">
        <w:rPr>
          <w:rFonts w:ascii="Times New Roman" w:eastAsia="SimSun" w:hAnsi="Times New Roman"/>
          <w:sz w:val="24"/>
          <w:szCs w:val="24"/>
        </w:rPr>
        <w:t xml:space="preserve"> believe that their university often involve forensic accountants in reviewing expert reports on fraud cases.</w:t>
      </w:r>
      <w:r>
        <w:rPr>
          <w:rFonts w:ascii="Times New Roman" w:eastAsia="SimSun" w:hAnsi="Times New Roman"/>
          <w:sz w:val="24"/>
          <w:szCs w:val="24"/>
        </w:rPr>
        <w:t xml:space="preserve"> </w:t>
      </w:r>
      <w:r w:rsidRPr="00306B5D">
        <w:rPr>
          <w:rFonts w:ascii="Times New Roman" w:eastAsia="SimSun" w:hAnsi="Times New Roman"/>
          <w:sz w:val="24"/>
          <w:szCs w:val="24"/>
        </w:rPr>
        <w:t>The standard deviation of 0.911 suggests that respondents' opinions are relatively consistent, with most leaning towards agreement on the involvement of forensic accountants in this role.</w:t>
      </w:r>
      <w:r>
        <w:rPr>
          <w:rFonts w:ascii="Times New Roman" w:eastAsia="SimSun" w:hAnsi="Times New Roman"/>
          <w:sz w:val="24"/>
          <w:szCs w:val="24"/>
        </w:rPr>
        <w:t xml:space="preserve"> </w:t>
      </w:r>
    </w:p>
    <w:p w14:paraId="3005CACE" w14:textId="77777777" w:rsidR="002972CA" w:rsidRDefault="002972CA" w:rsidP="00324AF5">
      <w:pPr>
        <w:pStyle w:val="NoSpacing"/>
        <w:spacing w:line="360" w:lineRule="auto"/>
        <w:jc w:val="both"/>
        <w:rPr>
          <w:rFonts w:ascii="Times New Roman" w:eastAsia="SimSun" w:hAnsi="Times New Roman"/>
          <w:sz w:val="24"/>
          <w:szCs w:val="24"/>
        </w:rPr>
      </w:pPr>
    </w:p>
    <w:p w14:paraId="05C01F4D" w14:textId="01658E03" w:rsidR="00324AF5" w:rsidRPr="008B1465" w:rsidRDefault="00324AF5" w:rsidP="00324AF5">
      <w:pPr>
        <w:pStyle w:val="NoSpacing"/>
        <w:spacing w:line="360" w:lineRule="auto"/>
        <w:jc w:val="both"/>
        <w:rPr>
          <w:rFonts w:ascii="Times New Roman" w:eastAsia="SimSun" w:hAnsi="Times New Roman"/>
          <w:sz w:val="24"/>
          <w:szCs w:val="24"/>
        </w:rPr>
      </w:pPr>
      <w:r w:rsidRPr="008B1465">
        <w:rPr>
          <w:rFonts w:ascii="Times New Roman" w:eastAsia="SimSun" w:hAnsi="Times New Roman"/>
          <w:sz w:val="24"/>
          <w:szCs w:val="24"/>
        </w:rPr>
        <w:t>The findings suggest</w:t>
      </w:r>
      <w:r w:rsidR="002972CA">
        <w:rPr>
          <w:rFonts w:ascii="Times New Roman" w:eastAsia="SimSun" w:hAnsi="Times New Roman"/>
          <w:sz w:val="24"/>
          <w:szCs w:val="24"/>
        </w:rPr>
        <w:t>s</w:t>
      </w:r>
      <w:r w:rsidRPr="008B1465">
        <w:rPr>
          <w:rFonts w:ascii="Times New Roman" w:eastAsia="SimSun" w:hAnsi="Times New Roman"/>
          <w:sz w:val="24"/>
          <w:szCs w:val="24"/>
        </w:rPr>
        <w:t xml:space="preserve"> that a majority of the respondents agree or strongly agree that their universities often engages forensic accountants to review expert reports on fraud cases. Moving on to the third item, which concerns the presence of a skilled and well-funded litigation support unit within the accounting and legal departments, the responses indicate that (4.4 per cent) strongly disagree, (9.3 per cent) disagree, (25.8 per cent) are indifferent, (51.1 per cent) agree, and (9.3 per cent) strongly agree. The total number of responses for this item is also 364. </w:t>
      </w:r>
      <w:r w:rsidRPr="00C1309E">
        <w:rPr>
          <w:rFonts w:ascii="Times New Roman" w:eastAsia="SimSun" w:hAnsi="Times New Roman"/>
          <w:sz w:val="24"/>
          <w:szCs w:val="24"/>
        </w:rPr>
        <w:t>On average, respondents think that their university has a skillful and well-funded litigation support unit within the accounting and legal departments.</w:t>
      </w:r>
      <w:r>
        <w:rPr>
          <w:rFonts w:ascii="Times New Roman" w:eastAsia="SimSun" w:hAnsi="Times New Roman"/>
          <w:sz w:val="24"/>
          <w:szCs w:val="24"/>
        </w:rPr>
        <w:t xml:space="preserve"> </w:t>
      </w:r>
      <w:r w:rsidRPr="00C1309E">
        <w:rPr>
          <w:rFonts w:ascii="Times New Roman" w:eastAsia="SimSun" w:hAnsi="Times New Roman"/>
          <w:sz w:val="24"/>
          <w:szCs w:val="24"/>
        </w:rPr>
        <w:t>The standard deviation of 0.943 indicates some variability in responses, with most respondents agreeing but with some variation in the strength of agreement.</w:t>
      </w:r>
      <w:r>
        <w:rPr>
          <w:rFonts w:ascii="Times New Roman" w:eastAsia="SimSun" w:hAnsi="Times New Roman"/>
          <w:sz w:val="24"/>
          <w:szCs w:val="24"/>
        </w:rPr>
        <w:t xml:space="preserve"> </w:t>
      </w:r>
      <w:r w:rsidRPr="008B1465">
        <w:rPr>
          <w:rFonts w:ascii="Times New Roman" w:eastAsia="SimSun" w:hAnsi="Times New Roman"/>
          <w:sz w:val="24"/>
          <w:szCs w:val="24"/>
        </w:rPr>
        <w:t>This implies that a majority of the participants agree or strongly agree that their university possesses a competent and adequately funded litigation support unit.</w:t>
      </w:r>
    </w:p>
    <w:p w14:paraId="367D7D9A" w14:textId="77777777" w:rsidR="00324AF5" w:rsidRPr="008B1465" w:rsidRDefault="00324AF5" w:rsidP="00324AF5">
      <w:pPr>
        <w:pStyle w:val="NoSpacing"/>
        <w:spacing w:line="360" w:lineRule="auto"/>
        <w:jc w:val="both"/>
        <w:rPr>
          <w:rFonts w:ascii="Times New Roman" w:eastAsia="SimSun" w:hAnsi="Times New Roman"/>
          <w:sz w:val="24"/>
          <w:szCs w:val="24"/>
        </w:rPr>
      </w:pPr>
    </w:p>
    <w:p w14:paraId="3C2AD1AE" w14:textId="77777777" w:rsidR="002972CA" w:rsidRDefault="00324AF5" w:rsidP="00324AF5">
      <w:pPr>
        <w:pStyle w:val="NoSpacing"/>
        <w:spacing w:line="360" w:lineRule="auto"/>
        <w:jc w:val="both"/>
        <w:rPr>
          <w:rFonts w:ascii="Times New Roman" w:eastAsia="SimSun" w:hAnsi="Times New Roman"/>
          <w:sz w:val="24"/>
          <w:szCs w:val="24"/>
        </w:rPr>
      </w:pPr>
      <w:r w:rsidRPr="008B1465">
        <w:rPr>
          <w:rFonts w:ascii="Times New Roman" w:eastAsia="SimSun" w:hAnsi="Times New Roman"/>
          <w:sz w:val="24"/>
          <w:szCs w:val="24"/>
        </w:rPr>
        <w:t xml:space="preserve">The fourth item addresses the involvement of forensic accountants in securing necessary documentation for litigation processes at the university. The survey results reveal that (7.7 per cent) strongly disagree, (6.0 per cent) disagree, (21.4 per cent) are indifferent, (44.5 per cent) agree, and (20.3 per cent) strongly agree. As with the previous items, there were 364 responses. </w:t>
      </w:r>
      <w:r>
        <w:rPr>
          <w:rFonts w:ascii="Times New Roman" w:eastAsia="SimSun" w:hAnsi="Times New Roman"/>
          <w:sz w:val="24"/>
          <w:szCs w:val="24"/>
        </w:rPr>
        <w:t xml:space="preserve">From the mean gotten, </w:t>
      </w:r>
      <w:r w:rsidRPr="00C1309E">
        <w:rPr>
          <w:rFonts w:ascii="Times New Roman" w:eastAsia="SimSun" w:hAnsi="Times New Roman"/>
          <w:sz w:val="24"/>
          <w:szCs w:val="24"/>
        </w:rPr>
        <w:t>respondents believe that forensic accountants have been involved in securing documentation necessary to support litigation processes in their university.</w:t>
      </w:r>
      <w:r>
        <w:rPr>
          <w:rFonts w:ascii="Times New Roman" w:eastAsia="SimSun" w:hAnsi="Times New Roman"/>
          <w:sz w:val="24"/>
          <w:szCs w:val="24"/>
        </w:rPr>
        <w:t xml:space="preserve"> </w:t>
      </w:r>
      <w:r w:rsidRPr="00C1309E">
        <w:rPr>
          <w:rFonts w:ascii="Times New Roman" w:eastAsia="SimSun" w:hAnsi="Times New Roman"/>
          <w:sz w:val="24"/>
          <w:szCs w:val="24"/>
        </w:rPr>
        <w:t>The standard deviation of 1.106 suggests variability in responses, with some respondents strongly agreeing while others may have a less strong agreement.</w:t>
      </w:r>
      <w:r>
        <w:rPr>
          <w:rFonts w:ascii="Times New Roman" w:eastAsia="SimSun" w:hAnsi="Times New Roman"/>
          <w:sz w:val="24"/>
          <w:szCs w:val="24"/>
        </w:rPr>
        <w:t xml:space="preserve"> </w:t>
      </w:r>
      <w:r w:rsidRPr="008B1465">
        <w:rPr>
          <w:rFonts w:ascii="Times New Roman" w:eastAsia="SimSun" w:hAnsi="Times New Roman"/>
          <w:sz w:val="24"/>
          <w:szCs w:val="24"/>
        </w:rPr>
        <w:t>These findings suggest that a significant number of respondents agree or strongly agree that forensic accountants play a role in securing documentation to support litigation processes at their university.</w:t>
      </w:r>
      <w:r w:rsidR="00FC7274">
        <w:rPr>
          <w:rFonts w:ascii="Times New Roman" w:eastAsia="SimSun" w:hAnsi="Times New Roman"/>
          <w:sz w:val="24"/>
          <w:szCs w:val="24"/>
        </w:rPr>
        <w:t xml:space="preserve"> </w:t>
      </w:r>
      <w:r w:rsidRPr="008B1465">
        <w:rPr>
          <w:rFonts w:ascii="Times New Roman" w:eastAsia="SimSun" w:hAnsi="Times New Roman"/>
          <w:sz w:val="24"/>
          <w:szCs w:val="24"/>
        </w:rPr>
        <w:t>Finally, the fifth item focuses on the litigation costs incurred by the university in the course of providing litigation support services. The responses indicate that (2.7) per cent strongly disagree, (15.4) per cent disagree, (29.7) per cent are indifferent, (37.9) per cent agree, and (14.3) per cent strongly agree. Once again, there were 364 responses.</w:t>
      </w:r>
      <w:r>
        <w:rPr>
          <w:rFonts w:ascii="Times New Roman" w:eastAsia="SimSun" w:hAnsi="Times New Roman"/>
          <w:sz w:val="24"/>
          <w:szCs w:val="24"/>
        </w:rPr>
        <w:t xml:space="preserve"> </w:t>
      </w:r>
      <w:r w:rsidRPr="00624689">
        <w:rPr>
          <w:rFonts w:ascii="Times New Roman" w:eastAsia="SimSun" w:hAnsi="Times New Roman"/>
          <w:sz w:val="24"/>
          <w:szCs w:val="24"/>
        </w:rPr>
        <w:t>On average, respondents believe that their university incurs substantial litigation costs in the course of litigation support services.</w:t>
      </w:r>
      <w:r>
        <w:rPr>
          <w:rFonts w:ascii="Times New Roman" w:eastAsia="SimSun" w:hAnsi="Times New Roman"/>
          <w:sz w:val="24"/>
          <w:szCs w:val="24"/>
        </w:rPr>
        <w:t xml:space="preserve"> </w:t>
      </w:r>
    </w:p>
    <w:p w14:paraId="06800B17" w14:textId="77777777" w:rsidR="002972CA" w:rsidRDefault="002972CA" w:rsidP="00324AF5">
      <w:pPr>
        <w:pStyle w:val="NoSpacing"/>
        <w:spacing w:line="360" w:lineRule="auto"/>
        <w:jc w:val="both"/>
        <w:rPr>
          <w:rFonts w:ascii="Times New Roman" w:eastAsia="SimSun" w:hAnsi="Times New Roman"/>
          <w:sz w:val="24"/>
          <w:szCs w:val="24"/>
        </w:rPr>
      </w:pPr>
    </w:p>
    <w:p w14:paraId="386FAE24" w14:textId="51BACE10" w:rsidR="00324AF5" w:rsidRPr="00FC7274" w:rsidRDefault="00324AF5" w:rsidP="00324AF5">
      <w:pPr>
        <w:pStyle w:val="NoSpacing"/>
        <w:spacing w:line="360" w:lineRule="auto"/>
        <w:jc w:val="both"/>
        <w:rPr>
          <w:rFonts w:ascii="Times New Roman" w:eastAsia="SimSun" w:hAnsi="Times New Roman"/>
          <w:sz w:val="24"/>
          <w:szCs w:val="24"/>
        </w:rPr>
      </w:pPr>
      <w:r w:rsidRPr="00624689">
        <w:rPr>
          <w:rFonts w:ascii="Times New Roman" w:eastAsia="SimSun" w:hAnsi="Times New Roman"/>
          <w:sz w:val="24"/>
          <w:szCs w:val="24"/>
        </w:rPr>
        <w:t>The standard deviation of 1.005 indicates some variability in responses, with some respondents strongly agreeing while others may have a less strong agreement.</w:t>
      </w:r>
      <w:r w:rsidRPr="008B1465">
        <w:rPr>
          <w:rFonts w:ascii="Times New Roman" w:eastAsia="SimSun" w:hAnsi="Times New Roman"/>
          <w:sz w:val="24"/>
          <w:szCs w:val="24"/>
        </w:rPr>
        <w:t xml:space="preserve"> This suggests that a considerable proportion of the respondents agree or strongly agree that their university faces substantial litigation costs associated with providing litigation support services. In summary, based on the survey results, it appears that the respondents generally perceive their university to utilize the services of litigation consultants, involve forensic accountants in reviewing expert reports and securing documentation, have a well-funded litigation support unit, and incur significant litigation costs in supporting fraud cases involving staff members.</w:t>
      </w:r>
    </w:p>
    <w:p w14:paraId="699CBEFF" w14:textId="28BC75AD" w:rsidR="00932193" w:rsidRPr="00932193" w:rsidRDefault="00932193" w:rsidP="00932193">
      <w:pPr>
        <w:pStyle w:val="Caption"/>
        <w:keepNext/>
        <w:rPr>
          <w:rFonts w:ascii="Times New Roman" w:hAnsi="Times New Roman"/>
          <w:sz w:val="24"/>
          <w:szCs w:val="24"/>
        </w:rPr>
      </w:pPr>
      <w:bookmarkStart w:id="114" w:name="_Toc145952337"/>
      <w:r w:rsidRPr="0072282A">
        <w:rPr>
          <w:rFonts w:ascii="Times New Roman" w:hAnsi="Times New Roman"/>
          <w:i w:val="0"/>
          <w:iCs w:val="0"/>
          <w:color w:val="000000" w:themeColor="text1"/>
          <w:sz w:val="24"/>
          <w:szCs w:val="24"/>
        </w:rPr>
        <w:t xml:space="preserve">Table </w:t>
      </w:r>
      <w:r w:rsidR="000F6857">
        <w:rPr>
          <w:rFonts w:ascii="Times New Roman" w:hAnsi="Times New Roman"/>
          <w:i w:val="0"/>
          <w:iCs w:val="0"/>
          <w:color w:val="000000" w:themeColor="text1"/>
          <w:sz w:val="24"/>
          <w:szCs w:val="24"/>
        </w:rPr>
        <w:fldChar w:fldCharType="begin"/>
      </w:r>
      <w:r w:rsidR="000F6857">
        <w:rPr>
          <w:rFonts w:ascii="Times New Roman" w:hAnsi="Times New Roman"/>
          <w:i w:val="0"/>
          <w:iCs w:val="0"/>
          <w:color w:val="000000" w:themeColor="text1"/>
          <w:sz w:val="24"/>
          <w:szCs w:val="24"/>
        </w:rPr>
        <w:instrText xml:space="preserve"> STYLEREF 1 \s </w:instrText>
      </w:r>
      <w:r w:rsidR="000F6857">
        <w:rPr>
          <w:rFonts w:ascii="Times New Roman" w:hAnsi="Times New Roman"/>
          <w:i w:val="0"/>
          <w:iCs w:val="0"/>
          <w:color w:val="000000" w:themeColor="text1"/>
          <w:sz w:val="24"/>
          <w:szCs w:val="24"/>
        </w:rPr>
        <w:fldChar w:fldCharType="separate"/>
      </w:r>
      <w:r w:rsidR="007B5846">
        <w:rPr>
          <w:rFonts w:ascii="Times New Roman" w:hAnsi="Times New Roman"/>
          <w:i w:val="0"/>
          <w:iCs w:val="0"/>
          <w:noProof/>
          <w:color w:val="000000" w:themeColor="text1"/>
          <w:sz w:val="24"/>
          <w:szCs w:val="24"/>
        </w:rPr>
        <w:t>4</w:t>
      </w:r>
      <w:r w:rsidR="000F6857">
        <w:rPr>
          <w:rFonts w:ascii="Times New Roman" w:hAnsi="Times New Roman"/>
          <w:i w:val="0"/>
          <w:iCs w:val="0"/>
          <w:color w:val="000000" w:themeColor="text1"/>
          <w:sz w:val="24"/>
          <w:szCs w:val="24"/>
        </w:rPr>
        <w:fldChar w:fldCharType="end"/>
      </w:r>
      <w:r w:rsidR="000F6857">
        <w:rPr>
          <w:rFonts w:ascii="Times New Roman" w:hAnsi="Times New Roman"/>
          <w:i w:val="0"/>
          <w:iCs w:val="0"/>
          <w:color w:val="000000" w:themeColor="text1"/>
          <w:sz w:val="24"/>
          <w:szCs w:val="24"/>
        </w:rPr>
        <w:t>.</w:t>
      </w:r>
      <w:r w:rsidR="000F6857">
        <w:rPr>
          <w:rFonts w:ascii="Times New Roman" w:hAnsi="Times New Roman"/>
          <w:i w:val="0"/>
          <w:iCs w:val="0"/>
          <w:color w:val="000000" w:themeColor="text1"/>
          <w:sz w:val="24"/>
          <w:szCs w:val="24"/>
        </w:rPr>
        <w:fldChar w:fldCharType="begin"/>
      </w:r>
      <w:r w:rsidR="000F6857">
        <w:rPr>
          <w:rFonts w:ascii="Times New Roman" w:hAnsi="Times New Roman"/>
          <w:i w:val="0"/>
          <w:iCs w:val="0"/>
          <w:color w:val="000000" w:themeColor="text1"/>
          <w:sz w:val="24"/>
          <w:szCs w:val="24"/>
        </w:rPr>
        <w:instrText xml:space="preserve"> SEQ Table \* ARABIC \s 1 </w:instrText>
      </w:r>
      <w:r w:rsidR="000F6857">
        <w:rPr>
          <w:rFonts w:ascii="Times New Roman" w:hAnsi="Times New Roman"/>
          <w:i w:val="0"/>
          <w:iCs w:val="0"/>
          <w:color w:val="000000" w:themeColor="text1"/>
          <w:sz w:val="24"/>
          <w:szCs w:val="24"/>
        </w:rPr>
        <w:fldChar w:fldCharType="separate"/>
      </w:r>
      <w:r w:rsidR="007B5846">
        <w:rPr>
          <w:rFonts w:ascii="Times New Roman" w:hAnsi="Times New Roman"/>
          <w:i w:val="0"/>
          <w:iCs w:val="0"/>
          <w:noProof/>
          <w:color w:val="000000" w:themeColor="text1"/>
          <w:sz w:val="24"/>
          <w:szCs w:val="24"/>
        </w:rPr>
        <w:t>4</w:t>
      </w:r>
      <w:r w:rsidR="000F6857">
        <w:rPr>
          <w:rFonts w:ascii="Times New Roman" w:hAnsi="Times New Roman"/>
          <w:i w:val="0"/>
          <w:iCs w:val="0"/>
          <w:color w:val="000000" w:themeColor="text1"/>
          <w:sz w:val="24"/>
          <w:szCs w:val="24"/>
        </w:rPr>
        <w:fldChar w:fldCharType="end"/>
      </w:r>
      <w:r w:rsidRPr="00932193">
        <w:rPr>
          <w:rFonts w:ascii="Times New Roman" w:hAnsi="Times New Roman"/>
          <w:sz w:val="24"/>
          <w:szCs w:val="24"/>
        </w:rPr>
        <w:t xml:space="preserve">: </w:t>
      </w:r>
      <w:r w:rsidRPr="00932193">
        <w:rPr>
          <w:rFonts w:ascii="Times New Roman" w:hAnsi="Times New Roman"/>
          <w:i w:val="0"/>
          <w:iCs w:val="0"/>
          <w:color w:val="auto"/>
          <w:sz w:val="24"/>
          <w:szCs w:val="24"/>
        </w:rPr>
        <w:t>Descriptive Analysis of Respondents’ Information on Surprise Cash Count Practices</w:t>
      </w:r>
      <w:bookmarkEnd w:id="114"/>
    </w:p>
    <w:tbl>
      <w:tblPr>
        <w:tblW w:w="5107" w:type="pct"/>
        <w:jc w:val="center"/>
        <w:tblLayout w:type="fixed"/>
        <w:tblCellMar>
          <w:left w:w="0" w:type="dxa"/>
          <w:right w:w="0" w:type="dxa"/>
        </w:tblCellMar>
        <w:tblLook w:val="0000" w:firstRow="0" w:lastRow="0" w:firstColumn="0" w:lastColumn="0" w:noHBand="0" w:noVBand="0"/>
      </w:tblPr>
      <w:tblGrid>
        <w:gridCol w:w="362"/>
        <w:gridCol w:w="2885"/>
        <w:gridCol w:w="358"/>
        <w:gridCol w:w="543"/>
        <w:gridCol w:w="449"/>
        <w:gridCol w:w="629"/>
        <w:gridCol w:w="449"/>
        <w:gridCol w:w="631"/>
        <w:gridCol w:w="451"/>
        <w:gridCol w:w="631"/>
        <w:gridCol w:w="359"/>
        <w:gridCol w:w="635"/>
        <w:gridCol w:w="474"/>
        <w:gridCol w:w="704"/>
      </w:tblGrid>
      <w:tr w:rsidR="00DB6337" w:rsidRPr="008B1465" w14:paraId="30305A82" w14:textId="62D5CBC7" w:rsidTr="007E6A6A">
        <w:trPr>
          <w:cantSplit/>
          <w:trHeight w:val="446"/>
          <w:jc w:val="center"/>
        </w:trPr>
        <w:tc>
          <w:tcPr>
            <w:tcW w:w="189" w:type="pct"/>
            <w:tcBorders>
              <w:top w:val="thinThickSmallGap" w:sz="24" w:space="0" w:color="auto"/>
              <w:bottom w:val="thinThickSmallGap" w:sz="24" w:space="0" w:color="auto"/>
            </w:tcBorders>
            <w:shd w:val="clear" w:color="auto" w:fill="auto"/>
            <w:vAlign w:val="center"/>
          </w:tcPr>
          <w:p w14:paraId="3F373C11" w14:textId="77777777" w:rsidR="00DB6337" w:rsidRPr="008B1465" w:rsidRDefault="00DB6337" w:rsidP="00DB6337">
            <w:pPr>
              <w:autoSpaceDE w:val="0"/>
              <w:autoSpaceDN w:val="0"/>
              <w:adjustRightInd w:val="0"/>
              <w:spacing w:after="0" w:line="240" w:lineRule="auto"/>
              <w:jc w:val="center"/>
              <w:rPr>
                <w:rFonts w:ascii="Times New Roman" w:hAnsi="Times New Roman"/>
                <w:b/>
                <w:bCs/>
              </w:rPr>
            </w:pPr>
            <w:r w:rsidRPr="008B1465">
              <w:rPr>
                <w:rFonts w:ascii="Times New Roman" w:hAnsi="Times New Roman"/>
                <w:b/>
                <w:bCs/>
              </w:rPr>
              <w:t>S/N</w:t>
            </w:r>
          </w:p>
        </w:tc>
        <w:tc>
          <w:tcPr>
            <w:tcW w:w="1509" w:type="pct"/>
            <w:tcBorders>
              <w:top w:val="thinThickSmallGap" w:sz="24" w:space="0" w:color="auto"/>
              <w:bottom w:val="thinThickSmallGap" w:sz="24" w:space="0" w:color="auto"/>
            </w:tcBorders>
            <w:shd w:val="clear" w:color="auto" w:fill="auto"/>
            <w:vAlign w:val="center"/>
          </w:tcPr>
          <w:p w14:paraId="45083BFB" w14:textId="400780A2" w:rsidR="00DB6337" w:rsidRPr="008B1465" w:rsidRDefault="00DB6337" w:rsidP="00DB6337">
            <w:pPr>
              <w:autoSpaceDE w:val="0"/>
              <w:autoSpaceDN w:val="0"/>
              <w:adjustRightInd w:val="0"/>
              <w:spacing w:after="0" w:line="240" w:lineRule="auto"/>
              <w:jc w:val="center"/>
              <w:rPr>
                <w:rFonts w:ascii="Times New Roman" w:hAnsi="Times New Roman"/>
                <w:b/>
                <w:bCs/>
              </w:rPr>
            </w:pPr>
            <w:r w:rsidRPr="008B1465">
              <w:rPr>
                <w:rFonts w:ascii="Times New Roman" w:hAnsi="Times New Roman"/>
                <w:b/>
                <w:bCs/>
              </w:rPr>
              <w:t>Item</w:t>
            </w:r>
            <w:r>
              <w:rPr>
                <w:rFonts w:ascii="Times New Roman" w:hAnsi="Times New Roman"/>
                <w:b/>
                <w:bCs/>
              </w:rPr>
              <w:t>s</w:t>
            </w:r>
          </w:p>
        </w:tc>
        <w:tc>
          <w:tcPr>
            <w:tcW w:w="471" w:type="pct"/>
            <w:gridSpan w:val="2"/>
            <w:tcBorders>
              <w:top w:val="thinThickSmallGap" w:sz="24" w:space="0" w:color="auto"/>
              <w:bottom w:val="thinThickSmallGap" w:sz="24" w:space="0" w:color="auto"/>
            </w:tcBorders>
            <w:shd w:val="clear" w:color="auto" w:fill="auto"/>
            <w:vAlign w:val="center"/>
          </w:tcPr>
          <w:p w14:paraId="67F1E3EC" w14:textId="77777777" w:rsidR="00DB6337" w:rsidRPr="008B1465" w:rsidRDefault="00DB6337" w:rsidP="00DB6337">
            <w:pPr>
              <w:autoSpaceDE w:val="0"/>
              <w:autoSpaceDN w:val="0"/>
              <w:adjustRightInd w:val="0"/>
              <w:spacing w:after="0" w:line="320" w:lineRule="atLeast"/>
              <w:ind w:right="60"/>
              <w:jc w:val="center"/>
              <w:rPr>
                <w:rFonts w:ascii="Times New Roman" w:hAnsi="Times New Roman"/>
                <w:b/>
                <w:bCs/>
              </w:rPr>
            </w:pPr>
            <w:r w:rsidRPr="008B1465">
              <w:rPr>
                <w:rFonts w:ascii="Times New Roman" w:hAnsi="Times New Roman"/>
                <w:b/>
                <w:bCs/>
              </w:rPr>
              <w:t>SD (%)</w:t>
            </w:r>
          </w:p>
        </w:tc>
        <w:tc>
          <w:tcPr>
            <w:tcW w:w="564" w:type="pct"/>
            <w:gridSpan w:val="2"/>
            <w:tcBorders>
              <w:top w:val="thinThickSmallGap" w:sz="24" w:space="0" w:color="auto"/>
              <w:bottom w:val="thinThickSmallGap" w:sz="24" w:space="0" w:color="auto"/>
            </w:tcBorders>
            <w:shd w:val="clear" w:color="auto" w:fill="auto"/>
            <w:vAlign w:val="center"/>
          </w:tcPr>
          <w:p w14:paraId="45C1C979" w14:textId="77777777" w:rsidR="00DB6337" w:rsidRPr="008B1465" w:rsidRDefault="00DB6337" w:rsidP="00DB6337">
            <w:pPr>
              <w:autoSpaceDE w:val="0"/>
              <w:autoSpaceDN w:val="0"/>
              <w:adjustRightInd w:val="0"/>
              <w:spacing w:after="0" w:line="320" w:lineRule="atLeast"/>
              <w:ind w:left="60" w:right="60"/>
              <w:jc w:val="center"/>
              <w:rPr>
                <w:rFonts w:ascii="Times New Roman" w:hAnsi="Times New Roman"/>
                <w:b/>
                <w:bCs/>
              </w:rPr>
            </w:pPr>
            <w:r w:rsidRPr="008B1465">
              <w:rPr>
                <w:rFonts w:ascii="Times New Roman" w:hAnsi="Times New Roman"/>
                <w:b/>
                <w:bCs/>
              </w:rPr>
              <w:t>D (%)</w:t>
            </w:r>
          </w:p>
        </w:tc>
        <w:tc>
          <w:tcPr>
            <w:tcW w:w="565" w:type="pct"/>
            <w:gridSpan w:val="2"/>
            <w:tcBorders>
              <w:top w:val="thinThickSmallGap" w:sz="24" w:space="0" w:color="auto"/>
              <w:bottom w:val="thinThickSmallGap" w:sz="24" w:space="0" w:color="auto"/>
            </w:tcBorders>
            <w:shd w:val="clear" w:color="auto" w:fill="auto"/>
            <w:vAlign w:val="center"/>
          </w:tcPr>
          <w:p w14:paraId="365B00A6" w14:textId="3AB13053" w:rsidR="00DB6337" w:rsidRPr="008B1465" w:rsidRDefault="00DB6337" w:rsidP="00DB6337">
            <w:pPr>
              <w:autoSpaceDE w:val="0"/>
              <w:autoSpaceDN w:val="0"/>
              <w:adjustRightInd w:val="0"/>
              <w:spacing w:after="0" w:line="320" w:lineRule="atLeast"/>
              <w:ind w:left="60" w:right="60"/>
              <w:rPr>
                <w:rFonts w:ascii="Times New Roman" w:hAnsi="Times New Roman"/>
                <w:b/>
                <w:bCs/>
              </w:rPr>
            </w:pPr>
            <w:r w:rsidRPr="008B1465">
              <w:rPr>
                <w:rFonts w:ascii="Times New Roman" w:hAnsi="Times New Roman"/>
                <w:b/>
                <w:bCs/>
              </w:rPr>
              <w:t xml:space="preserve">      I (%)</w:t>
            </w:r>
          </w:p>
        </w:tc>
        <w:tc>
          <w:tcPr>
            <w:tcW w:w="566" w:type="pct"/>
            <w:gridSpan w:val="2"/>
            <w:tcBorders>
              <w:top w:val="thinThickSmallGap" w:sz="24" w:space="0" w:color="auto"/>
              <w:bottom w:val="thinThickSmallGap" w:sz="24" w:space="0" w:color="auto"/>
            </w:tcBorders>
            <w:shd w:val="clear" w:color="auto" w:fill="auto"/>
            <w:vAlign w:val="center"/>
          </w:tcPr>
          <w:p w14:paraId="5C34A40A" w14:textId="77777777" w:rsidR="00DB6337" w:rsidRPr="008B1465" w:rsidRDefault="00DB6337" w:rsidP="00DB6337">
            <w:pPr>
              <w:autoSpaceDE w:val="0"/>
              <w:autoSpaceDN w:val="0"/>
              <w:adjustRightInd w:val="0"/>
              <w:spacing w:after="0" w:line="320" w:lineRule="atLeast"/>
              <w:ind w:left="60" w:right="60"/>
              <w:jc w:val="center"/>
              <w:rPr>
                <w:rFonts w:ascii="Times New Roman" w:hAnsi="Times New Roman"/>
                <w:b/>
                <w:bCs/>
              </w:rPr>
            </w:pPr>
            <w:r w:rsidRPr="008B1465">
              <w:rPr>
                <w:rFonts w:ascii="Times New Roman" w:hAnsi="Times New Roman"/>
                <w:b/>
                <w:bCs/>
              </w:rPr>
              <w:t>A (%)</w:t>
            </w:r>
          </w:p>
        </w:tc>
        <w:tc>
          <w:tcPr>
            <w:tcW w:w="520" w:type="pct"/>
            <w:gridSpan w:val="2"/>
            <w:tcBorders>
              <w:top w:val="thinThickSmallGap" w:sz="24" w:space="0" w:color="auto"/>
              <w:bottom w:val="thinThickSmallGap" w:sz="24" w:space="0" w:color="auto"/>
            </w:tcBorders>
            <w:shd w:val="clear" w:color="auto" w:fill="auto"/>
            <w:vAlign w:val="center"/>
          </w:tcPr>
          <w:p w14:paraId="6A85F543" w14:textId="77777777" w:rsidR="00DB6337" w:rsidRPr="008B1465" w:rsidRDefault="00DB6337" w:rsidP="00DB6337">
            <w:pPr>
              <w:autoSpaceDE w:val="0"/>
              <w:autoSpaceDN w:val="0"/>
              <w:adjustRightInd w:val="0"/>
              <w:spacing w:after="0" w:line="320" w:lineRule="atLeast"/>
              <w:ind w:left="60" w:right="60"/>
              <w:jc w:val="center"/>
              <w:rPr>
                <w:rFonts w:ascii="Times New Roman" w:hAnsi="Times New Roman"/>
                <w:b/>
                <w:bCs/>
              </w:rPr>
            </w:pPr>
            <w:r w:rsidRPr="008B1465">
              <w:rPr>
                <w:rFonts w:ascii="Times New Roman" w:hAnsi="Times New Roman"/>
                <w:b/>
                <w:bCs/>
              </w:rPr>
              <w:t>SA (%)</w:t>
            </w:r>
          </w:p>
        </w:tc>
        <w:tc>
          <w:tcPr>
            <w:tcW w:w="248" w:type="pct"/>
            <w:tcBorders>
              <w:top w:val="thinThickSmallGap" w:sz="24" w:space="0" w:color="auto"/>
              <w:bottom w:val="thinThickSmallGap" w:sz="24" w:space="0" w:color="auto"/>
            </w:tcBorders>
            <w:shd w:val="clear" w:color="auto" w:fill="auto"/>
            <w:vAlign w:val="bottom"/>
          </w:tcPr>
          <w:p w14:paraId="301EFF2E" w14:textId="4C89EF25" w:rsidR="00DB6337" w:rsidRPr="008B1465" w:rsidRDefault="00DB6337" w:rsidP="00DB6337">
            <w:pPr>
              <w:autoSpaceDE w:val="0"/>
              <w:autoSpaceDN w:val="0"/>
              <w:adjustRightInd w:val="0"/>
              <w:spacing w:after="0" w:line="320" w:lineRule="atLeast"/>
              <w:ind w:left="60" w:right="60"/>
              <w:jc w:val="center"/>
              <w:rPr>
                <w:rFonts w:ascii="Times New Roman" w:hAnsi="Times New Roman"/>
                <w:b/>
                <w:bCs/>
              </w:rPr>
            </w:pPr>
            <w:r w:rsidRPr="00AA1F8B">
              <w:rPr>
                <w:rFonts w:ascii="Times New Roman" w:eastAsia="Calibri" w:hAnsi="Times New Roman"/>
                <w:b/>
                <w:bCs/>
                <w:sz w:val="28"/>
                <w:szCs w:val="28"/>
              </w:rPr>
              <w:t xml:space="preserve">  </w:t>
            </w:r>
            <m:oMath>
              <m:acc>
                <m:accPr>
                  <m:chr m:val="̅"/>
                  <m:ctrlPr>
                    <w:rPr>
                      <w:rFonts w:ascii="Cambria Math" w:eastAsia="Calibri" w:hAnsi="Cambria Math"/>
                      <w:b/>
                      <w:bCs/>
                      <w:i/>
                      <w:sz w:val="28"/>
                      <w:szCs w:val="28"/>
                    </w:rPr>
                  </m:ctrlPr>
                </m:accPr>
                <m:e>
                  <m:r>
                    <m:rPr>
                      <m:sty m:val="bi"/>
                    </m:rPr>
                    <w:rPr>
                      <w:rFonts w:ascii="Cambria Math" w:eastAsia="Calibri" w:hAnsi="Cambria Math"/>
                      <w:sz w:val="28"/>
                      <w:szCs w:val="28"/>
                    </w:rPr>
                    <m:t>x</m:t>
                  </m:r>
                </m:e>
              </m:acc>
            </m:oMath>
          </w:p>
        </w:tc>
        <w:tc>
          <w:tcPr>
            <w:tcW w:w="368" w:type="pct"/>
            <w:tcBorders>
              <w:top w:val="thinThickSmallGap" w:sz="24" w:space="0" w:color="auto"/>
              <w:bottom w:val="thinThickSmallGap" w:sz="24" w:space="0" w:color="auto"/>
            </w:tcBorders>
            <w:shd w:val="clear" w:color="auto" w:fill="auto"/>
            <w:vAlign w:val="bottom"/>
          </w:tcPr>
          <w:p w14:paraId="3EF78462" w14:textId="7C4CF604" w:rsidR="00DB6337" w:rsidRPr="008B1465" w:rsidRDefault="00DB6337" w:rsidP="00DB6337">
            <w:pPr>
              <w:autoSpaceDE w:val="0"/>
              <w:autoSpaceDN w:val="0"/>
              <w:adjustRightInd w:val="0"/>
              <w:spacing w:after="0" w:line="320" w:lineRule="atLeast"/>
              <w:ind w:left="60" w:right="60"/>
              <w:jc w:val="center"/>
              <w:rPr>
                <w:rFonts w:ascii="Times New Roman" w:hAnsi="Times New Roman"/>
                <w:b/>
                <w:bCs/>
              </w:rPr>
            </w:pPr>
            <w:r>
              <w:rPr>
                <w:rFonts w:ascii="Times New Roman" w:eastAsia="Calibri" w:hAnsi="Times New Roman"/>
                <w:b/>
                <w:bCs/>
              </w:rPr>
              <w:t>S</w:t>
            </w:r>
            <w:r w:rsidR="000E6240">
              <w:rPr>
                <w:rFonts w:ascii="Times New Roman" w:eastAsia="Calibri" w:hAnsi="Times New Roman"/>
                <w:b/>
                <w:bCs/>
              </w:rPr>
              <w:t>T</w:t>
            </w:r>
            <w:r>
              <w:rPr>
                <w:rFonts w:ascii="Times New Roman" w:eastAsia="Calibri" w:hAnsi="Times New Roman"/>
                <w:b/>
                <w:bCs/>
              </w:rPr>
              <w:t xml:space="preserve">D </w:t>
            </w:r>
          </w:p>
        </w:tc>
      </w:tr>
      <w:tr w:rsidR="005613A0" w:rsidRPr="008B1465" w14:paraId="7971F6AD" w14:textId="77777777" w:rsidTr="007E6A6A">
        <w:trPr>
          <w:cantSplit/>
          <w:trHeight w:val="683"/>
          <w:jc w:val="center"/>
        </w:trPr>
        <w:tc>
          <w:tcPr>
            <w:tcW w:w="189" w:type="pct"/>
            <w:tcBorders>
              <w:top w:val="thinThickSmallGap" w:sz="24" w:space="0" w:color="auto"/>
            </w:tcBorders>
            <w:shd w:val="clear" w:color="auto" w:fill="auto"/>
          </w:tcPr>
          <w:p w14:paraId="4A0CFC0D" w14:textId="77777777" w:rsidR="005613A0" w:rsidRPr="008B1465" w:rsidRDefault="005613A0" w:rsidP="005613A0">
            <w:pPr>
              <w:pStyle w:val="ListParagraph"/>
              <w:numPr>
                <w:ilvl w:val="0"/>
                <w:numId w:val="25"/>
              </w:numPr>
              <w:autoSpaceDE w:val="0"/>
              <w:autoSpaceDN w:val="0"/>
              <w:adjustRightInd w:val="0"/>
              <w:spacing w:before="0" w:beforeAutospacing="0" w:after="0" w:line="320" w:lineRule="atLeast"/>
              <w:ind w:right="60"/>
              <w:rPr>
                <w:rFonts w:ascii="Times New Roman" w:hAnsi="Times New Roman"/>
                <w:sz w:val="18"/>
                <w:szCs w:val="18"/>
              </w:rPr>
            </w:pPr>
          </w:p>
        </w:tc>
        <w:tc>
          <w:tcPr>
            <w:tcW w:w="1509" w:type="pct"/>
            <w:tcBorders>
              <w:top w:val="thinThickSmallGap" w:sz="24" w:space="0" w:color="auto"/>
            </w:tcBorders>
            <w:shd w:val="clear" w:color="auto" w:fill="auto"/>
          </w:tcPr>
          <w:p w14:paraId="6F2E5BDB" w14:textId="77777777" w:rsidR="005613A0" w:rsidRPr="008B1465" w:rsidRDefault="005613A0" w:rsidP="005613A0">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Forensic accountants sometimes visit my university without prior notice</w:t>
            </w:r>
          </w:p>
        </w:tc>
        <w:tc>
          <w:tcPr>
            <w:tcW w:w="187" w:type="pct"/>
            <w:tcBorders>
              <w:top w:val="thinThickSmallGap" w:sz="24" w:space="0" w:color="auto"/>
            </w:tcBorders>
            <w:shd w:val="clear" w:color="auto" w:fill="auto"/>
          </w:tcPr>
          <w:p w14:paraId="6086D84B" w14:textId="77777777" w:rsidR="005613A0" w:rsidRPr="008B1465" w:rsidRDefault="005613A0" w:rsidP="005613A0">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28</w:t>
            </w:r>
          </w:p>
        </w:tc>
        <w:tc>
          <w:tcPr>
            <w:tcW w:w="284" w:type="pct"/>
            <w:tcBorders>
              <w:top w:val="thinThickSmallGap" w:sz="24" w:space="0" w:color="auto"/>
            </w:tcBorders>
            <w:shd w:val="clear" w:color="auto" w:fill="auto"/>
          </w:tcPr>
          <w:p w14:paraId="30249947" w14:textId="77777777" w:rsidR="005613A0" w:rsidRPr="008B1465" w:rsidRDefault="005613A0" w:rsidP="005613A0">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(7.7)</w:t>
            </w:r>
          </w:p>
        </w:tc>
        <w:tc>
          <w:tcPr>
            <w:tcW w:w="235" w:type="pct"/>
            <w:tcBorders>
              <w:top w:val="thinThickSmallGap" w:sz="24" w:space="0" w:color="auto"/>
            </w:tcBorders>
            <w:shd w:val="clear" w:color="auto" w:fill="auto"/>
          </w:tcPr>
          <w:p w14:paraId="0718FF14" w14:textId="77777777" w:rsidR="005613A0" w:rsidRPr="008B1465" w:rsidRDefault="005613A0" w:rsidP="005613A0">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44</w:t>
            </w:r>
          </w:p>
        </w:tc>
        <w:tc>
          <w:tcPr>
            <w:tcW w:w="329" w:type="pct"/>
            <w:tcBorders>
              <w:top w:val="thinThickSmallGap" w:sz="24" w:space="0" w:color="auto"/>
            </w:tcBorders>
            <w:shd w:val="clear" w:color="auto" w:fill="auto"/>
          </w:tcPr>
          <w:p w14:paraId="64FE6447" w14:textId="77777777" w:rsidR="005613A0" w:rsidRPr="008B1465" w:rsidRDefault="005613A0" w:rsidP="005613A0">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(12.1)</w:t>
            </w:r>
          </w:p>
        </w:tc>
        <w:tc>
          <w:tcPr>
            <w:tcW w:w="235" w:type="pct"/>
            <w:tcBorders>
              <w:top w:val="thinThickSmallGap" w:sz="24" w:space="0" w:color="auto"/>
            </w:tcBorders>
            <w:shd w:val="clear" w:color="auto" w:fill="auto"/>
          </w:tcPr>
          <w:p w14:paraId="0E59D29C" w14:textId="77777777" w:rsidR="005613A0" w:rsidRPr="008B1465" w:rsidRDefault="005613A0" w:rsidP="005613A0">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96</w:t>
            </w:r>
          </w:p>
        </w:tc>
        <w:tc>
          <w:tcPr>
            <w:tcW w:w="330" w:type="pct"/>
            <w:tcBorders>
              <w:top w:val="thinThickSmallGap" w:sz="24" w:space="0" w:color="auto"/>
            </w:tcBorders>
            <w:shd w:val="clear" w:color="auto" w:fill="auto"/>
          </w:tcPr>
          <w:p w14:paraId="26F163D8" w14:textId="77777777" w:rsidR="005613A0" w:rsidRPr="008B1465" w:rsidRDefault="005613A0" w:rsidP="005613A0">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(26.4)</w:t>
            </w:r>
          </w:p>
        </w:tc>
        <w:tc>
          <w:tcPr>
            <w:tcW w:w="236" w:type="pct"/>
            <w:tcBorders>
              <w:top w:val="thinThickSmallGap" w:sz="24" w:space="0" w:color="auto"/>
            </w:tcBorders>
            <w:shd w:val="clear" w:color="auto" w:fill="auto"/>
          </w:tcPr>
          <w:p w14:paraId="15901FA7" w14:textId="77777777" w:rsidR="005613A0" w:rsidRPr="008B1465" w:rsidRDefault="005613A0" w:rsidP="005613A0">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152</w:t>
            </w:r>
          </w:p>
        </w:tc>
        <w:tc>
          <w:tcPr>
            <w:tcW w:w="330" w:type="pct"/>
            <w:tcBorders>
              <w:top w:val="thinThickSmallGap" w:sz="24" w:space="0" w:color="auto"/>
            </w:tcBorders>
            <w:shd w:val="clear" w:color="auto" w:fill="auto"/>
          </w:tcPr>
          <w:p w14:paraId="551AF666" w14:textId="77777777" w:rsidR="005613A0" w:rsidRPr="008B1465" w:rsidRDefault="005613A0" w:rsidP="005613A0">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(41.8)</w:t>
            </w:r>
          </w:p>
        </w:tc>
        <w:tc>
          <w:tcPr>
            <w:tcW w:w="188" w:type="pct"/>
            <w:tcBorders>
              <w:top w:val="thinThickSmallGap" w:sz="24" w:space="0" w:color="auto"/>
            </w:tcBorders>
            <w:shd w:val="clear" w:color="auto" w:fill="auto"/>
          </w:tcPr>
          <w:p w14:paraId="066B91C2" w14:textId="77777777" w:rsidR="005613A0" w:rsidRPr="008B1465" w:rsidRDefault="005613A0" w:rsidP="005613A0">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44</w:t>
            </w:r>
          </w:p>
        </w:tc>
        <w:tc>
          <w:tcPr>
            <w:tcW w:w="332" w:type="pct"/>
            <w:tcBorders>
              <w:top w:val="thinThickSmallGap" w:sz="24" w:space="0" w:color="auto"/>
            </w:tcBorders>
            <w:shd w:val="clear" w:color="auto" w:fill="auto"/>
          </w:tcPr>
          <w:p w14:paraId="67C365C3" w14:textId="77777777" w:rsidR="005613A0" w:rsidRPr="008B1465" w:rsidRDefault="005613A0" w:rsidP="005613A0">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(12.1)</w:t>
            </w:r>
          </w:p>
        </w:tc>
        <w:tc>
          <w:tcPr>
            <w:tcW w:w="248" w:type="pct"/>
            <w:tcBorders>
              <w:top w:val="thinThickSmallGap" w:sz="24" w:space="0" w:color="auto"/>
            </w:tcBorders>
            <w:shd w:val="clear" w:color="auto" w:fill="auto"/>
          </w:tcPr>
          <w:p w14:paraId="4E23E313" w14:textId="41541F67" w:rsidR="005613A0" w:rsidRPr="007E6A6A" w:rsidRDefault="005613A0" w:rsidP="005613A0">
            <w:pPr>
              <w:autoSpaceDE w:val="0"/>
              <w:autoSpaceDN w:val="0"/>
              <w:adjustRightInd w:val="0"/>
              <w:spacing w:after="0" w:line="320" w:lineRule="atLeast"/>
              <w:ind w:left="60" w:right="60"/>
              <w:jc w:val="right"/>
              <w:rPr>
                <w:rFonts w:ascii="Times New Roman" w:hAnsi="Times New Roman"/>
                <w:sz w:val="18"/>
                <w:szCs w:val="18"/>
              </w:rPr>
            </w:pPr>
            <w:r w:rsidRPr="007E6A6A">
              <w:rPr>
                <w:rFonts w:ascii="Times New Roman" w:hAnsi="Times New Roman"/>
                <w:color w:val="010205"/>
                <w:sz w:val="18"/>
                <w:szCs w:val="18"/>
              </w:rPr>
              <w:t>3.38</w:t>
            </w:r>
          </w:p>
        </w:tc>
        <w:tc>
          <w:tcPr>
            <w:tcW w:w="368" w:type="pct"/>
            <w:tcBorders>
              <w:top w:val="thinThickSmallGap" w:sz="24" w:space="0" w:color="auto"/>
            </w:tcBorders>
            <w:shd w:val="clear" w:color="auto" w:fill="auto"/>
          </w:tcPr>
          <w:p w14:paraId="51CB25B2" w14:textId="53457E2B" w:rsidR="005613A0" w:rsidRPr="007E6A6A" w:rsidRDefault="005613A0" w:rsidP="005613A0">
            <w:pPr>
              <w:autoSpaceDE w:val="0"/>
              <w:autoSpaceDN w:val="0"/>
              <w:adjustRightInd w:val="0"/>
              <w:spacing w:after="0" w:line="320" w:lineRule="atLeast"/>
              <w:ind w:left="60" w:right="60"/>
              <w:rPr>
                <w:rFonts w:ascii="Times New Roman" w:hAnsi="Times New Roman"/>
                <w:sz w:val="18"/>
                <w:szCs w:val="18"/>
              </w:rPr>
            </w:pPr>
            <w:r w:rsidRPr="007E6A6A">
              <w:rPr>
                <w:rFonts w:ascii="Times New Roman" w:hAnsi="Times New Roman"/>
                <w:color w:val="010205"/>
                <w:sz w:val="18"/>
                <w:szCs w:val="18"/>
              </w:rPr>
              <w:t>1.089</w:t>
            </w:r>
          </w:p>
        </w:tc>
      </w:tr>
      <w:tr w:rsidR="005613A0" w:rsidRPr="008B1465" w14:paraId="608AD73C" w14:textId="77777777" w:rsidTr="007E6A6A">
        <w:trPr>
          <w:cantSplit/>
          <w:trHeight w:val="1052"/>
          <w:jc w:val="center"/>
        </w:trPr>
        <w:tc>
          <w:tcPr>
            <w:tcW w:w="189" w:type="pct"/>
            <w:shd w:val="clear" w:color="auto" w:fill="auto"/>
          </w:tcPr>
          <w:p w14:paraId="241142F6" w14:textId="77777777" w:rsidR="005613A0" w:rsidRPr="008B1465" w:rsidRDefault="005613A0" w:rsidP="005613A0">
            <w:pPr>
              <w:pStyle w:val="ListParagraph"/>
              <w:numPr>
                <w:ilvl w:val="0"/>
                <w:numId w:val="25"/>
              </w:numPr>
              <w:autoSpaceDE w:val="0"/>
              <w:autoSpaceDN w:val="0"/>
              <w:adjustRightInd w:val="0"/>
              <w:spacing w:before="0" w:beforeAutospacing="0" w:after="0" w:line="320" w:lineRule="atLeast"/>
              <w:ind w:right="60"/>
              <w:rPr>
                <w:rFonts w:ascii="Times New Roman" w:hAnsi="Times New Roman"/>
                <w:sz w:val="18"/>
                <w:szCs w:val="18"/>
              </w:rPr>
            </w:pPr>
          </w:p>
        </w:tc>
        <w:tc>
          <w:tcPr>
            <w:tcW w:w="1509" w:type="pct"/>
            <w:shd w:val="clear" w:color="auto" w:fill="auto"/>
          </w:tcPr>
          <w:p w14:paraId="45429170" w14:textId="77777777" w:rsidR="005613A0" w:rsidRPr="008B1465" w:rsidRDefault="005613A0" w:rsidP="005613A0">
            <w:pPr>
              <w:autoSpaceDE w:val="0"/>
              <w:autoSpaceDN w:val="0"/>
              <w:adjustRightInd w:val="0"/>
              <w:spacing w:after="0" w:line="320" w:lineRule="atLeast"/>
              <w:ind w:left="60" w:right="60"/>
              <w:jc w:val="both"/>
              <w:rPr>
                <w:rFonts w:ascii="Times New Roman" w:hAnsi="Times New Roman"/>
                <w:sz w:val="18"/>
                <w:szCs w:val="18"/>
              </w:rPr>
            </w:pPr>
            <w:r w:rsidRPr="008B1465">
              <w:rPr>
                <w:rFonts w:ascii="Times New Roman" w:hAnsi="Times New Roman"/>
                <w:sz w:val="18"/>
                <w:szCs w:val="18"/>
              </w:rPr>
              <w:t>Surprise visits of forensic accountants often result in the detection of procurement-related fraud</w:t>
            </w:r>
          </w:p>
        </w:tc>
        <w:tc>
          <w:tcPr>
            <w:tcW w:w="187" w:type="pct"/>
            <w:shd w:val="clear" w:color="auto" w:fill="auto"/>
          </w:tcPr>
          <w:p w14:paraId="25D246C3" w14:textId="77777777" w:rsidR="005613A0" w:rsidRPr="008B1465" w:rsidRDefault="005613A0" w:rsidP="005613A0">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20</w:t>
            </w:r>
          </w:p>
        </w:tc>
        <w:tc>
          <w:tcPr>
            <w:tcW w:w="284" w:type="pct"/>
            <w:shd w:val="clear" w:color="auto" w:fill="auto"/>
          </w:tcPr>
          <w:p w14:paraId="0EF16ED9" w14:textId="77777777" w:rsidR="005613A0" w:rsidRPr="008B1465" w:rsidRDefault="005613A0" w:rsidP="005613A0">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(5.5)</w:t>
            </w:r>
          </w:p>
        </w:tc>
        <w:tc>
          <w:tcPr>
            <w:tcW w:w="235" w:type="pct"/>
            <w:shd w:val="clear" w:color="auto" w:fill="auto"/>
          </w:tcPr>
          <w:p w14:paraId="5F3643A9" w14:textId="77777777" w:rsidR="005613A0" w:rsidRPr="008B1465" w:rsidRDefault="005613A0" w:rsidP="005613A0">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22</w:t>
            </w:r>
          </w:p>
        </w:tc>
        <w:tc>
          <w:tcPr>
            <w:tcW w:w="329" w:type="pct"/>
            <w:shd w:val="clear" w:color="auto" w:fill="auto"/>
          </w:tcPr>
          <w:p w14:paraId="3FCE9983" w14:textId="77777777" w:rsidR="005613A0" w:rsidRPr="008B1465" w:rsidRDefault="005613A0" w:rsidP="005613A0">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(6.0)</w:t>
            </w:r>
          </w:p>
        </w:tc>
        <w:tc>
          <w:tcPr>
            <w:tcW w:w="235" w:type="pct"/>
            <w:shd w:val="clear" w:color="auto" w:fill="auto"/>
          </w:tcPr>
          <w:p w14:paraId="73E41EBD" w14:textId="77777777" w:rsidR="005613A0" w:rsidRPr="008B1465" w:rsidRDefault="005613A0" w:rsidP="005613A0">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70</w:t>
            </w:r>
          </w:p>
        </w:tc>
        <w:tc>
          <w:tcPr>
            <w:tcW w:w="330" w:type="pct"/>
            <w:shd w:val="clear" w:color="auto" w:fill="auto"/>
          </w:tcPr>
          <w:p w14:paraId="117C24EF" w14:textId="77777777" w:rsidR="005613A0" w:rsidRPr="008B1465" w:rsidRDefault="005613A0" w:rsidP="005613A0">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(19.2)</w:t>
            </w:r>
          </w:p>
        </w:tc>
        <w:tc>
          <w:tcPr>
            <w:tcW w:w="236" w:type="pct"/>
            <w:shd w:val="clear" w:color="auto" w:fill="auto"/>
          </w:tcPr>
          <w:p w14:paraId="62A1AA6E" w14:textId="77777777" w:rsidR="005613A0" w:rsidRPr="008B1465" w:rsidRDefault="005613A0" w:rsidP="005613A0">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186</w:t>
            </w:r>
          </w:p>
        </w:tc>
        <w:tc>
          <w:tcPr>
            <w:tcW w:w="330" w:type="pct"/>
            <w:shd w:val="clear" w:color="auto" w:fill="auto"/>
          </w:tcPr>
          <w:p w14:paraId="6F143458" w14:textId="77777777" w:rsidR="005613A0" w:rsidRPr="008B1465" w:rsidRDefault="005613A0" w:rsidP="005613A0">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(51.1)</w:t>
            </w:r>
          </w:p>
        </w:tc>
        <w:tc>
          <w:tcPr>
            <w:tcW w:w="188" w:type="pct"/>
            <w:shd w:val="clear" w:color="auto" w:fill="auto"/>
          </w:tcPr>
          <w:p w14:paraId="752913DE" w14:textId="77777777" w:rsidR="005613A0" w:rsidRPr="008B1465" w:rsidRDefault="005613A0" w:rsidP="005613A0">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66</w:t>
            </w:r>
          </w:p>
        </w:tc>
        <w:tc>
          <w:tcPr>
            <w:tcW w:w="332" w:type="pct"/>
            <w:shd w:val="clear" w:color="auto" w:fill="auto"/>
          </w:tcPr>
          <w:p w14:paraId="43EC2E40" w14:textId="77777777" w:rsidR="005613A0" w:rsidRPr="008B1465" w:rsidRDefault="005613A0" w:rsidP="005613A0">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(18.1)</w:t>
            </w:r>
          </w:p>
        </w:tc>
        <w:tc>
          <w:tcPr>
            <w:tcW w:w="248" w:type="pct"/>
            <w:shd w:val="clear" w:color="auto" w:fill="auto"/>
          </w:tcPr>
          <w:p w14:paraId="56B717CD" w14:textId="2C0629F7" w:rsidR="005613A0" w:rsidRPr="007E6A6A" w:rsidRDefault="005613A0" w:rsidP="005613A0">
            <w:pPr>
              <w:autoSpaceDE w:val="0"/>
              <w:autoSpaceDN w:val="0"/>
              <w:adjustRightInd w:val="0"/>
              <w:spacing w:after="0" w:line="320" w:lineRule="atLeast"/>
              <w:ind w:left="60" w:right="60"/>
              <w:jc w:val="right"/>
              <w:rPr>
                <w:rFonts w:ascii="Times New Roman" w:hAnsi="Times New Roman"/>
                <w:sz w:val="18"/>
                <w:szCs w:val="18"/>
              </w:rPr>
            </w:pPr>
            <w:r w:rsidRPr="007E6A6A">
              <w:rPr>
                <w:rFonts w:ascii="Times New Roman" w:hAnsi="Times New Roman"/>
                <w:color w:val="010205"/>
                <w:sz w:val="18"/>
                <w:szCs w:val="18"/>
              </w:rPr>
              <w:t>3.70</w:t>
            </w:r>
          </w:p>
        </w:tc>
        <w:tc>
          <w:tcPr>
            <w:tcW w:w="368" w:type="pct"/>
            <w:shd w:val="clear" w:color="auto" w:fill="auto"/>
          </w:tcPr>
          <w:p w14:paraId="49190969" w14:textId="0384A341" w:rsidR="005613A0" w:rsidRPr="007E6A6A" w:rsidRDefault="005613A0" w:rsidP="005613A0">
            <w:pPr>
              <w:autoSpaceDE w:val="0"/>
              <w:autoSpaceDN w:val="0"/>
              <w:adjustRightInd w:val="0"/>
              <w:spacing w:after="0" w:line="320" w:lineRule="atLeast"/>
              <w:ind w:left="60" w:right="60"/>
              <w:rPr>
                <w:rFonts w:ascii="Times New Roman" w:hAnsi="Times New Roman"/>
                <w:sz w:val="18"/>
                <w:szCs w:val="18"/>
              </w:rPr>
            </w:pPr>
            <w:r w:rsidRPr="007E6A6A">
              <w:rPr>
                <w:rFonts w:ascii="Times New Roman" w:hAnsi="Times New Roman"/>
                <w:color w:val="010205"/>
                <w:sz w:val="18"/>
                <w:szCs w:val="18"/>
              </w:rPr>
              <w:t>1.012</w:t>
            </w:r>
          </w:p>
        </w:tc>
      </w:tr>
      <w:tr w:rsidR="005613A0" w:rsidRPr="008B1465" w14:paraId="7EB6A86A" w14:textId="77777777" w:rsidTr="00370DB6">
        <w:trPr>
          <w:cantSplit/>
          <w:trHeight w:val="1079"/>
          <w:jc w:val="center"/>
        </w:trPr>
        <w:tc>
          <w:tcPr>
            <w:tcW w:w="189" w:type="pct"/>
            <w:shd w:val="clear" w:color="auto" w:fill="auto"/>
          </w:tcPr>
          <w:p w14:paraId="49700DAF" w14:textId="77777777" w:rsidR="005613A0" w:rsidRPr="008B1465" w:rsidRDefault="005613A0" w:rsidP="005613A0">
            <w:pPr>
              <w:pStyle w:val="ListParagraph"/>
              <w:numPr>
                <w:ilvl w:val="0"/>
                <w:numId w:val="25"/>
              </w:numPr>
              <w:autoSpaceDE w:val="0"/>
              <w:autoSpaceDN w:val="0"/>
              <w:adjustRightInd w:val="0"/>
              <w:spacing w:before="0" w:beforeAutospacing="0" w:after="0" w:line="320" w:lineRule="atLeast"/>
              <w:ind w:right="60"/>
              <w:rPr>
                <w:rFonts w:ascii="Times New Roman" w:hAnsi="Times New Roman"/>
                <w:sz w:val="18"/>
                <w:szCs w:val="18"/>
              </w:rPr>
            </w:pPr>
          </w:p>
        </w:tc>
        <w:tc>
          <w:tcPr>
            <w:tcW w:w="1509" w:type="pct"/>
            <w:shd w:val="clear" w:color="auto" w:fill="auto"/>
          </w:tcPr>
          <w:p w14:paraId="6AC9DA33" w14:textId="77777777" w:rsidR="005613A0" w:rsidRPr="008B1465" w:rsidRDefault="005613A0" w:rsidP="005613A0">
            <w:pPr>
              <w:autoSpaceDE w:val="0"/>
              <w:autoSpaceDN w:val="0"/>
              <w:adjustRightInd w:val="0"/>
              <w:spacing w:after="0" w:line="320" w:lineRule="atLeast"/>
              <w:ind w:left="60" w:right="60"/>
              <w:jc w:val="both"/>
              <w:rPr>
                <w:rFonts w:ascii="Times New Roman" w:hAnsi="Times New Roman"/>
                <w:sz w:val="18"/>
                <w:szCs w:val="18"/>
              </w:rPr>
            </w:pPr>
            <w:r w:rsidRPr="008B1465">
              <w:rPr>
                <w:rFonts w:ascii="Times New Roman" w:hAnsi="Times New Roman"/>
                <w:sz w:val="18"/>
                <w:szCs w:val="18"/>
              </w:rPr>
              <w:t>Surprise visits of forensic accountants often result in the detection of irregularities in the bursary unit</w:t>
            </w:r>
          </w:p>
        </w:tc>
        <w:tc>
          <w:tcPr>
            <w:tcW w:w="187" w:type="pct"/>
            <w:shd w:val="clear" w:color="auto" w:fill="auto"/>
          </w:tcPr>
          <w:p w14:paraId="5CC4B862" w14:textId="77777777" w:rsidR="005613A0" w:rsidRPr="008B1465" w:rsidRDefault="005613A0" w:rsidP="005613A0">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24</w:t>
            </w:r>
          </w:p>
        </w:tc>
        <w:tc>
          <w:tcPr>
            <w:tcW w:w="284" w:type="pct"/>
            <w:shd w:val="clear" w:color="auto" w:fill="auto"/>
          </w:tcPr>
          <w:p w14:paraId="01E26A23" w14:textId="77777777" w:rsidR="005613A0" w:rsidRPr="008B1465" w:rsidRDefault="005613A0" w:rsidP="005613A0">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(6.6)</w:t>
            </w:r>
          </w:p>
        </w:tc>
        <w:tc>
          <w:tcPr>
            <w:tcW w:w="235" w:type="pct"/>
            <w:shd w:val="clear" w:color="auto" w:fill="auto"/>
          </w:tcPr>
          <w:p w14:paraId="660E6EB8" w14:textId="77777777" w:rsidR="005613A0" w:rsidRPr="008B1465" w:rsidRDefault="005613A0" w:rsidP="005613A0">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32</w:t>
            </w:r>
          </w:p>
        </w:tc>
        <w:tc>
          <w:tcPr>
            <w:tcW w:w="329" w:type="pct"/>
            <w:shd w:val="clear" w:color="auto" w:fill="auto"/>
          </w:tcPr>
          <w:p w14:paraId="52BA76EA" w14:textId="77777777" w:rsidR="005613A0" w:rsidRPr="008B1465" w:rsidRDefault="005613A0" w:rsidP="005613A0">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(8.8)</w:t>
            </w:r>
          </w:p>
        </w:tc>
        <w:tc>
          <w:tcPr>
            <w:tcW w:w="235" w:type="pct"/>
            <w:shd w:val="clear" w:color="auto" w:fill="auto"/>
          </w:tcPr>
          <w:p w14:paraId="5670D954" w14:textId="77777777" w:rsidR="005613A0" w:rsidRPr="008B1465" w:rsidRDefault="005613A0" w:rsidP="005613A0">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74</w:t>
            </w:r>
          </w:p>
        </w:tc>
        <w:tc>
          <w:tcPr>
            <w:tcW w:w="330" w:type="pct"/>
            <w:shd w:val="clear" w:color="auto" w:fill="auto"/>
          </w:tcPr>
          <w:p w14:paraId="424E620D" w14:textId="77777777" w:rsidR="005613A0" w:rsidRPr="008B1465" w:rsidRDefault="005613A0" w:rsidP="005613A0">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(20.3)</w:t>
            </w:r>
          </w:p>
        </w:tc>
        <w:tc>
          <w:tcPr>
            <w:tcW w:w="236" w:type="pct"/>
            <w:shd w:val="clear" w:color="auto" w:fill="auto"/>
          </w:tcPr>
          <w:p w14:paraId="54147433" w14:textId="77777777" w:rsidR="005613A0" w:rsidRPr="008B1465" w:rsidRDefault="005613A0" w:rsidP="005613A0">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168</w:t>
            </w:r>
          </w:p>
        </w:tc>
        <w:tc>
          <w:tcPr>
            <w:tcW w:w="330" w:type="pct"/>
            <w:shd w:val="clear" w:color="auto" w:fill="auto"/>
          </w:tcPr>
          <w:p w14:paraId="2FBA9C73" w14:textId="77777777" w:rsidR="005613A0" w:rsidRPr="008B1465" w:rsidRDefault="005613A0" w:rsidP="005613A0">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(46.2)</w:t>
            </w:r>
          </w:p>
        </w:tc>
        <w:tc>
          <w:tcPr>
            <w:tcW w:w="188" w:type="pct"/>
            <w:shd w:val="clear" w:color="auto" w:fill="auto"/>
          </w:tcPr>
          <w:p w14:paraId="2510AC0A" w14:textId="77777777" w:rsidR="005613A0" w:rsidRPr="008B1465" w:rsidRDefault="005613A0" w:rsidP="005613A0">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66</w:t>
            </w:r>
          </w:p>
        </w:tc>
        <w:tc>
          <w:tcPr>
            <w:tcW w:w="332" w:type="pct"/>
            <w:shd w:val="clear" w:color="auto" w:fill="auto"/>
          </w:tcPr>
          <w:p w14:paraId="0BA4C152" w14:textId="77777777" w:rsidR="005613A0" w:rsidRPr="008B1465" w:rsidRDefault="005613A0" w:rsidP="005613A0">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(18.1)</w:t>
            </w:r>
          </w:p>
        </w:tc>
        <w:tc>
          <w:tcPr>
            <w:tcW w:w="248" w:type="pct"/>
            <w:shd w:val="clear" w:color="auto" w:fill="auto"/>
          </w:tcPr>
          <w:p w14:paraId="4A99176B" w14:textId="1277A2C6" w:rsidR="005613A0" w:rsidRPr="007E6A6A" w:rsidRDefault="005613A0" w:rsidP="005613A0">
            <w:pPr>
              <w:autoSpaceDE w:val="0"/>
              <w:autoSpaceDN w:val="0"/>
              <w:adjustRightInd w:val="0"/>
              <w:spacing w:after="0" w:line="320" w:lineRule="atLeast"/>
              <w:ind w:left="60" w:right="60"/>
              <w:jc w:val="right"/>
              <w:rPr>
                <w:rFonts w:ascii="Times New Roman" w:hAnsi="Times New Roman"/>
                <w:sz w:val="18"/>
                <w:szCs w:val="18"/>
              </w:rPr>
            </w:pPr>
            <w:r w:rsidRPr="007E6A6A">
              <w:rPr>
                <w:rFonts w:ascii="Times New Roman" w:hAnsi="Times New Roman"/>
                <w:color w:val="010205"/>
                <w:sz w:val="18"/>
                <w:szCs w:val="18"/>
              </w:rPr>
              <w:t>3.60</w:t>
            </w:r>
          </w:p>
        </w:tc>
        <w:tc>
          <w:tcPr>
            <w:tcW w:w="368" w:type="pct"/>
            <w:shd w:val="clear" w:color="auto" w:fill="auto"/>
          </w:tcPr>
          <w:p w14:paraId="6E243949" w14:textId="12AC3536" w:rsidR="005613A0" w:rsidRPr="007E6A6A" w:rsidRDefault="005613A0" w:rsidP="005613A0">
            <w:pPr>
              <w:autoSpaceDE w:val="0"/>
              <w:autoSpaceDN w:val="0"/>
              <w:adjustRightInd w:val="0"/>
              <w:spacing w:after="0" w:line="320" w:lineRule="atLeast"/>
              <w:ind w:left="60" w:right="60"/>
              <w:rPr>
                <w:rFonts w:ascii="Times New Roman" w:hAnsi="Times New Roman"/>
                <w:sz w:val="18"/>
                <w:szCs w:val="18"/>
              </w:rPr>
            </w:pPr>
            <w:r w:rsidRPr="007E6A6A">
              <w:rPr>
                <w:rFonts w:ascii="Times New Roman" w:hAnsi="Times New Roman"/>
                <w:color w:val="010205"/>
                <w:sz w:val="18"/>
                <w:szCs w:val="18"/>
              </w:rPr>
              <w:t>1.085</w:t>
            </w:r>
          </w:p>
        </w:tc>
      </w:tr>
      <w:tr w:rsidR="005613A0" w:rsidRPr="008B1465" w14:paraId="5A896175" w14:textId="77777777" w:rsidTr="00792316">
        <w:trPr>
          <w:cantSplit/>
          <w:trHeight w:val="1052"/>
          <w:jc w:val="center"/>
        </w:trPr>
        <w:tc>
          <w:tcPr>
            <w:tcW w:w="189" w:type="pct"/>
            <w:shd w:val="clear" w:color="auto" w:fill="auto"/>
          </w:tcPr>
          <w:p w14:paraId="4067F74C" w14:textId="77777777" w:rsidR="005613A0" w:rsidRPr="008B1465" w:rsidRDefault="005613A0" w:rsidP="005613A0">
            <w:pPr>
              <w:pStyle w:val="ListParagraph"/>
              <w:numPr>
                <w:ilvl w:val="0"/>
                <w:numId w:val="25"/>
              </w:numPr>
              <w:autoSpaceDE w:val="0"/>
              <w:autoSpaceDN w:val="0"/>
              <w:adjustRightInd w:val="0"/>
              <w:spacing w:before="0" w:beforeAutospacing="0" w:after="0" w:line="320" w:lineRule="atLeast"/>
              <w:ind w:right="60"/>
              <w:rPr>
                <w:rFonts w:ascii="Times New Roman" w:hAnsi="Times New Roman"/>
                <w:sz w:val="18"/>
                <w:szCs w:val="18"/>
              </w:rPr>
            </w:pPr>
          </w:p>
        </w:tc>
        <w:tc>
          <w:tcPr>
            <w:tcW w:w="1509" w:type="pct"/>
            <w:shd w:val="clear" w:color="auto" w:fill="auto"/>
          </w:tcPr>
          <w:p w14:paraId="6F870422" w14:textId="77777777" w:rsidR="005613A0" w:rsidRPr="008B1465" w:rsidRDefault="005613A0" w:rsidP="005613A0">
            <w:pPr>
              <w:autoSpaceDE w:val="0"/>
              <w:autoSpaceDN w:val="0"/>
              <w:adjustRightInd w:val="0"/>
              <w:spacing w:after="0" w:line="320" w:lineRule="atLeast"/>
              <w:ind w:left="60" w:right="60"/>
              <w:jc w:val="both"/>
              <w:rPr>
                <w:rFonts w:ascii="Times New Roman" w:hAnsi="Times New Roman"/>
                <w:sz w:val="18"/>
                <w:szCs w:val="18"/>
              </w:rPr>
            </w:pPr>
            <w:r w:rsidRPr="008B1465">
              <w:rPr>
                <w:rFonts w:ascii="Times New Roman" w:hAnsi="Times New Roman"/>
                <w:sz w:val="18"/>
                <w:szCs w:val="18"/>
              </w:rPr>
              <w:t>Surprise visits by forensic accountants have resulted in the suspension of staff members</w:t>
            </w:r>
          </w:p>
        </w:tc>
        <w:tc>
          <w:tcPr>
            <w:tcW w:w="187" w:type="pct"/>
            <w:shd w:val="clear" w:color="auto" w:fill="auto"/>
          </w:tcPr>
          <w:p w14:paraId="29B69147" w14:textId="77777777" w:rsidR="005613A0" w:rsidRPr="008B1465" w:rsidRDefault="005613A0" w:rsidP="005613A0">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16</w:t>
            </w:r>
          </w:p>
        </w:tc>
        <w:tc>
          <w:tcPr>
            <w:tcW w:w="284" w:type="pct"/>
            <w:shd w:val="clear" w:color="auto" w:fill="auto"/>
          </w:tcPr>
          <w:p w14:paraId="5BF00D42" w14:textId="77777777" w:rsidR="005613A0" w:rsidRPr="008B1465" w:rsidRDefault="005613A0" w:rsidP="005613A0">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(4.4)</w:t>
            </w:r>
          </w:p>
        </w:tc>
        <w:tc>
          <w:tcPr>
            <w:tcW w:w="235" w:type="pct"/>
            <w:shd w:val="clear" w:color="auto" w:fill="auto"/>
          </w:tcPr>
          <w:p w14:paraId="23398D39" w14:textId="77777777" w:rsidR="005613A0" w:rsidRPr="008B1465" w:rsidRDefault="005613A0" w:rsidP="005613A0">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52</w:t>
            </w:r>
          </w:p>
        </w:tc>
        <w:tc>
          <w:tcPr>
            <w:tcW w:w="329" w:type="pct"/>
            <w:shd w:val="clear" w:color="auto" w:fill="auto"/>
          </w:tcPr>
          <w:p w14:paraId="71EB7AED" w14:textId="77777777" w:rsidR="005613A0" w:rsidRPr="008B1465" w:rsidRDefault="005613A0" w:rsidP="005613A0">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(14.3)</w:t>
            </w:r>
          </w:p>
        </w:tc>
        <w:tc>
          <w:tcPr>
            <w:tcW w:w="235" w:type="pct"/>
            <w:shd w:val="clear" w:color="auto" w:fill="auto"/>
          </w:tcPr>
          <w:p w14:paraId="71D7D147" w14:textId="77777777" w:rsidR="005613A0" w:rsidRPr="008B1465" w:rsidRDefault="005613A0" w:rsidP="005613A0">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138</w:t>
            </w:r>
          </w:p>
        </w:tc>
        <w:tc>
          <w:tcPr>
            <w:tcW w:w="330" w:type="pct"/>
            <w:shd w:val="clear" w:color="auto" w:fill="auto"/>
          </w:tcPr>
          <w:p w14:paraId="7F84824E" w14:textId="77777777" w:rsidR="005613A0" w:rsidRPr="008B1465" w:rsidRDefault="005613A0" w:rsidP="005613A0">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(37.9)</w:t>
            </w:r>
          </w:p>
        </w:tc>
        <w:tc>
          <w:tcPr>
            <w:tcW w:w="236" w:type="pct"/>
            <w:shd w:val="clear" w:color="auto" w:fill="auto"/>
          </w:tcPr>
          <w:p w14:paraId="1987F1BC" w14:textId="77777777" w:rsidR="005613A0" w:rsidRPr="008B1465" w:rsidRDefault="005613A0" w:rsidP="005613A0">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120</w:t>
            </w:r>
          </w:p>
        </w:tc>
        <w:tc>
          <w:tcPr>
            <w:tcW w:w="330" w:type="pct"/>
            <w:shd w:val="clear" w:color="auto" w:fill="auto"/>
          </w:tcPr>
          <w:p w14:paraId="0F517578" w14:textId="77777777" w:rsidR="005613A0" w:rsidRPr="008B1465" w:rsidRDefault="005613A0" w:rsidP="005613A0">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(33.0)</w:t>
            </w:r>
          </w:p>
        </w:tc>
        <w:tc>
          <w:tcPr>
            <w:tcW w:w="188" w:type="pct"/>
            <w:shd w:val="clear" w:color="auto" w:fill="auto"/>
          </w:tcPr>
          <w:p w14:paraId="43142A9A" w14:textId="77777777" w:rsidR="005613A0" w:rsidRPr="008B1465" w:rsidRDefault="005613A0" w:rsidP="005613A0">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38</w:t>
            </w:r>
          </w:p>
        </w:tc>
        <w:tc>
          <w:tcPr>
            <w:tcW w:w="332" w:type="pct"/>
            <w:shd w:val="clear" w:color="auto" w:fill="auto"/>
          </w:tcPr>
          <w:p w14:paraId="77B31DA6" w14:textId="77777777" w:rsidR="005613A0" w:rsidRPr="008B1465" w:rsidRDefault="005613A0" w:rsidP="005613A0">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(10.4)</w:t>
            </w:r>
          </w:p>
        </w:tc>
        <w:tc>
          <w:tcPr>
            <w:tcW w:w="248" w:type="pct"/>
            <w:shd w:val="clear" w:color="auto" w:fill="auto"/>
          </w:tcPr>
          <w:p w14:paraId="2D8562FD" w14:textId="738223B1" w:rsidR="005613A0" w:rsidRPr="007E6A6A" w:rsidRDefault="005613A0" w:rsidP="005613A0">
            <w:pPr>
              <w:autoSpaceDE w:val="0"/>
              <w:autoSpaceDN w:val="0"/>
              <w:adjustRightInd w:val="0"/>
              <w:spacing w:after="0" w:line="320" w:lineRule="atLeast"/>
              <w:ind w:left="60" w:right="60"/>
              <w:jc w:val="right"/>
              <w:rPr>
                <w:rFonts w:ascii="Times New Roman" w:hAnsi="Times New Roman"/>
                <w:sz w:val="18"/>
                <w:szCs w:val="18"/>
              </w:rPr>
            </w:pPr>
            <w:r w:rsidRPr="007E6A6A">
              <w:rPr>
                <w:rFonts w:ascii="Times New Roman" w:hAnsi="Times New Roman"/>
                <w:color w:val="010205"/>
                <w:sz w:val="18"/>
                <w:szCs w:val="18"/>
              </w:rPr>
              <w:t>3.31</w:t>
            </w:r>
          </w:p>
        </w:tc>
        <w:tc>
          <w:tcPr>
            <w:tcW w:w="368" w:type="pct"/>
            <w:shd w:val="clear" w:color="auto" w:fill="auto"/>
          </w:tcPr>
          <w:p w14:paraId="71335D26" w14:textId="62A03DA7" w:rsidR="005613A0" w:rsidRPr="007E6A6A" w:rsidRDefault="005613A0" w:rsidP="005613A0">
            <w:pPr>
              <w:autoSpaceDE w:val="0"/>
              <w:autoSpaceDN w:val="0"/>
              <w:adjustRightInd w:val="0"/>
              <w:spacing w:after="0" w:line="320" w:lineRule="atLeast"/>
              <w:ind w:left="60" w:right="60"/>
              <w:rPr>
                <w:rFonts w:ascii="Times New Roman" w:hAnsi="Times New Roman"/>
                <w:sz w:val="18"/>
                <w:szCs w:val="18"/>
              </w:rPr>
            </w:pPr>
            <w:r w:rsidRPr="007E6A6A">
              <w:rPr>
                <w:rFonts w:ascii="Times New Roman" w:hAnsi="Times New Roman"/>
                <w:color w:val="010205"/>
                <w:sz w:val="18"/>
                <w:szCs w:val="18"/>
              </w:rPr>
              <w:t>.987</w:t>
            </w:r>
          </w:p>
        </w:tc>
      </w:tr>
      <w:tr w:rsidR="005613A0" w:rsidRPr="008B1465" w14:paraId="02EE8F62" w14:textId="77777777" w:rsidTr="00792316">
        <w:trPr>
          <w:cantSplit/>
          <w:trHeight w:val="1052"/>
          <w:jc w:val="center"/>
        </w:trPr>
        <w:tc>
          <w:tcPr>
            <w:tcW w:w="189" w:type="pct"/>
            <w:tcBorders>
              <w:bottom w:val="thinThickSmallGap" w:sz="24" w:space="0" w:color="auto"/>
            </w:tcBorders>
            <w:shd w:val="clear" w:color="auto" w:fill="auto"/>
          </w:tcPr>
          <w:p w14:paraId="636C99A6" w14:textId="77777777" w:rsidR="005613A0" w:rsidRPr="008B1465" w:rsidRDefault="005613A0" w:rsidP="005613A0">
            <w:pPr>
              <w:pStyle w:val="ListParagraph"/>
              <w:numPr>
                <w:ilvl w:val="0"/>
                <w:numId w:val="25"/>
              </w:numPr>
              <w:autoSpaceDE w:val="0"/>
              <w:autoSpaceDN w:val="0"/>
              <w:adjustRightInd w:val="0"/>
              <w:spacing w:before="0" w:beforeAutospacing="0" w:after="0" w:line="320" w:lineRule="atLeast"/>
              <w:ind w:right="60"/>
              <w:rPr>
                <w:rFonts w:ascii="Times New Roman" w:hAnsi="Times New Roman"/>
                <w:sz w:val="18"/>
                <w:szCs w:val="18"/>
              </w:rPr>
            </w:pPr>
          </w:p>
        </w:tc>
        <w:tc>
          <w:tcPr>
            <w:tcW w:w="1509" w:type="pct"/>
            <w:tcBorders>
              <w:bottom w:val="thinThickSmallGap" w:sz="24" w:space="0" w:color="auto"/>
            </w:tcBorders>
            <w:shd w:val="clear" w:color="auto" w:fill="auto"/>
          </w:tcPr>
          <w:p w14:paraId="584F4E78" w14:textId="77777777" w:rsidR="005613A0" w:rsidRPr="008B1465" w:rsidRDefault="005613A0" w:rsidP="005613A0">
            <w:pPr>
              <w:autoSpaceDE w:val="0"/>
              <w:autoSpaceDN w:val="0"/>
              <w:adjustRightInd w:val="0"/>
              <w:spacing w:after="0" w:line="320" w:lineRule="atLeast"/>
              <w:ind w:left="60" w:right="60"/>
              <w:jc w:val="both"/>
              <w:rPr>
                <w:rFonts w:ascii="Times New Roman" w:hAnsi="Times New Roman"/>
                <w:sz w:val="18"/>
                <w:szCs w:val="18"/>
              </w:rPr>
            </w:pPr>
            <w:r w:rsidRPr="008B1465">
              <w:rPr>
                <w:rFonts w:ascii="Times New Roman" w:hAnsi="Times New Roman"/>
                <w:sz w:val="18"/>
                <w:szCs w:val="18"/>
              </w:rPr>
              <w:t>Surprise visits of forensic accountants often lead to an appraisal of the accounting officers in my institution</w:t>
            </w:r>
          </w:p>
        </w:tc>
        <w:tc>
          <w:tcPr>
            <w:tcW w:w="187" w:type="pct"/>
            <w:tcBorders>
              <w:bottom w:val="thinThickSmallGap" w:sz="24" w:space="0" w:color="auto"/>
            </w:tcBorders>
            <w:shd w:val="clear" w:color="auto" w:fill="auto"/>
          </w:tcPr>
          <w:p w14:paraId="75823146" w14:textId="77777777" w:rsidR="005613A0" w:rsidRPr="008B1465" w:rsidRDefault="005613A0" w:rsidP="005613A0">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12</w:t>
            </w:r>
          </w:p>
        </w:tc>
        <w:tc>
          <w:tcPr>
            <w:tcW w:w="284" w:type="pct"/>
            <w:tcBorders>
              <w:bottom w:val="thinThickSmallGap" w:sz="24" w:space="0" w:color="auto"/>
            </w:tcBorders>
            <w:shd w:val="clear" w:color="auto" w:fill="auto"/>
          </w:tcPr>
          <w:p w14:paraId="1EA948E9" w14:textId="77777777" w:rsidR="005613A0" w:rsidRPr="008B1465" w:rsidRDefault="005613A0" w:rsidP="005613A0">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(3.3)</w:t>
            </w:r>
          </w:p>
        </w:tc>
        <w:tc>
          <w:tcPr>
            <w:tcW w:w="235" w:type="pct"/>
            <w:tcBorders>
              <w:bottom w:val="thinThickSmallGap" w:sz="24" w:space="0" w:color="auto"/>
            </w:tcBorders>
            <w:shd w:val="clear" w:color="auto" w:fill="auto"/>
          </w:tcPr>
          <w:p w14:paraId="5F5EDD7F" w14:textId="77777777" w:rsidR="005613A0" w:rsidRPr="008B1465" w:rsidRDefault="005613A0" w:rsidP="005613A0">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44</w:t>
            </w:r>
          </w:p>
        </w:tc>
        <w:tc>
          <w:tcPr>
            <w:tcW w:w="329" w:type="pct"/>
            <w:tcBorders>
              <w:bottom w:val="thinThickSmallGap" w:sz="24" w:space="0" w:color="auto"/>
            </w:tcBorders>
            <w:shd w:val="clear" w:color="auto" w:fill="auto"/>
          </w:tcPr>
          <w:p w14:paraId="55643C95" w14:textId="77777777" w:rsidR="005613A0" w:rsidRPr="008B1465" w:rsidRDefault="005613A0" w:rsidP="005613A0">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(12.1)</w:t>
            </w:r>
          </w:p>
        </w:tc>
        <w:tc>
          <w:tcPr>
            <w:tcW w:w="235" w:type="pct"/>
            <w:tcBorders>
              <w:bottom w:val="thinThickSmallGap" w:sz="24" w:space="0" w:color="auto"/>
            </w:tcBorders>
            <w:shd w:val="clear" w:color="auto" w:fill="auto"/>
          </w:tcPr>
          <w:p w14:paraId="01750C1B" w14:textId="77777777" w:rsidR="005613A0" w:rsidRPr="008B1465" w:rsidRDefault="005613A0" w:rsidP="005613A0">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104</w:t>
            </w:r>
          </w:p>
        </w:tc>
        <w:tc>
          <w:tcPr>
            <w:tcW w:w="330" w:type="pct"/>
            <w:tcBorders>
              <w:bottom w:val="thinThickSmallGap" w:sz="24" w:space="0" w:color="auto"/>
            </w:tcBorders>
            <w:shd w:val="clear" w:color="auto" w:fill="auto"/>
          </w:tcPr>
          <w:p w14:paraId="025E1179" w14:textId="77777777" w:rsidR="005613A0" w:rsidRPr="008B1465" w:rsidRDefault="005613A0" w:rsidP="005613A0">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(28.6)</w:t>
            </w:r>
          </w:p>
        </w:tc>
        <w:tc>
          <w:tcPr>
            <w:tcW w:w="236" w:type="pct"/>
            <w:tcBorders>
              <w:bottom w:val="thinThickSmallGap" w:sz="24" w:space="0" w:color="auto"/>
            </w:tcBorders>
            <w:shd w:val="clear" w:color="auto" w:fill="auto"/>
          </w:tcPr>
          <w:p w14:paraId="6DD10222" w14:textId="77777777" w:rsidR="005613A0" w:rsidRPr="008B1465" w:rsidRDefault="005613A0" w:rsidP="005613A0">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170</w:t>
            </w:r>
          </w:p>
        </w:tc>
        <w:tc>
          <w:tcPr>
            <w:tcW w:w="330" w:type="pct"/>
            <w:tcBorders>
              <w:bottom w:val="thinThickSmallGap" w:sz="24" w:space="0" w:color="auto"/>
            </w:tcBorders>
            <w:shd w:val="clear" w:color="auto" w:fill="auto"/>
          </w:tcPr>
          <w:p w14:paraId="064BBA04" w14:textId="77777777" w:rsidR="005613A0" w:rsidRPr="008B1465" w:rsidRDefault="005613A0" w:rsidP="005613A0">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(46.7)</w:t>
            </w:r>
          </w:p>
        </w:tc>
        <w:tc>
          <w:tcPr>
            <w:tcW w:w="188" w:type="pct"/>
            <w:tcBorders>
              <w:bottom w:val="thinThickSmallGap" w:sz="24" w:space="0" w:color="auto"/>
            </w:tcBorders>
            <w:shd w:val="clear" w:color="auto" w:fill="auto"/>
          </w:tcPr>
          <w:p w14:paraId="222BE6B9" w14:textId="77777777" w:rsidR="005613A0" w:rsidRPr="008B1465" w:rsidRDefault="005613A0" w:rsidP="005613A0">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34</w:t>
            </w:r>
          </w:p>
        </w:tc>
        <w:tc>
          <w:tcPr>
            <w:tcW w:w="332" w:type="pct"/>
            <w:tcBorders>
              <w:bottom w:val="thinThickSmallGap" w:sz="24" w:space="0" w:color="auto"/>
            </w:tcBorders>
            <w:shd w:val="clear" w:color="auto" w:fill="auto"/>
          </w:tcPr>
          <w:p w14:paraId="093F14B0" w14:textId="77777777" w:rsidR="005613A0" w:rsidRPr="008B1465" w:rsidRDefault="005613A0" w:rsidP="005613A0">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(9.3)</w:t>
            </w:r>
          </w:p>
        </w:tc>
        <w:tc>
          <w:tcPr>
            <w:tcW w:w="248" w:type="pct"/>
            <w:tcBorders>
              <w:bottom w:val="thinThickSmallGap" w:sz="24" w:space="0" w:color="auto"/>
            </w:tcBorders>
            <w:shd w:val="clear" w:color="auto" w:fill="auto"/>
          </w:tcPr>
          <w:p w14:paraId="5409505E" w14:textId="386A0F5A" w:rsidR="005613A0" w:rsidRPr="007E6A6A" w:rsidRDefault="005613A0" w:rsidP="005613A0">
            <w:pPr>
              <w:autoSpaceDE w:val="0"/>
              <w:autoSpaceDN w:val="0"/>
              <w:adjustRightInd w:val="0"/>
              <w:spacing w:after="0" w:line="320" w:lineRule="atLeast"/>
              <w:ind w:left="60" w:right="60"/>
              <w:jc w:val="right"/>
              <w:rPr>
                <w:rFonts w:ascii="Times New Roman" w:hAnsi="Times New Roman"/>
                <w:sz w:val="18"/>
                <w:szCs w:val="18"/>
              </w:rPr>
            </w:pPr>
            <w:r w:rsidRPr="007E6A6A">
              <w:rPr>
                <w:rFonts w:ascii="Times New Roman" w:hAnsi="Times New Roman"/>
                <w:color w:val="010205"/>
                <w:sz w:val="18"/>
                <w:szCs w:val="18"/>
              </w:rPr>
              <w:t>3.47</w:t>
            </w:r>
          </w:p>
        </w:tc>
        <w:tc>
          <w:tcPr>
            <w:tcW w:w="368" w:type="pct"/>
            <w:tcBorders>
              <w:bottom w:val="thinThickSmallGap" w:sz="24" w:space="0" w:color="auto"/>
            </w:tcBorders>
            <w:shd w:val="clear" w:color="auto" w:fill="auto"/>
          </w:tcPr>
          <w:p w14:paraId="045D1B57" w14:textId="57DBC7CF" w:rsidR="005613A0" w:rsidRPr="007E6A6A" w:rsidRDefault="005613A0" w:rsidP="005613A0">
            <w:pPr>
              <w:autoSpaceDE w:val="0"/>
              <w:autoSpaceDN w:val="0"/>
              <w:adjustRightInd w:val="0"/>
              <w:spacing w:after="0" w:line="320" w:lineRule="atLeast"/>
              <w:ind w:left="60" w:right="60"/>
              <w:rPr>
                <w:rFonts w:ascii="Times New Roman" w:hAnsi="Times New Roman"/>
                <w:sz w:val="18"/>
                <w:szCs w:val="18"/>
              </w:rPr>
            </w:pPr>
            <w:r w:rsidRPr="007E6A6A">
              <w:rPr>
                <w:rFonts w:ascii="Times New Roman" w:hAnsi="Times New Roman"/>
                <w:color w:val="010205"/>
                <w:sz w:val="18"/>
                <w:szCs w:val="18"/>
              </w:rPr>
              <w:t>.937</w:t>
            </w:r>
          </w:p>
        </w:tc>
      </w:tr>
    </w:tbl>
    <w:p w14:paraId="504422D9" w14:textId="609021A1" w:rsidR="00234521" w:rsidRPr="008B1465" w:rsidRDefault="007F2D3E" w:rsidP="00D4007D">
      <w:pPr>
        <w:pStyle w:val="NoSpacing"/>
        <w:spacing w:line="360" w:lineRule="auto"/>
        <w:rPr>
          <w:rFonts w:asciiTheme="minorHAnsi" w:hAnsiTheme="minorHAnsi" w:cstheme="minorHAnsi"/>
          <w:b/>
          <w:bCs/>
          <w:sz w:val="18"/>
          <w:szCs w:val="18"/>
        </w:rPr>
      </w:pPr>
      <w:r w:rsidRPr="008B1465">
        <w:rPr>
          <w:rFonts w:ascii="Times New Roman" w:hAnsi="Times New Roman"/>
          <w:b/>
          <w:sz w:val="18"/>
          <w:szCs w:val="18"/>
        </w:rPr>
        <w:t xml:space="preserve">Source: Researcher’s field survey, 2023, SPSS 25.0 </w:t>
      </w:r>
      <w:r w:rsidRPr="008B1465">
        <w:rPr>
          <w:rFonts w:asciiTheme="minorHAnsi" w:hAnsiTheme="minorHAnsi" w:cstheme="minorHAnsi"/>
          <w:b/>
          <w:bCs/>
          <w:sz w:val="18"/>
          <w:szCs w:val="18"/>
        </w:rPr>
        <w:t>Version</w:t>
      </w:r>
    </w:p>
    <w:p w14:paraId="39DFD5A0" w14:textId="77777777" w:rsidR="00E207CF" w:rsidRDefault="00E207CF" w:rsidP="00324AF5">
      <w:pPr>
        <w:tabs>
          <w:tab w:val="left" w:pos="5490"/>
        </w:tabs>
        <w:autoSpaceDE w:val="0"/>
        <w:autoSpaceDN w:val="0"/>
        <w:adjustRightInd w:val="0"/>
        <w:spacing w:before="0" w:beforeAutospacing="0" w:after="0" w:line="360" w:lineRule="auto"/>
        <w:jc w:val="both"/>
        <w:rPr>
          <w:rFonts w:ascii="Times New Roman" w:hAnsi="Times New Roman"/>
          <w:color w:val="000000"/>
          <w:sz w:val="24"/>
          <w:szCs w:val="24"/>
        </w:rPr>
      </w:pPr>
    </w:p>
    <w:p w14:paraId="0BF7ACFE" w14:textId="77777777" w:rsidR="00E207CF" w:rsidRDefault="00324AF5" w:rsidP="00324AF5">
      <w:pPr>
        <w:tabs>
          <w:tab w:val="left" w:pos="5490"/>
        </w:tabs>
        <w:autoSpaceDE w:val="0"/>
        <w:autoSpaceDN w:val="0"/>
        <w:adjustRightInd w:val="0"/>
        <w:spacing w:before="0" w:beforeAutospacing="0" w:after="0" w:line="360" w:lineRule="auto"/>
        <w:jc w:val="both"/>
        <w:rPr>
          <w:rFonts w:ascii="Times New Roman" w:hAnsi="Times New Roman"/>
          <w:color w:val="000000"/>
          <w:sz w:val="24"/>
          <w:szCs w:val="24"/>
        </w:rPr>
      </w:pPr>
      <w:r w:rsidRPr="008B1465">
        <w:rPr>
          <w:rFonts w:ascii="Times New Roman" w:hAnsi="Times New Roman"/>
          <w:color w:val="000000"/>
          <w:sz w:val="24"/>
          <w:szCs w:val="24"/>
        </w:rPr>
        <w:t>In the first statement in Table 4.4, "Forensic accountants sometimes visit my university without prior notice," the respondents had mixed opinions. The majority of participants (41.8 per cent) agreed that forensic accountants visit their university without prior notice, while a significant portion (26.4 per cent) remained indifferent. A smaller percentage disagreed (12.1 per cent) or strongly disagreed (7.7 per cent) with the statement.</w:t>
      </w:r>
      <w:r>
        <w:rPr>
          <w:rFonts w:ascii="Times New Roman" w:hAnsi="Times New Roman"/>
          <w:color w:val="000000"/>
          <w:sz w:val="24"/>
          <w:szCs w:val="24"/>
        </w:rPr>
        <w:t xml:space="preserve"> </w:t>
      </w:r>
      <w:r w:rsidRPr="00DC2154">
        <w:rPr>
          <w:rFonts w:ascii="Times New Roman" w:hAnsi="Times New Roman"/>
          <w:color w:val="000000"/>
          <w:sz w:val="24"/>
          <w:szCs w:val="24"/>
        </w:rPr>
        <w:t>On average, respondents' perceptions of forensic accountants' surprise visits to their university without prior notice fall between "Agree" and "Strongly Agree." The standard deviation of 1.089 indicates that there is some variability in the responses, with a moderate level of dispersion around the mean.</w:t>
      </w:r>
    </w:p>
    <w:p w14:paraId="17214FE5" w14:textId="77777777" w:rsidR="00E207CF" w:rsidRDefault="00E207CF" w:rsidP="00324AF5">
      <w:pPr>
        <w:tabs>
          <w:tab w:val="left" w:pos="5490"/>
        </w:tabs>
        <w:autoSpaceDE w:val="0"/>
        <w:autoSpaceDN w:val="0"/>
        <w:adjustRightInd w:val="0"/>
        <w:spacing w:before="0" w:beforeAutospacing="0" w:after="0" w:line="360" w:lineRule="auto"/>
        <w:jc w:val="both"/>
        <w:rPr>
          <w:rFonts w:ascii="Times New Roman" w:hAnsi="Times New Roman"/>
          <w:color w:val="000000"/>
          <w:sz w:val="24"/>
          <w:szCs w:val="24"/>
        </w:rPr>
      </w:pPr>
    </w:p>
    <w:p w14:paraId="079D727B" w14:textId="37B43350" w:rsidR="007871B8" w:rsidRDefault="00324AF5" w:rsidP="00324AF5">
      <w:pPr>
        <w:tabs>
          <w:tab w:val="left" w:pos="5490"/>
        </w:tabs>
        <w:autoSpaceDE w:val="0"/>
        <w:autoSpaceDN w:val="0"/>
        <w:adjustRightInd w:val="0"/>
        <w:spacing w:before="0" w:beforeAutospacing="0" w:after="0" w:line="360" w:lineRule="auto"/>
        <w:jc w:val="both"/>
        <w:rPr>
          <w:rFonts w:ascii="Times New Roman" w:hAnsi="Times New Roman"/>
          <w:color w:val="000000"/>
          <w:sz w:val="24"/>
          <w:szCs w:val="24"/>
        </w:rPr>
      </w:pPr>
      <w:r w:rsidRPr="00DC2154">
        <w:rPr>
          <w:rFonts w:ascii="Times New Roman" w:hAnsi="Times New Roman"/>
          <w:color w:val="000000"/>
          <w:sz w:val="24"/>
          <w:szCs w:val="24"/>
        </w:rPr>
        <w:t xml:space="preserve"> </w:t>
      </w:r>
      <w:r w:rsidRPr="008B1465">
        <w:rPr>
          <w:rFonts w:ascii="Times New Roman" w:hAnsi="Times New Roman"/>
          <w:color w:val="000000"/>
          <w:sz w:val="24"/>
          <w:szCs w:val="24"/>
        </w:rPr>
        <w:t>The next statement explored the effectiveness of surprise visits in detecting procurement-related fraud. The majority of respondents (51.1 per cent) agreed that surprise visits often lead to the detection of such fraud. A significant portion remained indifferent (19.2 per cent), while a smaller percentage disagreed (6.0 per cent) or strongly disagreed (5.5 per cent).</w:t>
      </w:r>
      <w:r>
        <w:rPr>
          <w:rFonts w:ascii="Times New Roman" w:hAnsi="Times New Roman"/>
          <w:color w:val="000000"/>
          <w:sz w:val="24"/>
          <w:szCs w:val="24"/>
        </w:rPr>
        <w:t xml:space="preserve"> </w:t>
      </w:r>
      <w:r w:rsidRPr="00DC2154">
        <w:rPr>
          <w:rFonts w:ascii="Times New Roman" w:hAnsi="Times New Roman"/>
          <w:color w:val="000000"/>
          <w:sz w:val="24"/>
          <w:szCs w:val="24"/>
        </w:rPr>
        <w:t>On average, respondents believe that surprise visits by forensic accountants often result in the detection of procurement-related fraud. This response is closer to "Strongly Agree."</w:t>
      </w:r>
      <w:r>
        <w:rPr>
          <w:rFonts w:ascii="Times New Roman" w:hAnsi="Times New Roman"/>
          <w:color w:val="000000"/>
          <w:sz w:val="24"/>
          <w:szCs w:val="24"/>
        </w:rPr>
        <w:t xml:space="preserve"> </w:t>
      </w:r>
      <w:r w:rsidRPr="00DC2154">
        <w:rPr>
          <w:rFonts w:ascii="Times New Roman" w:hAnsi="Times New Roman"/>
          <w:color w:val="000000"/>
          <w:sz w:val="24"/>
          <w:szCs w:val="24"/>
        </w:rPr>
        <w:t>The standard deviation of 1.012 suggests that there is relatively less variability in responses compared to the first item, with many respondents leaning toward agreement.</w:t>
      </w:r>
      <w:r w:rsidR="00535EE2">
        <w:rPr>
          <w:rFonts w:ascii="Times New Roman" w:hAnsi="Times New Roman"/>
          <w:color w:val="000000"/>
          <w:sz w:val="24"/>
          <w:szCs w:val="24"/>
        </w:rPr>
        <w:t xml:space="preserve"> </w:t>
      </w:r>
      <w:r w:rsidRPr="008B1465">
        <w:rPr>
          <w:rFonts w:ascii="Times New Roman" w:hAnsi="Times New Roman"/>
          <w:color w:val="000000"/>
          <w:sz w:val="24"/>
          <w:szCs w:val="24"/>
        </w:rPr>
        <w:t>Regarding the detection of irregularities in the bursary unit, a similar pattern emerged. Almost half of the participants (46.2 per cent) agreed that surprise visits by forensic accountants often uncover irregularities in the bursary unit. A considerable portion (20.3 per cent) remained indifferent, while smaller percentages disagreed (8.8 per cent) or strongly disagreed (6.6 per cent).</w:t>
      </w:r>
      <w:r>
        <w:rPr>
          <w:rFonts w:ascii="Times New Roman" w:hAnsi="Times New Roman"/>
          <w:color w:val="000000"/>
          <w:sz w:val="24"/>
          <w:szCs w:val="24"/>
        </w:rPr>
        <w:t xml:space="preserve"> </w:t>
      </w:r>
      <w:r w:rsidRPr="00DC2154">
        <w:rPr>
          <w:rFonts w:ascii="Times New Roman" w:hAnsi="Times New Roman"/>
          <w:color w:val="000000"/>
          <w:sz w:val="24"/>
          <w:szCs w:val="24"/>
        </w:rPr>
        <w:t xml:space="preserve">Respondents, on average, perceive that surprise visits by forensic accountants often lead to the detection of irregularities in the bursary unit. </w:t>
      </w:r>
    </w:p>
    <w:p w14:paraId="68C224D3" w14:textId="77777777" w:rsidR="007871B8" w:rsidRDefault="007871B8" w:rsidP="00324AF5">
      <w:pPr>
        <w:tabs>
          <w:tab w:val="left" w:pos="5490"/>
        </w:tabs>
        <w:autoSpaceDE w:val="0"/>
        <w:autoSpaceDN w:val="0"/>
        <w:adjustRightInd w:val="0"/>
        <w:spacing w:before="0" w:beforeAutospacing="0" w:after="0" w:line="360" w:lineRule="auto"/>
        <w:jc w:val="both"/>
        <w:rPr>
          <w:rFonts w:ascii="Times New Roman" w:hAnsi="Times New Roman"/>
          <w:color w:val="000000"/>
          <w:sz w:val="24"/>
          <w:szCs w:val="24"/>
        </w:rPr>
      </w:pPr>
    </w:p>
    <w:p w14:paraId="65F58962" w14:textId="59CF5739" w:rsidR="00DE051F" w:rsidRDefault="007871B8" w:rsidP="00324AF5">
      <w:pPr>
        <w:tabs>
          <w:tab w:val="left" w:pos="5490"/>
        </w:tabs>
        <w:autoSpaceDE w:val="0"/>
        <w:autoSpaceDN w:val="0"/>
        <w:adjustRightInd w:val="0"/>
        <w:spacing w:before="0" w:beforeAutospacing="0" w:after="0" w:line="360" w:lineRule="auto"/>
        <w:jc w:val="both"/>
        <w:rPr>
          <w:rFonts w:ascii="Times New Roman" w:hAnsi="Times New Roman"/>
          <w:color w:val="000000"/>
          <w:sz w:val="24"/>
          <w:szCs w:val="24"/>
        </w:rPr>
      </w:pPr>
      <w:r>
        <w:rPr>
          <w:rFonts w:ascii="Times New Roman" w:hAnsi="Times New Roman"/>
          <w:color w:val="000000"/>
          <w:sz w:val="24"/>
          <w:szCs w:val="24"/>
        </w:rPr>
        <w:t>T</w:t>
      </w:r>
      <w:r w:rsidR="00324AF5" w:rsidRPr="00DC2154">
        <w:rPr>
          <w:rFonts w:ascii="Times New Roman" w:hAnsi="Times New Roman"/>
          <w:color w:val="000000"/>
          <w:sz w:val="24"/>
          <w:szCs w:val="24"/>
        </w:rPr>
        <w:t>his response is also close to "Strongly Agree."</w:t>
      </w:r>
      <w:r w:rsidR="00324AF5">
        <w:rPr>
          <w:rFonts w:ascii="Times New Roman" w:hAnsi="Times New Roman"/>
          <w:color w:val="000000"/>
          <w:sz w:val="24"/>
          <w:szCs w:val="24"/>
        </w:rPr>
        <w:t xml:space="preserve"> </w:t>
      </w:r>
      <w:r w:rsidR="00324AF5" w:rsidRPr="00DC2154">
        <w:rPr>
          <w:rFonts w:ascii="Times New Roman" w:hAnsi="Times New Roman"/>
          <w:color w:val="000000"/>
          <w:sz w:val="24"/>
          <w:szCs w:val="24"/>
        </w:rPr>
        <w:t>The standard deviation of 1.085 indicates a slightly higher degree of variability in responses compared to the second item. Some respondents may have stronger opinions than others.</w:t>
      </w:r>
      <w:r w:rsidR="00324AF5" w:rsidRPr="008B1465">
        <w:rPr>
          <w:rFonts w:ascii="Times New Roman" w:hAnsi="Times New Roman"/>
          <w:color w:val="000000"/>
          <w:sz w:val="24"/>
          <w:szCs w:val="24"/>
        </w:rPr>
        <w:t xml:space="preserve"> The survey also examined the potential consequences of surprise visits. It was found that such visits had resulted in the suspension of staff members. The responses varied, with the highest percentage (37.9 per cent) indicating their disagreement with this statement. A significant number of participants (33.0 per cent) remained indifferent, while a smaller percentage disagreed (14.3 per cent) or strongly disagreed (4.4 per cent). </w:t>
      </w:r>
      <w:r w:rsidR="00324AF5" w:rsidRPr="00DC2154">
        <w:rPr>
          <w:rFonts w:ascii="Times New Roman" w:hAnsi="Times New Roman"/>
          <w:color w:val="000000"/>
          <w:sz w:val="24"/>
          <w:szCs w:val="24"/>
        </w:rPr>
        <w:t>On average, respondents believe that surprise visits by forensic accountants have resulted in the suspension of staff members. This response is between "Agree" and "Strongly Agree."</w:t>
      </w:r>
      <w:r w:rsidR="00324AF5">
        <w:rPr>
          <w:rFonts w:ascii="Times New Roman" w:hAnsi="Times New Roman"/>
          <w:color w:val="000000"/>
          <w:sz w:val="24"/>
          <w:szCs w:val="24"/>
        </w:rPr>
        <w:t xml:space="preserve"> </w:t>
      </w:r>
      <w:r w:rsidR="00324AF5" w:rsidRPr="00DC2154">
        <w:rPr>
          <w:rFonts w:ascii="Times New Roman" w:hAnsi="Times New Roman"/>
          <w:color w:val="000000"/>
          <w:sz w:val="24"/>
          <w:szCs w:val="24"/>
        </w:rPr>
        <w:t>The standard deviation of 0.987 suggests relatively lower variability in responses, meaning that respondents' opinions are somewhat consistent on this item.</w:t>
      </w:r>
      <w:r w:rsidR="00324AF5">
        <w:rPr>
          <w:rFonts w:ascii="Times New Roman" w:hAnsi="Times New Roman"/>
          <w:color w:val="000000"/>
          <w:sz w:val="24"/>
          <w:szCs w:val="24"/>
        </w:rPr>
        <w:t xml:space="preserve"> </w:t>
      </w:r>
      <w:r w:rsidR="00324AF5" w:rsidRPr="008B1465">
        <w:rPr>
          <w:rFonts w:ascii="Times New Roman" w:hAnsi="Times New Roman"/>
          <w:color w:val="000000"/>
          <w:sz w:val="24"/>
          <w:szCs w:val="24"/>
        </w:rPr>
        <w:t xml:space="preserve">This suggests that the idea of suspending staff members as a result of surprise visits is less widely accepted. </w:t>
      </w:r>
    </w:p>
    <w:p w14:paraId="17F1793D" w14:textId="77777777" w:rsidR="00DE051F" w:rsidRDefault="00DE051F" w:rsidP="00324AF5">
      <w:pPr>
        <w:tabs>
          <w:tab w:val="left" w:pos="5490"/>
        </w:tabs>
        <w:autoSpaceDE w:val="0"/>
        <w:autoSpaceDN w:val="0"/>
        <w:adjustRightInd w:val="0"/>
        <w:spacing w:before="0" w:beforeAutospacing="0" w:after="0" w:line="360" w:lineRule="auto"/>
        <w:jc w:val="both"/>
        <w:rPr>
          <w:rFonts w:ascii="Times New Roman" w:hAnsi="Times New Roman"/>
          <w:color w:val="000000"/>
          <w:sz w:val="24"/>
          <w:szCs w:val="24"/>
        </w:rPr>
      </w:pPr>
    </w:p>
    <w:p w14:paraId="6DBB8286" w14:textId="17A45F87" w:rsidR="00324AF5" w:rsidRPr="008B1465" w:rsidRDefault="00324AF5" w:rsidP="00324AF5">
      <w:pPr>
        <w:tabs>
          <w:tab w:val="left" w:pos="5490"/>
        </w:tabs>
        <w:autoSpaceDE w:val="0"/>
        <w:autoSpaceDN w:val="0"/>
        <w:adjustRightInd w:val="0"/>
        <w:spacing w:before="0" w:beforeAutospacing="0" w:after="0" w:line="360" w:lineRule="auto"/>
        <w:jc w:val="both"/>
        <w:rPr>
          <w:rFonts w:ascii="Times New Roman" w:hAnsi="Times New Roman"/>
          <w:color w:val="000000"/>
          <w:sz w:val="24"/>
          <w:szCs w:val="24"/>
        </w:rPr>
      </w:pPr>
      <w:r w:rsidRPr="008B1465">
        <w:rPr>
          <w:rFonts w:ascii="Times New Roman" w:hAnsi="Times New Roman"/>
          <w:color w:val="000000"/>
          <w:sz w:val="24"/>
          <w:szCs w:val="24"/>
        </w:rPr>
        <w:t xml:space="preserve">Lastly, the survey explored whether surprise visits of forensic accountants lead to an appraisal of the accounting officers in the institution. The majority of respondents (46.7 per cent) agreed that such visits often lead to an appraisal. However, a significant portion (28.6 per cent) remained indifferent, while smaller percentages disagreed (12.1 per cent) or strongly disagreed (3.3 per cent). </w:t>
      </w:r>
      <w:r w:rsidRPr="00DC2154">
        <w:rPr>
          <w:rFonts w:ascii="Times New Roman" w:hAnsi="Times New Roman"/>
          <w:color w:val="000000"/>
          <w:sz w:val="24"/>
          <w:szCs w:val="24"/>
        </w:rPr>
        <w:t>On average, respondents think that surprise visits by forensic accountants often lead to an appraisal of the accounting officers in their institution. This response is closer to "Strongly Agree."</w:t>
      </w:r>
      <w:r>
        <w:rPr>
          <w:rFonts w:ascii="Times New Roman" w:hAnsi="Times New Roman"/>
          <w:color w:val="000000"/>
          <w:sz w:val="24"/>
          <w:szCs w:val="24"/>
        </w:rPr>
        <w:t xml:space="preserve"> </w:t>
      </w:r>
      <w:r w:rsidRPr="00DC2154">
        <w:rPr>
          <w:rFonts w:ascii="Times New Roman" w:hAnsi="Times New Roman"/>
          <w:color w:val="000000"/>
          <w:sz w:val="24"/>
          <w:szCs w:val="24"/>
        </w:rPr>
        <w:t>The standard deviation of 0.937 indicates a relatively low level of variability in responses, suggesting that respondents tend to agree or strongly agree on this statement.</w:t>
      </w:r>
    </w:p>
    <w:p w14:paraId="4D8B400C" w14:textId="77777777" w:rsidR="00324AF5" w:rsidRPr="008B1465" w:rsidRDefault="00324AF5" w:rsidP="00324AF5">
      <w:pPr>
        <w:pStyle w:val="NoSpacing"/>
        <w:spacing w:line="360" w:lineRule="auto"/>
        <w:jc w:val="both"/>
        <w:rPr>
          <w:rFonts w:ascii="Times New Roman" w:hAnsi="Times New Roman"/>
          <w:color w:val="000000"/>
          <w:sz w:val="24"/>
          <w:szCs w:val="24"/>
        </w:rPr>
      </w:pPr>
    </w:p>
    <w:p w14:paraId="7224F661" w14:textId="77777777" w:rsidR="00324AF5" w:rsidRPr="008B1465" w:rsidRDefault="00324AF5" w:rsidP="00324AF5">
      <w:pPr>
        <w:pStyle w:val="NoSpacing"/>
        <w:spacing w:line="360" w:lineRule="auto"/>
        <w:jc w:val="both"/>
        <w:rPr>
          <w:rFonts w:ascii="Times New Roman" w:hAnsi="Times New Roman"/>
          <w:color w:val="000000"/>
          <w:sz w:val="24"/>
          <w:szCs w:val="24"/>
        </w:rPr>
      </w:pPr>
      <w:r w:rsidRPr="008B1465">
        <w:rPr>
          <w:rFonts w:ascii="Times New Roman" w:hAnsi="Times New Roman"/>
          <w:color w:val="000000"/>
          <w:sz w:val="24"/>
          <w:szCs w:val="24"/>
        </w:rPr>
        <w:t>Given the above, it can be inferred that the survey results highlight a range of perceptions and experiences regarding surprise visits by forensic accountants at the university. While a significant portion of respondents believed that these visits often resulted in the detection of fraud and irregularities, opinions were more divided when it came to the suspension of staff members or the appraisal of accounting officers. These findings suggest that the presence and impact of forensic accountants in detecting financial misconduct vary among the university community.</w:t>
      </w:r>
    </w:p>
    <w:p w14:paraId="0F0CE845" w14:textId="06C0A1DD" w:rsidR="00324AF5" w:rsidRDefault="00324AF5" w:rsidP="00324AF5">
      <w:pPr>
        <w:pStyle w:val="NoSpacing"/>
        <w:spacing w:line="360" w:lineRule="auto"/>
        <w:jc w:val="both"/>
        <w:rPr>
          <w:rFonts w:ascii="Times New Roman" w:hAnsi="Times New Roman"/>
          <w:color w:val="000000"/>
          <w:sz w:val="24"/>
          <w:szCs w:val="24"/>
        </w:rPr>
      </w:pPr>
    </w:p>
    <w:p w14:paraId="70A2726F" w14:textId="77777777" w:rsidR="00BC2B65" w:rsidRDefault="00BC2B65">
      <w:pPr>
        <w:spacing w:before="0" w:beforeAutospacing="0" w:after="0" w:line="240" w:lineRule="auto"/>
        <w:rPr>
          <w:rFonts w:ascii="Times New Roman" w:hAnsi="Times New Roman"/>
          <w:color w:val="000000" w:themeColor="text1"/>
          <w:sz w:val="24"/>
          <w:szCs w:val="24"/>
        </w:rPr>
      </w:pPr>
      <w:bookmarkStart w:id="115" w:name="_Toc145952338"/>
      <w:r>
        <w:rPr>
          <w:rFonts w:ascii="Times New Roman" w:hAnsi="Times New Roman"/>
          <w:i/>
          <w:iCs/>
          <w:color w:val="000000" w:themeColor="text1"/>
          <w:sz w:val="24"/>
          <w:szCs w:val="24"/>
        </w:rPr>
        <w:br w:type="page"/>
      </w:r>
    </w:p>
    <w:p w14:paraId="24DC5475" w14:textId="42667BA6" w:rsidR="00BC2B65" w:rsidRPr="0072282A" w:rsidRDefault="00BC2B65" w:rsidP="00BC2B65">
      <w:pPr>
        <w:pStyle w:val="Caption"/>
        <w:keepNext/>
        <w:jc w:val="center"/>
        <w:rPr>
          <w:rFonts w:ascii="Times New Roman" w:hAnsi="Times New Roman"/>
          <w:sz w:val="24"/>
          <w:szCs w:val="24"/>
        </w:rPr>
      </w:pPr>
      <w:r w:rsidRPr="0072282A">
        <w:rPr>
          <w:rFonts w:ascii="Times New Roman" w:hAnsi="Times New Roman"/>
          <w:i w:val="0"/>
          <w:iCs w:val="0"/>
          <w:color w:val="000000" w:themeColor="text1"/>
          <w:sz w:val="24"/>
          <w:szCs w:val="24"/>
        </w:rPr>
        <w:t xml:space="preserve">Table </w:t>
      </w:r>
      <w:r>
        <w:rPr>
          <w:rFonts w:ascii="Times New Roman" w:hAnsi="Times New Roman"/>
          <w:i w:val="0"/>
          <w:iCs w:val="0"/>
          <w:color w:val="000000" w:themeColor="text1"/>
          <w:sz w:val="24"/>
          <w:szCs w:val="24"/>
        </w:rPr>
        <w:fldChar w:fldCharType="begin"/>
      </w:r>
      <w:r>
        <w:rPr>
          <w:rFonts w:ascii="Times New Roman" w:hAnsi="Times New Roman"/>
          <w:i w:val="0"/>
          <w:iCs w:val="0"/>
          <w:color w:val="000000" w:themeColor="text1"/>
          <w:sz w:val="24"/>
          <w:szCs w:val="24"/>
        </w:rPr>
        <w:instrText xml:space="preserve"> STYLEREF 1 \s </w:instrText>
      </w:r>
      <w:r>
        <w:rPr>
          <w:rFonts w:ascii="Times New Roman" w:hAnsi="Times New Roman"/>
          <w:i w:val="0"/>
          <w:iCs w:val="0"/>
          <w:color w:val="000000" w:themeColor="text1"/>
          <w:sz w:val="24"/>
          <w:szCs w:val="24"/>
        </w:rPr>
        <w:fldChar w:fldCharType="separate"/>
      </w:r>
      <w:r>
        <w:rPr>
          <w:rFonts w:ascii="Times New Roman" w:hAnsi="Times New Roman"/>
          <w:i w:val="0"/>
          <w:iCs w:val="0"/>
          <w:noProof/>
          <w:color w:val="000000" w:themeColor="text1"/>
          <w:sz w:val="24"/>
          <w:szCs w:val="24"/>
        </w:rPr>
        <w:t>4</w:t>
      </w:r>
      <w:r>
        <w:rPr>
          <w:rFonts w:ascii="Times New Roman" w:hAnsi="Times New Roman"/>
          <w:i w:val="0"/>
          <w:iCs w:val="0"/>
          <w:color w:val="000000" w:themeColor="text1"/>
          <w:sz w:val="24"/>
          <w:szCs w:val="24"/>
        </w:rPr>
        <w:fldChar w:fldCharType="end"/>
      </w:r>
      <w:r>
        <w:rPr>
          <w:rFonts w:ascii="Times New Roman" w:hAnsi="Times New Roman"/>
          <w:i w:val="0"/>
          <w:iCs w:val="0"/>
          <w:color w:val="000000" w:themeColor="text1"/>
          <w:sz w:val="24"/>
          <w:szCs w:val="24"/>
        </w:rPr>
        <w:t>.</w:t>
      </w:r>
      <w:r>
        <w:rPr>
          <w:rFonts w:ascii="Times New Roman" w:hAnsi="Times New Roman"/>
          <w:i w:val="0"/>
          <w:iCs w:val="0"/>
          <w:color w:val="000000" w:themeColor="text1"/>
          <w:sz w:val="24"/>
          <w:szCs w:val="24"/>
        </w:rPr>
        <w:fldChar w:fldCharType="begin"/>
      </w:r>
      <w:r>
        <w:rPr>
          <w:rFonts w:ascii="Times New Roman" w:hAnsi="Times New Roman"/>
          <w:i w:val="0"/>
          <w:iCs w:val="0"/>
          <w:color w:val="000000" w:themeColor="text1"/>
          <w:sz w:val="24"/>
          <w:szCs w:val="24"/>
        </w:rPr>
        <w:instrText xml:space="preserve"> SEQ Table \* ARABIC \s 1 </w:instrText>
      </w:r>
      <w:r>
        <w:rPr>
          <w:rFonts w:ascii="Times New Roman" w:hAnsi="Times New Roman"/>
          <w:i w:val="0"/>
          <w:iCs w:val="0"/>
          <w:color w:val="000000" w:themeColor="text1"/>
          <w:sz w:val="24"/>
          <w:szCs w:val="24"/>
        </w:rPr>
        <w:fldChar w:fldCharType="separate"/>
      </w:r>
      <w:r>
        <w:rPr>
          <w:rFonts w:ascii="Times New Roman" w:hAnsi="Times New Roman"/>
          <w:i w:val="0"/>
          <w:iCs w:val="0"/>
          <w:noProof/>
          <w:color w:val="000000" w:themeColor="text1"/>
          <w:sz w:val="24"/>
          <w:szCs w:val="24"/>
        </w:rPr>
        <w:t>5</w:t>
      </w:r>
      <w:r>
        <w:rPr>
          <w:rFonts w:ascii="Times New Roman" w:hAnsi="Times New Roman"/>
          <w:i w:val="0"/>
          <w:iCs w:val="0"/>
          <w:color w:val="000000" w:themeColor="text1"/>
          <w:sz w:val="24"/>
          <w:szCs w:val="24"/>
        </w:rPr>
        <w:fldChar w:fldCharType="end"/>
      </w:r>
      <w:r w:rsidRPr="0072282A">
        <w:rPr>
          <w:rFonts w:ascii="Times New Roman" w:hAnsi="Times New Roman"/>
          <w:sz w:val="24"/>
          <w:szCs w:val="24"/>
        </w:rPr>
        <w:t>:</w:t>
      </w:r>
      <w:r w:rsidRPr="0072282A">
        <w:rPr>
          <w:rFonts w:ascii="Times New Roman" w:hAnsi="Times New Roman"/>
          <w:i w:val="0"/>
          <w:iCs w:val="0"/>
          <w:color w:val="auto"/>
          <w:sz w:val="24"/>
          <w:szCs w:val="24"/>
        </w:rPr>
        <w:t xml:space="preserve"> Descriptive Analysis of Respondents’ Information on Accounting and Digital Environment</w:t>
      </w:r>
      <w:bookmarkEnd w:id="115"/>
    </w:p>
    <w:tbl>
      <w:tblPr>
        <w:tblW w:w="4997" w:type="pct"/>
        <w:tblInd w:w="-5" w:type="dxa"/>
        <w:tblLayout w:type="fixed"/>
        <w:tblCellMar>
          <w:left w:w="0" w:type="dxa"/>
          <w:right w:w="0" w:type="dxa"/>
        </w:tblCellMar>
        <w:tblLook w:val="0000" w:firstRow="0" w:lastRow="0" w:firstColumn="0" w:lastColumn="0" w:noHBand="0" w:noVBand="0"/>
      </w:tblPr>
      <w:tblGrid>
        <w:gridCol w:w="457"/>
        <w:gridCol w:w="2528"/>
        <w:gridCol w:w="350"/>
        <w:gridCol w:w="565"/>
        <w:gridCol w:w="340"/>
        <w:gridCol w:w="662"/>
        <w:gridCol w:w="453"/>
        <w:gridCol w:w="662"/>
        <w:gridCol w:w="453"/>
        <w:gridCol w:w="662"/>
        <w:gridCol w:w="340"/>
        <w:gridCol w:w="662"/>
        <w:gridCol w:w="513"/>
        <w:gridCol w:w="707"/>
      </w:tblGrid>
      <w:tr w:rsidR="00BC2B65" w:rsidRPr="008B1465" w14:paraId="2608ECBB" w14:textId="77777777" w:rsidTr="00FE7438">
        <w:trPr>
          <w:cantSplit/>
          <w:trHeight w:val="206"/>
        </w:trPr>
        <w:tc>
          <w:tcPr>
            <w:tcW w:w="244" w:type="pct"/>
            <w:tcBorders>
              <w:top w:val="thinThickSmallGap" w:sz="24" w:space="0" w:color="auto"/>
              <w:bottom w:val="thinThickSmallGap" w:sz="24" w:space="0" w:color="auto"/>
            </w:tcBorders>
            <w:shd w:val="clear" w:color="auto" w:fill="auto"/>
            <w:vAlign w:val="center"/>
          </w:tcPr>
          <w:p w14:paraId="33A0DA5B" w14:textId="77777777" w:rsidR="00BC2B65" w:rsidRPr="008B1465" w:rsidRDefault="00BC2B65" w:rsidP="00FE7438">
            <w:pPr>
              <w:autoSpaceDE w:val="0"/>
              <w:autoSpaceDN w:val="0"/>
              <w:adjustRightInd w:val="0"/>
              <w:spacing w:after="0" w:line="240" w:lineRule="auto"/>
              <w:jc w:val="center"/>
              <w:rPr>
                <w:rFonts w:ascii="Times New Roman" w:hAnsi="Times New Roman"/>
                <w:b/>
                <w:bCs/>
              </w:rPr>
            </w:pPr>
            <w:r w:rsidRPr="008B1465">
              <w:rPr>
                <w:rFonts w:ascii="Times New Roman" w:hAnsi="Times New Roman"/>
                <w:b/>
                <w:bCs/>
              </w:rPr>
              <w:t>S/N</w:t>
            </w:r>
          </w:p>
        </w:tc>
        <w:tc>
          <w:tcPr>
            <w:tcW w:w="1351" w:type="pct"/>
            <w:tcBorders>
              <w:top w:val="thinThickSmallGap" w:sz="24" w:space="0" w:color="auto"/>
              <w:bottom w:val="thinThickSmallGap" w:sz="24" w:space="0" w:color="auto"/>
            </w:tcBorders>
            <w:shd w:val="clear" w:color="auto" w:fill="auto"/>
            <w:vAlign w:val="center"/>
          </w:tcPr>
          <w:p w14:paraId="3CE5A455" w14:textId="77777777" w:rsidR="00BC2B65" w:rsidRPr="008B1465" w:rsidRDefault="00BC2B65" w:rsidP="00FE7438">
            <w:pPr>
              <w:autoSpaceDE w:val="0"/>
              <w:autoSpaceDN w:val="0"/>
              <w:adjustRightInd w:val="0"/>
              <w:spacing w:after="0" w:line="240" w:lineRule="auto"/>
              <w:jc w:val="center"/>
              <w:rPr>
                <w:rFonts w:ascii="Times New Roman" w:hAnsi="Times New Roman"/>
                <w:b/>
                <w:bCs/>
              </w:rPr>
            </w:pPr>
            <w:r w:rsidRPr="008B1465">
              <w:rPr>
                <w:rFonts w:ascii="Times New Roman" w:hAnsi="Times New Roman"/>
                <w:b/>
                <w:bCs/>
              </w:rPr>
              <w:t>Items</w:t>
            </w:r>
          </w:p>
        </w:tc>
        <w:tc>
          <w:tcPr>
            <w:tcW w:w="489" w:type="pct"/>
            <w:gridSpan w:val="2"/>
            <w:tcBorders>
              <w:top w:val="thinThickSmallGap" w:sz="24" w:space="0" w:color="auto"/>
              <w:bottom w:val="thinThickSmallGap" w:sz="24" w:space="0" w:color="auto"/>
            </w:tcBorders>
            <w:shd w:val="clear" w:color="auto" w:fill="auto"/>
            <w:vAlign w:val="center"/>
          </w:tcPr>
          <w:p w14:paraId="50DE3176" w14:textId="77777777" w:rsidR="00BC2B65" w:rsidRPr="008B1465" w:rsidRDefault="00BC2B65" w:rsidP="00FE7438">
            <w:pPr>
              <w:autoSpaceDE w:val="0"/>
              <w:autoSpaceDN w:val="0"/>
              <w:adjustRightInd w:val="0"/>
              <w:spacing w:after="0" w:line="320" w:lineRule="atLeast"/>
              <w:ind w:left="60" w:right="60"/>
              <w:rPr>
                <w:rFonts w:ascii="Times New Roman" w:hAnsi="Times New Roman"/>
                <w:b/>
                <w:bCs/>
              </w:rPr>
            </w:pPr>
            <w:r w:rsidRPr="008B1465">
              <w:rPr>
                <w:rFonts w:ascii="Times New Roman" w:hAnsi="Times New Roman"/>
                <w:b/>
                <w:bCs/>
              </w:rPr>
              <w:t>SD (%)</w:t>
            </w:r>
          </w:p>
        </w:tc>
        <w:tc>
          <w:tcPr>
            <w:tcW w:w="536" w:type="pct"/>
            <w:gridSpan w:val="2"/>
            <w:tcBorders>
              <w:top w:val="thinThickSmallGap" w:sz="24" w:space="0" w:color="auto"/>
              <w:bottom w:val="thinThickSmallGap" w:sz="24" w:space="0" w:color="auto"/>
            </w:tcBorders>
            <w:shd w:val="clear" w:color="auto" w:fill="auto"/>
            <w:vAlign w:val="center"/>
          </w:tcPr>
          <w:p w14:paraId="771C5AE0" w14:textId="77777777" w:rsidR="00BC2B65" w:rsidRPr="008B1465" w:rsidRDefault="00BC2B65" w:rsidP="00FE7438">
            <w:pPr>
              <w:autoSpaceDE w:val="0"/>
              <w:autoSpaceDN w:val="0"/>
              <w:adjustRightInd w:val="0"/>
              <w:spacing w:after="0" w:line="320" w:lineRule="atLeast"/>
              <w:ind w:right="60"/>
              <w:rPr>
                <w:rFonts w:ascii="Times New Roman" w:hAnsi="Times New Roman"/>
                <w:b/>
                <w:bCs/>
              </w:rPr>
            </w:pPr>
            <w:r w:rsidRPr="008B1465">
              <w:rPr>
                <w:rFonts w:ascii="Times New Roman" w:hAnsi="Times New Roman"/>
                <w:b/>
                <w:bCs/>
              </w:rPr>
              <w:t xml:space="preserve">   D (%)</w:t>
            </w:r>
          </w:p>
        </w:tc>
        <w:tc>
          <w:tcPr>
            <w:tcW w:w="596" w:type="pct"/>
            <w:gridSpan w:val="2"/>
            <w:tcBorders>
              <w:top w:val="thinThickSmallGap" w:sz="24" w:space="0" w:color="auto"/>
              <w:bottom w:val="thinThickSmallGap" w:sz="24" w:space="0" w:color="auto"/>
            </w:tcBorders>
            <w:shd w:val="clear" w:color="auto" w:fill="auto"/>
            <w:vAlign w:val="center"/>
          </w:tcPr>
          <w:p w14:paraId="15D72981" w14:textId="77777777" w:rsidR="00BC2B65" w:rsidRPr="008B1465" w:rsidRDefault="00BC2B65" w:rsidP="00FE7438">
            <w:pPr>
              <w:autoSpaceDE w:val="0"/>
              <w:autoSpaceDN w:val="0"/>
              <w:adjustRightInd w:val="0"/>
              <w:spacing w:after="0" w:line="320" w:lineRule="atLeast"/>
              <w:ind w:left="60" w:right="60"/>
              <w:jc w:val="center"/>
              <w:rPr>
                <w:rFonts w:ascii="Times New Roman" w:hAnsi="Times New Roman"/>
                <w:b/>
                <w:bCs/>
              </w:rPr>
            </w:pPr>
            <w:r w:rsidRPr="008B1465">
              <w:rPr>
                <w:rFonts w:ascii="Times New Roman" w:hAnsi="Times New Roman"/>
                <w:b/>
                <w:bCs/>
              </w:rPr>
              <w:t>I (%)</w:t>
            </w:r>
          </w:p>
        </w:tc>
        <w:tc>
          <w:tcPr>
            <w:tcW w:w="596" w:type="pct"/>
            <w:gridSpan w:val="2"/>
            <w:tcBorders>
              <w:top w:val="thinThickSmallGap" w:sz="24" w:space="0" w:color="auto"/>
              <w:bottom w:val="thinThickSmallGap" w:sz="24" w:space="0" w:color="auto"/>
            </w:tcBorders>
            <w:shd w:val="clear" w:color="auto" w:fill="auto"/>
            <w:vAlign w:val="center"/>
          </w:tcPr>
          <w:p w14:paraId="7A600384" w14:textId="77777777" w:rsidR="00BC2B65" w:rsidRPr="008B1465" w:rsidRDefault="00BC2B65" w:rsidP="00FE7438">
            <w:pPr>
              <w:autoSpaceDE w:val="0"/>
              <w:autoSpaceDN w:val="0"/>
              <w:adjustRightInd w:val="0"/>
              <w:spacing w:after="0" w:line="320" w:lineRule="atLeast"/>
              <w:ind w:left="60" w:right="60"/>
              <w:jc w:val="center"/>
              <w:rPr>
                <w:rFonts w:ascii="Times New Roman" w:hAnsi="Times New Roman"/>
                <w:b/>
                <w:bCs/>
              </w:rPr>
            </w:pPr>
            <w:r w:rsidRPr="008B1465">
              <w:rPr>
                <w:rFonts w:ascii="Times New Roman" w:hAnsi="Times New Roman"/>
                <w:b/>
                <w:bCs/>
              </w:rPr>
              <w:t>A (%)</w:t>
            </w:r>
          </w:p>
        </w:tc>
        <w:tc>
          <w:tcPr>
            <w:tcW w:w="536" w:type="pct"/>
            <w:gridSpan w:val="2"/>
            <w:tcBorders>
              <w:top w:val="thinThickSmallGap" w:sz="24" w:space="0" w:color="auto"/>
              <w:bottom w:val="thinThickSmallGap" w:sz="24" w:space="0" w:color="auto"/>
            </w:tcBorders>
            <w:shd w:val="clear" w:color="auto" w:fill="auto"/>
            <w:vAlign w:val="center"/>
          </w:tcPr>
          <w:p w14:paraId="5073CDFF" w14:textId="77777777" w:rsidR="00BC2B65" w:rsidRPr="008B1465" w:rsidRDefault="00BC2B65" w:rsidP="00FE7438">
            <w:pPr>
              <w:autoSpaceDE w:val="0"/>
              <w:autoSpaceDN w:val="0"/>
              <w:adjustRightInd w:val="0"/>
              <w:spacing w:after="0" w:line="320" w:lineRule="atLeast"/>
              <w:ind w:left="60" w:right="60"/>
              <w:rPr>
                <w:rFonts w:ascii="Times New Roman" w:hAnsi="Times New Roman"/>
                <w:b/>
                <w:bCs/>
              </w:rPr>
            </w:pPr>
            <w:r w:rsidRPr="008B1465">
              <w:rPr>
                <w:rFonts w:ascii="Times New Roman" w:hAnsi="Times New Roman"/>
                <w:b/>
                <w:bCs/>
              </w:rPr>
              <w:t>SA (%)</w:t>
            </w:r>
          </w:p>
        </w:tc>
        <w:tc>
          <w:tcPr>
            <w:tcW w:w="274" w:type="pct"/>
            <w:tcBorders>
              <w:top w:val="thinThickSmallGap" w:sz="24" w:space="0" w:color="auto"/>
              <w:bottom w:val="thinThickSmallGap" w:sz="24" w:space="0" w:color="auto"/>
            </w:tcBorders>
            <w:shd w:val="clear" w:color="auto" w:fill="auto"/>
            <w:vAlign w:val="bottom"/>
          </w:tcPr>
          <w:p w14:paraId="05B290F9" w14:textId="77777777" w:rsidR="00BC2B65" w:rsidRPr="008B1465" w:rsidRDefault="00BC2B65" w:rsidP="00FE7438">
            <w:pPr>
              <w:autoSpaceDE w:val="0"/>
              <w:autoSpaceDN w:val="0"/>
              <w:adjustRightInd w:val="0"/>
              <w:spacing w:after="0" w:line="320" w:lineRule="atLeast"/>
              <w:ind w:right="60"/>
              <w:rPr>
                <w:rFonts w:ascii="Times New Roman" w:hAnsi="Times New Roman"/>
                <w:b/>
                <w:bCs/>
              </w:rPr>
            </w:pPr>
            <w:r w:rsidRPr="00AA1F8B">
              <w:rPr>
                <w:rFonts w:ascii="Times New Roman" w:eastAsia="Calibri" w:hAnsi="Times New Roman"/>
                <w:b/>
                <w:bCs/>
                <w:sz w:val="28"/>
                <w:szCs w:val="28"/>
              </w:rPr>
              <w:t xml:space="preserve">  </w:t>
            </w:r>
            <m:oMath>
              <m:acc>
                <m:accPr>
                  <m:chr m:val="̅"/>
                  <m:ctrlPr>
                    <w:rPr>
                      <w:rFonts w:ascii="Cambria Math" w:eastAsia="Calibri" w:hAnsi="Cambria Math"/>
                      <w:b/>
                      <w:bCs/>
                      <w:i/>
                      <w:sz w:val="28"/>
                      <w:szCs w:val="28"/>
                    </w:rPr>
                  </m:ctrlPr>
                </m:accPr>
                <m:e>
                  <m:r>
                    <m:rPr>
                      <m:sty m:val="bi"/>
                    </m:rPr>
                    <w:rPr>
                      <w:rFonts w:ascii="Cambria Math" w:eastAsia="Calibri" w:hAnsi="Cambria Math"/>
                      <w:sz w:val="28"/>
                      <w:szCs w:val="28"/>
                    </w:rPr>
                    <m:t>x</m:t>
                  </m:r>
                </m:e>
              </m:acc>
            </m:oMath>
          </w:p>
        </w:tc>
        <w:tc>
          <w:tcPr>
            <w:tcW w:w="378" w:type="pct"/>
            <w:tcBorders>
              <w:top w:val="thinThickSmallGap" w:sz="24" w:space="0" w:color="auto"/>
              <w:bottom w:val="thinThickSmallGap" w:sz="24" w:space="0" w:color="auto"/>
            </w:tcBorders>
            <w:shd w:val="clear" w:color="auto" w:fill="auto"/>
            <w:vAlign w:val="bottom"/>
          </w:tcPr>
          <w:p w14:paraId="2E705210" w14:textId="77777777" w:rsidR="00BC2B65" w:rsidRPr="008B1465" w:rsidRDefault="00BC2B65" w:rsidP="00FE7438">
            <w:pPr>
              <w:autoSpaceDE w:val="0"/>
              <w:autoSpaceDN w:val="0"/>
              <w:adjustRightInd w:val="0"/>
              <w:spacing w:after="0" w:line="320" w:lineRule="atLeast"/>
              <w:ind w:right="60"/>
              <w:rPr>
                <w:rFonts w:ascii="Times New Roman" w:hAnsi="Times New Roman"/>
                <w:b/>
                <w:bCs/>
              </w:rPr>
            </w:pPr>
            <w:r>
              <w:rPr>
                <w:rFonts w:ascii="Times New Roman" w:eastAsia="Calibri" w:hAnsi="Times New Roman"/>
                <w:b/>
                <w:bCs/>
              </w:rPr>
              <w:t xml:space="preserve">  STD </w:t>
            </w:r>
          </w:p>
        </w:tc>
      </w:tr>
      <w:tr w:rsidR="00BC2B65" w:rsidRPr="008B1465" w14:paraId="06CFE777" w14:textId="77777777" w:rsidTr="00FE7438">
        <w:trPr>
          <w:cantSplit/>
          <w:trHeight w:val="1058"/>
        </w:trPr>
        <w:tc>
          <w:tcPr>
            <w:tcW w:w="244" w:type="pct"/>
            <w:tcBorders>
              <w:top w:val="thinThickSmallGap" w:sz="24" w:space="0" w:color="auto"/>
            </w:tcBorders>
            <w:shd w:val="clear" w:color="auto" w:fill="auto"/>
          </w:tcPr>
          <w:p w14:paraId="3F6E8F43" w14:textId="77777777" w:rsidR="00BC2B65" w:rsidRPr="008B1465" w:rsidRDefault="00BC2B65" w:rsidP="00BC2B65">
            <w:pPr>
              <w:pStyle w:val="ListParagraph"/>
              <w:numPr>
                <w:ilvl w:val="0"/>
                <w:numId w:val="26"/>
              </w:numPr>
              <w:autoSpaceDE w:val="0"/>
              <w:autoSpaceDN w:val="0"/>
              <w:adjustRightInd w:val="0"/>
              <w:spacing w:before="0" w:beforeAutospacing="0" w:after="0" w:line="320" w:lineRule="atLeast"/>
              <w:ind w:right="60"/>
              <w:rPr>
                <w:rFonts w:ascii="Times New Roman" w:hAnsi="Times New Roman"/>
                <w:sz w:val="18"/>
                <w:szCs w:val="18"/>
              </w:rPr>
            </w:pPr>
          </w:p>
        </w:tc>
        <w:tc>
          <w:tcPr>
            <w:tcW w:w="1351" w:type="pct"/>
            <w:tcBorders>
              <w:top w:val="thinThickSmallGap" w:sz="24" w:space="0" w:color="auto"/>
            </w:tcBorders>
            <w:shd w:val="clear" w:color="auto" w:fill="auto"/>
          </w:tcPr>
          <w:p w14:paraId="0F7AC234" w14:textId="77777777" w:rsidR="00BC2B65" w:rsidRPr="008B1465" w:rsidRDefault="00BC2B65" w:rsidP="00FE7438">
            <w:pPr>
              <w:autoSpaceDE w:val="0"/>
              <w:autoSpaceDN w:val="0"/>
              <w:adjustRightInd w:val="0"/>
              <w:spacing w:after="0" w:line="320" w:lineRule="atLeast"/>
              <w:ind w:left="60" w:right="60"/>
              <w:jc w:val="both"/>
              <w:rPr>
                <w:rFonts w:ascii="Times New Roman" w:hAnsi="Times New Roman"/>
                <w:sz w:val="18"/>
                <w:szCs w:val="18"/>
              </w:rPr>
            </w:pPr>
            <w:r w:rsidRPr="008B1465">
              <w:rPr>
                <w:rFonts w:ascii="Times New Roman" w:hAnsi="Times New Roman"/>
                <w:sz w:val="18"/>
                <w:szCs w:val="18"/>
              </w:rPr>
              <w:t>The service of a forensic accountant differs from a traditional external auditor</w:t>
            </w:r>
          </w:p>
        </w:tc>
        <w:tc>
          <w:tcPr>
            <w:tcW w:w="187" w:type="pct"/>
            <w:tcBorders>
              <w:top w:val="thinThickSmallGap" w:sz="24" w:space="0" w:color="auto"/>
            </w:tcBorders>
            <w:shd w:val="clear" w:color="auto" w:fill="auto"/>
            <w:vAlign w:val="center"/>
          </w:tcPr>
          <w:p w14:paraId="7378F597" w14:textId="77777777" w:rsidR="00BC2B65" w:rsidRPr="008B1465" w:rsidRDefault="00BC2B65" w:rsidP="00FE7438">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8</w:t>
            </w:r>
          </w:p>
        </w:tc>
        <w:tc>
          <w:tcPr>
            <w:tcW w:w="302" w:type="pct"/>
            <w:tcBorders>
              <w:top w:val="thinThickSmallGap" w:sz="24" w:space="0" w:color="auto"/>
            </w:tcBorders>
            <w:shd w:val="clear" w:color="auto" w:fill="auto"/>
            <w:vAlign w:val="center"/>
          </w:tcPr>
          <w:p w14:paraId="0272A49C" w14:textId="77777777" w:rsidR="00BC2B65" w:rsidRPr="008B1465" w:rsidRDefault="00BC2B65" w:rsidP="00FE7438">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(2.2)</w:t>
            </w:r>
          </w:p>
        </w:tc>
        <w:tc>
          <w:tcPr>
            <w:tcW w:w="182" w:type="pct"/>
            <w:tcBorders>
              <w:top w:val="thinThickSmallGap" w:sz="24" w:space="0" w:color="auto"/>
            </w:tcBorders>
            <w:shd w:val="clear" w:color="auto" w:fill="auto"/>
            <w:vAlign w:val="center"/>
          </w:tcPr>
          <w:p w14:paraId="0321A6CE" w14:textId="77777777" w:rsidR="00BC2B65" w:rsidRPr="008B1465" w:rsidRDefault="00BC2B65" w:rsidP="00FE7438">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22</w:t>
            </w:r>
          </w:p>
        </w:tc>
        <w:tc>
          <w:tcPr>
            <w:tcW w:w="354" w:type="pct"/>
            <w:tcBorders>
              <w:top w:val="thinThickSmallGap" w:sz="24" w:space="0" w:color="auto"/>
            </w:tcBorders>
            <w:shd w:val="clear" w:color="auto" w:fill="auto"/>
            <w:vAlign w:val="center"/>
          </w:tcPr>
          <w:p w14:paraId="3D08CDCF" w14:textId="77777777" w:rsidR="00BC2B65" w:rsidRPr="008B1465" w:rsidRDefault="00BC2B65" w:rsidP="00FE7438">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(6.0)</w:t>
            </w:r>
          </w:p>
        </w:tc>
        <w:tc>
          <w:tcPr>
            <w:tcW w:w="242" w:type="pct"/>
            <w:tcBorders>
              <w:top w:val="thinThickSmallGap" w:sz="24" w:space="0" w:color="auto"/>
            </w:tcBorders>
            <w:shd w:val="clear" w:color="auto" w:fill="auto"/>
            <w:vAlign w:val="center"/>
          </w:tcPr>
          <w:p w14:paraId="15CC45AE" w14:textId="77777777" w:rsidR="00BC2B65" w:rsidRPr="008B1465" w:rsidRDefault="00BC2B65" w:rsidP="00FE7438">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58</w:t>
            </w:r>
          </w:p>
        </w:tc>
        <w:tc>
          <w:tcPr>
            <w:tcW w:w="354" w:type="pct"/>
            <w:tcBorders>
              <w:top w:val="thinThickSmallGap" w:sz="24" w:space="0" w:color="auto"/>
            </w:tcBorders>
            <w:shd w:val="clear" w:color="auto" w:fill="auto"/>
            <w:vAlign w:val="center"/>
          </w:tcPr>
          <w:p w14:paraId="5899DAFB" w14:textId="77777777" w:rsidR="00BC2B65" w:rsidRPr="008B1465" w:rsidRDefault="00BC2B65" w:rsidP="00FE7438">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(15.9)</w:t>
            </w:r>
          </w:p>
        </w:tc>
        <w:tc>
          <w:tcPr>
            <w:tcW w:w="242" w:type="pct"/>
            <w:tcBorders>
              <w:top w:val="thinThickSmallGap" w:sz="24" w:space="0" w:color="auto"/>
            </w:tcBorders>
            <w:shd w:val="clear" w:color="auto" w:fill="auto"/>
            <w:vAlign w:val="center"/>
          </w:tcPr>
          <w:p w14:paraId="2172C6EC" w14:textId="77777777" w:rsidR="00BC2B65" w:rsidRPr="008B1465" w:rsidRDefault="00BC2B65" w:rsidP="00FE7438">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178</w:t>
            </w:r>
          </w:p>
        </w:tc>
        <w:tc>
          <w:tcPr>
            <w:tcW w:w="354" w:type="pct"/>
            <w:tcBorders>
              <w:top w:val="thinThickSmallGap" w:sz="24" w:space="0" w:color="auto"/>
            </w:tcBorders>
            <w:shd w:val="clear" w:color="auto" w:fill="auto"/>
            <w:vAlign w:val="center"/>
          </w:tcPr>
          <w:p w14:paraId="4B460940" w14:textId="77777777" w:rsidR="00BC2B65" w:rsidRPr="008B1465" w:rsidRDefault="00BC2B65" w:rsidP="00FE7438">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(48.9)</w:t>
            </w:r>
          </w:p>
        </w:tc>
        <w:tc>
          <w:tcPr>
            <w:tcW w:w="182" w:type="pct"/>
            <w:tcBorders>
              <w:top w:val="thinThickSmallGap" w:sz="24" w:space="0" w:color="auto"/>
            </w:tcBorders>
            <w:shd w:val="clear" w:color="auto" w:fill="auto"/>
            <w:vAlign w:val="center"/>
          </w:tcPr>
          <w:p w14:paraId="58DDBAF5" w14:textId="77777777" w:rsidR="00BC2B65" w:rsidRPr="008B1465" w:rsidRDefault="00BC2B65" w:rsidP="00FE7438">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98</w:t>
            </w:r>
          </w:p>
        </w:tc>
        <w:tc>
          <w:tcPr>
            <w:tcW w:w="354" w:type="pct"/>
            <w:tcBorders>
              <w:top w:val="thinThickSmallGap" w:sz="24" w:space="0" w:color="auto"/>
            </w:tcBorders>
            <w:shd w:val="clear" w:color="auto" w:fill="auto"/>
            <w:vAlign w:val="center"/>
          </w:tcPr>
          <w:p w14:paraId="4D5A399F" w14:textId="77777777" w:rsidR="00BC2B65" w:rsidRPr="008B1465" w:rsidRDefault="00BC2B65" w:rsidP="00FE7438">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(26.9)</w:t>
            </w:r>
          </w:p>
        </w:tc>
        <w:tc>
          <w:tcPr>
            <w:tcW w:w="274" w:type="pct"/>
            <w:tcBorders>
              <w:top w:val="thinThickSmallGap" w:sz="24" w:space="0" w:color="auto"/>
            </w:tcBorders>
            <w:shd w:val="clear" w:color="auto" w:fill="auto"/>
            <w:vAlign w:val="center"/>
          </w:tcPr>
          <w:p w14:paraId="196162D4" w14:textId="77777777" w:rsidR="00BC2B65" w:rsidRPr="007E6A6A" w:rsidRDefault="00BC2B65" w:rsidP="00FE7438">
            <w:pPr>
              <w:autoSpaceDE w:val="0"/>
              <w:autoSpaceDN w:val="0"/>
              <w:adjustRightInd w:val="0"/>
              <w:spacing w:after="0" w:line="320" w:lineRule="atLeast"/>
              <w:ind w:left="60" w:right="60"/>
              <w:jc w:val="center"/>
              <w:rPr>
                <w:rFonts w:ascii="Times New Roman" w:hAnsi="Times New Roman"/>
                <w:sz w:val="18"/>
                <w:szCs w:val="18"/>
              </w:rPr>
            </w:pPr>
            <w:r w:rsidRPr="007E6A6A">
              <w:rPr>
                <w:rFonts w:ascii="Times New Roman" w:hAnsi="Times New Roman"/>
                <w:color w:val="010205"/>
                <w:sz w:val="18"/>
                <w:szCs w:val="18"/>
              </w:rPr>
              <w:t>3.92</w:t>
            </w:r>
          </w:p>
        </w:tc>
        <w:tc>
          <w:tcPr>
            <w:tcW w:w="378" w:type="pct"/>
            <w:tcBorders>
              <w:top w:val="thinThickSmallGap" w:sz="24" w:space="0" w:color="auto"/>
            </w:tcBorders>
            <w:shd w:val="clear" w:color="auto" w:fill="auto"/>
            <w:vAlign w:val="center"/>
          </w:tcPr>
          <w:p w14:paraId="48191F3B" w14:textId="77777777" w:rsidR="00BC2B65" w:rsidRPr="007E6A6A" w:rsidRDefault="00BC2B65" w:rsidP="00FE7438">
            <w:pPr>
              <w:autoSpaceDE w:val="0"/>
              <w:autoSpaceDN w:val="0"/>
              <w:adjustRightInd w:val="0"/>
              <w:spacing w:after="0" w:line="320" w:lineRule="atLeast"/>
              <w:ind w:left="60" w:right="60"/>
              <w:jc w:val="center"/>
              <w:rPr>
                <w:rFonts w:ascii="Times New Roman" w:hAnsi="Times New Roman"/>
                <w:sz w:val="18"/>
                <w:szCs w:val="18"/>
              </w:rPr>
            </w:pPr>
            <w:r w:rsidRPr="007E6A6A">
              <w:rPr>
                <w:rFonts w:ascii="Times New Roman" w:hAnsi="Times New Roman"/>
                <w:color w:val="010205"/>
                <w:sz w:val="18"/>
                <w:szCs w:val="18"/>
              </w:rPr>
              <w:t>.930</w:t>
            </w:r>
          </w:p>
        </w:tc>
      </w:tr>
      <w:tr w:rsidR="00BC2B65" w:rsidRPr="008B1465" w14:paraId="6B0149EF" w14:textId="77777777" w:rsidTr="00FE7438">
        <w:trPr>
          <w:cantSplit/>
          <w:trHeight w:val="874"/>
        </w:trPr>
        <w:tc>
          <w:tcPr>
            <w:tcW w:w="244" w:type="pct"/>
            <w:shd w:val="clear" w:color="auto" w:fill="auto"/>
          </w:tcPr>
          <w:p w14:paraId="70EF6937" w14:textId="77777777" w:rsidR="00BC2B65" w:rsidRPr="008B1465" w:rsidRDefault="00BC2B65" w:rsidP="00BC2B65">
            <w:pPr>
              <w:pStyle w:val="ListParagraph"/>
              <w:numPr>
                <w:ilvl w:val="0"/>
                <w:numId w:val="26"/>
              </w:numPr>
              <w:autoSpaceDE w:val="0"/>
              <w:autoSpaceDN w:val="0"/>
              <w:adjustRightInd w:val="0"/>
              <w:spacing w:before="0" w:beforeAutospacing="0" w:after="0" w:line="320" w:lineRule="atLeast"/>
              <w:ind w:right="60"/>
              <w:rPr>
                <w:rFonts w:ascii="Times New Roman" w:hAnsi="Times New Roman"/>
                <w:sz w:val="18"/>
                <w:szCs w:val="18"/>
              </w:rPr>
            </w:pPr>
          </w:p>
        </w:tc>
        <w:tc>
          <w:tcPr>
            <w:tcW w:w="1351" w:type="pct"/>
            <w:shd w:val="clear" w:color="auto" w:fill="auto"/>
          </w:tcPr>
          <w:p w14:paraId="2BA44A88" w14:textId="77777777" w:rsidR="00BC2B65" w:rsidRPr="008B1465" w:rsidRDefault="00BC2B65" w:rsidP="00FE7438">
            <w:pPr>
              <w:autoSpaceDE w:val="0"/>
              <w:autoSpaceDN w:val="0"/>
              <w:adjustRightInd w:val="0"/>
              <w:spacing w:after="0" w:line="320" w:lineRule="atLeast"/>
              <w:ind w:left="60" w:right="60"/>
              <w:jc w:val="both"/>
              <w:rPr>
                <w:rFonts w:ascii="Times New Roman" w:hAnsi="Times New Roman"/>
                <w:sz w:val="18"/>
                <w:szCs w:val="18"/>
              </w:rPr>
            </w:pPr>
            <w:r w:rsidRPr="008B1465">
              <w:rPr>
                <w:rFonts w:ascii="Times New Roman" w:hAnsi="Times New Roman"/>
                <w:sz w:val="18"/>
                <w:szCs w:val="18"/>
              </w:rPr>
              <w:t>The Services of digital forensic accountants are required at my university</w:t>
            </w:r>
          </w:p>
        </w:tc>
        <w:tc>
          <w:tcPr>
            <w:tcW w:w="187" w:type="pct"/>
            <w:shd w:val="clear" w:color="auto" w:fill="auto"/>
            <w:vAlign w:val="center"/>
          </w:tcPr>
          <w:p w14:paraId="58CC1E71" w14:textId="77777777" w:rsidR="00BC2B65" w:rsidRPr="008B1465" w:rsidRDefault="00BC2B65" w:rsidP="00FE7438">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6</w:t>
            </w:r>
          </w:p>
        </w:tc>
        <w:tc>
          <w:tcPr>
            <w:tcW w:w="302" w:type="pct"/>
            <w:shd w:val="clear" w:color="auto" w:fill="auto"/>
            <w:vAlign w:val="center"/>
          </w:tcPr>
          <w:p w14:paraId="29B8C97E" w14:textId="77777777" w:rsidR="00BC2B65" w:rsidRPr="008B1465" w:rsidRDefault="00BC2B65" w:rsidP="00FE7438">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(1.6)</w:t>
            </w:r>
          </w:p>
        </w:tc>
        <w:tc>
          <w:tcPr>
            <w:tcW w:w="182" w:type="pct"/>
            <w:shd w:val="clear" w:color="auto" w:fill="auto"/>
            <w:vAlign w:val="center"/>
          </w:tcPr>
          <w:p w14:paraId="3116A497" w14:textId="77777777" w:rsidR="00BC2B65" w:rsidRPr="008B1465" w:rsidRDefault="00BC2B65" w:rsidP="00FE7438">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10</w:t>
            </w:r>
          </w:p>
        </w:tc>
        <w:tc>
          <w:tcPr>
            <w:tcW w:w="354" w:type="pct"/>
            <w:shd w:val="clear" w:color="auto" w:fill="auto"/>
            <w:vAlign w:val="center"/>
          </w:tcPr>
          <w:p w14:paraId="4CB50913" w14:textId="77777777" w:rsidR="00BC2B65" w:rsidRPr="008B1465" w:rsidRDefault="00BC2B65" w:rsidP="00FE7438">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(2.7)</w:t>
            </w:r>
          </w:p>
        </w:tc>
        <w:tc>
          <w:tcPr>
            <w:tcW w:w="242" w:type="pct"/>
            <w:shd w:val="clear" w:color="auto" w:fill="auto"/>
            <w:vAlign w:val="center"/>
          </w:tcPr>
          <w:p w14:paraId="5829FE09" w14:textId="77777777" w:rsidR="00BC2B65" w:rsidRPr="008B1465" w:rsidRDefault="00BC2B65" w:rsidP="00FE7438">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92</w:t>
            </w:r>
          </w:p>
        </w:tc>
        <w:tc>
          <w:tcPr>
            <w:tcW w:w="354" w:type="pct"/>
            <w:shd w:val="clear" w:color="auto" w:fill="auto"/>
            <w:vAlign w:val="center"/>
          </w:tcPr>
          <w:p w14:paraId="5E037AD5" w14:textId="77777777" w:rsidR="00BC2B65" w:rsidRPr="008B1465" w:rsidRDefault="00BC2B65" w:rsidP="00FE7438">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(25.3)</w:t>
            </w:r>
          </w:p>
        </w:tc>
        <w:tc>
          <w:tcPr>
            <w:tcW w:w="242" w:type="pct"/>
            <w:shd w:val="clear" w:color="auto" w:fill="auto"/>
            <w:vAlign w:val="center"/>
          </w:tcPr>
          <w:p w14:paraId="468C15DF" w14:textId="77777777" w:rsidR="00BC2B65" w:rsidRPr="008B1465" w:rsidRDefault="00BC2B65" w:rsidP="00FE7438">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172</w:t>
            </w:r>
          </w:p>
        </w:tc>
        <w:tc>
          <w:tcPr>
            <w:tcW w:w="354" w:type="pct"/>
            <w:shd w:val="clear" w:color="auto" w:fill="auto"/>
            <w:vAlign w:val="center"/>
          </w:tcPr>
          <w:p w14:paraId="072FD359" w14:textId="77777777" w:rsidR="00BC2B65" w:rsidRPr="008B1465" w:rsidRDefault="00BC2B65" w:rsidP="00FE7438">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(47.3)</w:t>
            </w:r>
          </w:p>
        </w:tc>
        <w:tc>
          <w:tcPr>
            <w:tcW w:w="182" w:type="pct"/>
            <w:shd w:val="clear" w:color="auto" w:fill="auto"/>
            <w:vAlign w:val="center"/>
          </w:tcPr>
          <w:p w14:paraId="50CBADCF" w14:textId="77777777" w:rsidR="00BC2B65" w:rsidRPr="008B1465" w:rsidRDefault="00BC2B65" w:rsidP="00FE7438">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84</w:t>
            </w:r>
          </w:p>
        </w:tc>
        <w:tc>
          <w:tcPr>
            <w:tcW w:w="354" w:type="pct"/>
            <w:shd w:val="clear" w:color="auto" w:fill="auto"/>
            <w:vAlign w:val="center"/>
          </w:tcPr>
          <w:p w14:paraId="30D7CC0C" w14:textId="77777777" w:rsidR="00BC2B65" w:rsidRPr="008B1465" w:rsidRDefault="00BC2B65" w:rsidP="00FE7438">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(23.1)</w:t>
            </w:r>
          </w:p>
        </w:tc>
        <w:tc>
          <w:tcPr>
            <w:tcW w:w="274" w:type="pct"/>
            <w:shd w:val="clear" w:color="auto" w:fill="auto"/>
            <w:vAlign w:val="center"/>
          </w:tcPr>
          <w:p w14:paraId="61BBA6C6" w14:textId="77777777" w:rsidR="00BC2B65" w:rsidRPr="007E6A6A" w:rsidRDefault="00BC2B65" w:rsidP="00FE7438">
            <w:pPr>
              <w:autoSpaceDE w:val="0"/>
              <w:autoSpaceDN w:val="0"/>
              <w:adjustRightInd w:val="0"/>
              <w:spacing w:after="0" w:line="320" w:lineRule="atLeast"/>
              <w:ind w:left="60" w:right="60"/>
              <w:jc w:val="center"/>
              <w:rPr>
                <w:rFonts w:ascii="Times New Roman" w:hAnsi="Times New Roman"/>
                <w:sz w:val="18"/>
                <w:szCs w:val="18"/>
              </w:rPr>
            </w:pPr>
            <w:r w:rsidRPr="007E6A6A">
              <w:rPr>
                <w:rFonts w:ascii="Times New Roman" w:hAnsi="Times New Roman"/>
                <w:color w:val="010205"/>
                <w:sz w:val="18"/>
                <w:szCs w:val="18"/>
              </w:rPr>
              <w:t>3.87</w:t>
            </w:r>
          </w:p>
        </w:tc>
        <w:tc>
          <w:tcPr>
            <w:tcW w:w="378" w:type="pct"/>
            <w:shd w:val="clear" w:color="auto" w:fill="auto"/>
            <w:vAlign w:val="center"/>
          </w:tcPr>
          <w:p w14:paraId="76F9DF88" w14:textId="77777777" w:rsidR="00BC2B65" w:rsidRPr="007E6A6A" w:rsidRDefault="00BC2B65" w:rsidP="00FE7438">
            <w:pPr>
              <w:autoSpaceDE w:val="0"/>
              <w:autoSpaceDN w:val="0"/>
              <w:adjustRightInd w:val="0"/>
              <w:spacing w:after="0" w:line="320" w:lineRule="atLeast"/>
              <w:ind w:left="60" w:right="60"/>
              <w:jc w:val="center"/>
              <w:rPr>
                <w:rFonts w:ascii="Times New Roman" w:hAnsi="Times New Roman"/>
                <w:sz w:val="18"/>
                <w:szCs w:val="18"/>
              </w:rPr>
            </w:pPr>
            <w:r w:rsidRPr="007E6A6A">
              <w:rPr>
                <w:rFonts w:ascii="Times New Roman" w:hAnsi="Times New Roman"/>
                <w:color w:val="010205"/>
                <w:sz w:val="18"/>
                <w:szCs w:val="18"/>
              </w:rPr>
              <w:t>.853</w:t>
            </w:r>
          </w:p>
        </w:tc>
      </w:tr>
      <w:tr w:rsidR="00BC2B65" w:rsidRPr="008B1465" w14:paraId="524C5E54" w14:textId="77777777" w:rsidTr="00FE7438">
        <w:trPr>
          <w:cantSplit/>
          <w:trHeight w:val="851"/>
        </w:trPr>
        <w:tc>
          <w:tcPr>
            <w:tcW w:w="244" w:type="pct"/>
            <w:shd w:val="clear" w:color="auto" w:fill="auto"/>
          </w:tcPr>
          <w:p w14:paraId="2B7E3476" w14:textId="77777777" w:rsidR="00BC2B65" w:rsidRPr="008B1465" w:rsidRDefault="00BC2B65" w:rsidP="00BC2B65">
            <w:pPr>
              <w:pStyle w:val="ListParagraph"/>
              <w:numPr>
                <w:ilvl w:val="0"/>
                <w:numId w:val="26"/>
              </w:numPr>
              <w:autoSpaceDE w:val="0"/>
              <w:autoSpaceDN w:val="0"/>
              <w:adjustRightInd w:val="0"/>
              <w:spacing w:before="0" w:beforeAutospacing="0" w:after="0" w:line="320" w:lineRule="atLeast"/>
              <w:ind w:right="60"/>
              <w:rPr>
                <w:rFonts w:ascii="Times New Roman" w:hAnsi="Times New Roman"/>
                <w:sz w:val="18"/>
                <w:szCs w:val="18"/>
              </w:rPr>
            </w:pPr>
          </w:p>
        </w:tc>
        <w:tc>
          <w:tcPr>
            <w:tcW w:w="1351" w:type="pct"/>
            <w:shd w:val="clear" w:color="auto" w:fill="auto"/>
          </w:tcPr>
          <w:p w14:paraId="23AF563B" w14:textId="77777777" w:rsidR="00BC2B65" w:rsidRPr="008B1465" w:rsidRDefault="00BC2B65" w:rsidP="00FE7438">
            <w:pPr>
              <w:autoSpaceDE w:val="0"/>
              <w:autoSpaceDN w:val="0"/>
              <w:adjustRightInd w:val="0"/>
              <w:spacing w:after="0" w:line="320" w:lineRule="atLeast"/>
              <w:ind w:left="60" w:right="60"/>
              <w:jc w:val="both"/>
              <w:rPr>
                <w:rFonts w:ascii="Times New Roman" w:hAnsi="Times New Roman"/>
                <w:sz w:val="18"/>
                <w:szCs w:val="18"/>
              </w:rPr>
            </w:pPr>
            <w:r w:rsidRPr="008B1465">
              <w:rPr>
                <w:rFonts w:ascii="Times New Roman" w:hAnsi="Times New Roman"/>
                <w:sz w:val="18"/>
                <w:szCs w:val="18"/>
              </w:rPr>
              <w:t>Digital forensic accounting detects and prevents fraud in my university</w:t>
            </w:r>
          </w:p>
        </w:tc>
        <w:tc>
          <w:tcPr>
            <w:tcW w:w="187" w:type="pct"/>
            <w:shd w:val="clear" w:color="auto" w:fill="auto"/>
            <w:vAlign w:val="center"/>
          </w:tcPr>
          <w:p w14:paraId="188BD43A" w14:textId="77777777" w:rsidR="00BC2B65" w:rsidRPr="008B1465" w:rsidRDefault="00BC2B65" w:rsidP="00FE7438">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10</w:t>
            </w:r>
          </w:p>
        </w:tc>
        <w:tc>
          <w:tcPr>
            <w:tcW w:w="302" w:type="pct"/>
            <w:shd w:val="clear" w:color="auto" w:fill="auto"/>
            <w:vAlign w:val="center"/>
          </w:tcPr>
          <w:p w14:paraId="475970CA" w14:textId="77777777" w:rsidR="00BC2B65" w:rsidRPr="008B1465" w:rsidRDefault="00BC2B65" w:rsidP="00FE7438">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(2.7)</w:t>
            </w:r>
          </w:p>
        </w:tc>
        <w:tc>
          <w:tcPr>
            <w:tcW w:w="182" w:type="pct"/>
            <w:shd w:val="clear" w:color="auto" w:fill="auto"/>
            <w:vAlign w:val="center"/>
          </w:tcPr>
          <w:p w14:paraId="4D48C64E" w14:textId="77777777" w:rsidR="00BC2B65" w:rsidRPr="008B1465" w:rsidRDefault="00BC2B65" w:rsidP="00FE7438">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16</w:t>
            </w:r>
          </w:p>
        </w:tc>
        <w:tc>
          <w:tcPr>
            <w:tcW w:w="354" w:type="pct"/>
            <w:shd w:val="clear" w:color="auto" w:fill="auto"/>
            <w:vAlign w:val="center"/>
          </w:tcPr>
          <w:p w14:paraId="7BEC7EC4" w14:textId="77777777" w:rsidR="00BC2B65" w:rsidRPr="008B1465" w:rsidRDefault="00BC2B65" w:rsidP="00FE7438">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(4.4)</w:t>
            </w:r>
          </w:p>
        </w:tc>
        <w:tc>
          <w:tcPr>
            <w:tcW w:w="242" w:type="pct"/>
            <w:shd w:val="clear" w:color="auto" w:fill="auto"/>
            <w:vAlign w:val="center"/>
          </w:tcPr>
          <w:p w14:paraId="3AC81CA4" w14:textId="77777777" w:rsidR="00BC2B65" w:rsidRPr="008B1465" w:rsidRDefault="00BC2B65" w:rsidP="00FE7438">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106</w:t>
            </w:r>
          </w:p>
        </w:tc>
        <w:tc>
          <w:tcPr>
            <w:tcW w:w="354" w:type="pct"/>
            <w:shd w:val="clear" w:color="auto" w:fill="auto"/>
            <w:vAlign w:val="center"/>
          </w:tcPr>
          <w:p w14:paraId="29FF87BC" w14:textId="77777777" w:rsidR="00BC2B65" w:rsidRPr="008B1465" w:rsidRDefault="00BC2B65" w:rsidP="00FE7438">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(29.1)</w:t>
            </w:r>
          </w:p>
        </w:tc>
        <w:tc>
          <w:tcPr>
            <w:tcW w:w="242" w:type="pct"/>
            <w:shd w:val="clear" w:color="auto" w:fill="auto"/>
            <w:vAlign w:val="center"/>
          </w:tcPr>
          <w:p w14:paraId="4B070E10" w14:textId="77777777" w:rsidR="00BC2B65" w:rsidRPr="008B1465" w:rsidRDefault="00BC2B65" w:rsidP="00FE7438">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168</w:t>
            </w:r>
          </w:p>
        </w:tc>
        <w:tc>
          <w:tcPr>
            <w:tcW w:w="354" w:type="pct"/>
            <w:shd w:val="clear" w:color="auto" w:fill="auto"/>
            <w:vAlign w:val="center"/>
          </w:tcPr>
          <w:p w14:paraId="68B362B0" w14:textId="77777777" w:rsidR="00BC2B65" w:rsidRPr="008B1465" w:rsidRDefault="00BC2B65" w:rsidP="00FE7438">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(46.2)</w:t>
            </w:r>
          </w:p>
        </w:tc>
        <w:tc>
          <w:tcPr>
            <w:tcW w:w="182" w:type="pct"/>
            <w:shd w:val="clear" w:color="auto" w:fill="auto"/>
            <w:vAlign w:val="center"/>
          </w:tcPr>
          <w:p w14:paraId="44DDE2D6" w14:textId="77777777" w:rsidR="00BC2B65" w:rsidRPr="008B1465" w:rsidRDefault="00BC2B65" w:rsidP="00FE7438">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64</w:t>
            </w:r>
          </w:p>
        </w:tc>
        <w:tc>
          <w:tcPr>
            <w:tcW w:w="354" w:type="pct"/>
            <w:shd w:val="clear" w:color="auto" w:fill="auto"/>
            <w:vAlign w:val="center"/>
          </w:tcPr>
          <w:p w14:paraId="0F5410F9" w14:textId="77777777" w:rsidR="00BC2B65" w:rsidRPr="008B1465" w:rsidRDefault="00BC2B65" w:rsidP="00FE7438">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(17.6)</w:t>
            </w:r>
          </w:p>
        </w:tc>
        <w:tc>
          <w:tcPr>
            <w:tcW w:w="274" w:type="pct"/>
            <w:shd w:val="clear" w:color="auto" w:fill="auto"/>
            <w:vAlign w:val="center"/>
          </w:tcPr>
          <w:p w14:paraId="271BE325" w14:textId="77777777" w:rsidR="00BC2B65" w:rsidRPr="007E6A6A" w:rsidRDefault="00BC2B65" w:rsidP="00FE7438">
            <w:pPr>
              <w:autoSpaceDE w:val="0"/>
              <w:autoSpaceDN w:val="0"/>
              <w:adjustRightInd w:val="0"/>
              <w:spacing w:after="0" w:line="320" w:lineRule="atLeast"/>
              <w:ind w:left="60" w:right="60"/>
              <w:jc w:val="center"/>
              <w:rPr>
                <w:rFonts w:ascii="Times New Roman" w:hAnsi="Times New Roman"/>
                <w:sz w:val="18"/>
                <w:szCs w:val="18"/>
              </w:rPr>
            </w:pPr>
            <w:r w:rsidRPr="007E6A6A">
              <w:rPr>
                <w:rFonts w:ascii="Times New Roman" w:hAnsi="Times New Roman"/>
                <w:color w:val="010205"/>
                <w:sz w:val="18"/>
                <w:szCs w:val="18"/>
              </w:rPr>
              <w:t>3.71</w:t>
            </w:r>
          </w:p>
        </w:tc>
        <w:tc>
          <w:tcPr>
            <w:tcW w:w="378" w:type="pct"/>
            <w:shd w:val="clear" w:color="auto" w:fill="auto"/>
            <w:vAlign w:val="center"/>
          </w:tcPr>
          <w:p w14:paraId="73E5CF3D" w14:textId="77777777" w:rsidR="00BC2B65" w:rsidRPr="007E6A6A" w:rsidRDefault="00BC2B65" w:rsidP="00FE7438">
            <w:pPr>
              <w:autoSpaceDE w:val="0"/>
              <w:autoSpaceDN w:val="0"/>
              <w:adjustRightInd w:val="0"/>
              <w:spacing w:after="0" w:line="320" w:lineRule="atLeast"/>
              <w:ind w:left="60" w:right="60"/>
              <w:jc w:val="center"/>
              <w:rPr>
                <w:rFonts w:ascii="Times New Roman" w:hAnsi="Times New Roman"/>
                <w:sz w:val="18"/>
                <w:szCs w:val="18"/>
              </w:rPr>
            </w:pPr>
            <w:r w:rsidRPr="007E6A6A">
              <w:rPr>
                <w:rFonts w:ascii="Times New Roman" w:hAnsi="Times New Roman"/>
                <w:color w:val="010205"/>
                <w:sz w:val="18"/>
                <w:szCs w:val="18"/>
              </w:rPr>
              <w:t>.900</w:t>
            </w:r>
          </w:p>
        </w:tc>
      </w:tr>
      <w:tr w:rsidR="00BC2B65" w:rsidRPr="008B1465" w14:paraId="378A9AE1" w14:textId="77777777" w:rsidTr="00FE7438">
        <w:trPr>
          <w:cantSplit/>
          <w:trHeight w:val="1171"/>
        </w:trPr>
        <w:tc>
          <w:tcPr>
            <w:tcW w:w="244" w:type="pct"/>
            <w:tcBorders>
              <w:bottom w:val="thinThickSmallGap" w:sz="24" w:space="0" w:color="auto"/>
            </w:tcBorders>
            <w:shd w:val="clear" w:color="auto" w:fill="auto"/>
          </w:tcPr>
          <w:p w14:paraId="56CBB06E" w14:textId="77777777" w:rsidR="00BC2B65" w:rsidRPr="008B1465" w:rsidRDefault="00BC2B65" w:rsidP="00BC2B65">
            <w:pPr>
              <w:pStyle w:val="ListParagraph"/>
              <w:numPr>
                <w:ilvl w:val="0"/>
                <w:numId w:val="26"/>
              </w:numPr>
              <w:autoSpaceDE w:val="0"/>
              <w:autoSpaceDN w:val="0"/>
              <w:adjustRightInd w:val="0"/>
              <w:spacing w:before="0" w:beforeAutospacing="0" w:after="0" w:line="320" w:lineRule="atLeast"/>
              <w:ind w:right="60"/>
              <w:rPr>
                <w:rFonts w:ascii="Times New Roman" w:hAnsi="Times New Roman"/>
                <w:sz w:val="18"/>
                <w:szCs w:val="18"/>
              </w:rPr>
            </w:pPr>
          </w:p>
        </w:tc>
        <w:tc>
          <w:tcPr>
            <w:tcW w:w="1351" w:type="pct"/>
            <w:tcBorders>
              <w:bottom w:val="thinThickSmallGap" w:sz="24" w:space="0" w:color="auto"/>
            </w:tcBorders>
            <w:shd w:val="clear" w:color="auto" w:fill="auto"/>
          </w:tcPr>
          <w:p w14:paraId="5F3C45B9" w14:textId="77777777" w:rsidR="00BC2B65" w:rsidRPr="008B1465" w:rsidRDefault="00BC2B65" w:rsidP="00FE7438">
            <w:pPr>
              <w:autoSpaceDE w:val="0"/>
              <w:autoSpaceDN w:val="0"/>
              <w:adjustRightInd w:val="0"/>
              <w:spacing w:after="0" w:line="320" w:lineRule="atLeast"/>
              <w:ind w:left="60" w:right="60"/>
              <w:jc w:val="both"/>
              <w:rPr>
                <w:rFonts w:ascii="Times New Roman" w:hAnsi="Times New Roman"/>
                <w:sz w:val="18"/>
                <w:szCs w:val="18"/>
              </w:rPr>
            </w:pPr>
            <w:r w:rsidRPr="008B1465">
              <w:rPr>
                <w:rFonts w:ascii="Times New Roman" w:hAnsi="Times New Roman"/>
                <w:sz w:val="18"/>
                <w:szCs w:val="18"/>
              </w:rPr>
              <w:t>The services of digital forensic accountants are preferable to the services of the traditional external auditor at my university</w:t>
            </w:r>
          </w:p>
        </w:tc>
        <w:tc>
          <w:tcPr>
            <w:tcW w:w="187" w:type="pct"/>
            <w:tcBorders>
              <w:bottom w:val="thinThickSmallGap" w:sz="24" w:space="0" w:color="auto"/>
            </w:tcBorders>
            <w:shd w:val="clear" w:color="auto" w:fill="auto"/>
            <w:vAlign w:val="center"/>
          </w:tcPr>
          <w:p w14:paraId="264BBB47" w14:textId="77777777" w:rsidR="00BC2B65" w:rsidRPr="008B1465" w:rsidRDefault="00BC2B65" w:rsidP="00FE7438">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2</w:t>
            </w:r>
          </w:p>
        </w:tc>
        <w:tc>
          <w:tcPr>
            <w:tcW w:w="302" w:type="pct"/>
            <w:tcBorders>
              <w:bottom w:val="thinThickSmallGap" w:sz="24" w:space="0" w:color="auto"/>
            </w:tcBorders>
            <w:shd w:val="clear" w:color="auto" w:fill="auto"/>
            <w:vAlign w:val="center"/>
          </w:tcPr>
          <w:p w14:paraId="425C49F1" w14:textId="77777777" w:rsidR="00BC2B65" w:rsidRPr="008B1465" w:rsidRDefault="00BC2B65" w:rsidP="00FE7438">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(0.5)</w:t>
            </w:r>
          </w:p>
        </w:tc>
        <w:tc>
          <w:tcPr>
            <w:tcW w:w="182" w:type="pct"/>
            <w:tcBorders>
              <w:bottom w:val="thinThickSmallGap" w:sz="24" w:space="0" w:color="auto"/>
            </w:tcBorders>
            <w:shd w:val="clear" w:color="auto" w:fill="auto"/>
            <w:vAlign w:val="center"/>
          </w:tcPr>
          <w:p w14:paraId="698D7066" w14:textId="77777777" w:rsidR="00BC2B65" w:rsidRPr="008B1465" w:rsidRDefault="00BC2B65" w:rsidP="00FE7438">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38</w:t>
            </w:r>
          </w:p>
        </w:tc>
        <w:tc>
          <w:tcPr>
            <w:tcW w:w="354" w:type="pct"/>
            <w:tcBorders>
              <w:bottom w:val="thinThickSmallGap" w:sz="24" w:space="0" w:color="auto"/>
            </w:tcBorders>
            <w:shd w:val="clear" w:color="auto" w:fill="auto"/>
            <w:vAlign w:val="center"/>
          </w:tcPr>
          <w:p w14:paraId="721DEEB0" w14:textId="77777777" w:rsidR="00BC2B65" w:rsidRPr="008B1465" w:rsidRDefault="00BC2B65" w:rsidP="00FE7438">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(10.4)</w:t>
            </w:r>
          </w:p>
        </w:tc>
        <w:tc>
          <w:tcPr>
            <w:tcW w:w="242" w:type="pct"/>
            <w:tcBorders>
              <w:bottom w:val="thinThickSmallGap" w:sz="24" w:space="0" w:color="auto"/>
            </w:tcBorders>
            <w:shd w:val="clear" w:color="auto" w:fill="auto"/>
            <w:vAlign w:val="center"/>
          </w:tcPr>
          <w:p w14:paraId="015ADCE3" w14:textId="77777777" w:rsidR="00BC2B65" w:rsidRPr="008B1465" w:rsidRDefault="00BC2B65" w:rsidP="00FE7438">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138</w:t>
            </w:r>
          </w:p>
        </w:tc>
        <w:tc>
          <w:tcPr>
            <w:tcW w:w="354" w:type="pct"/>
            <w:tcBorders>
              <w:bottom w:val="thinThickSmallGap" w:sz="24" w:space="0" w:color="auto"/>
            </w:tcBorders>
            <w:shd w:val="clear" w:color="auto" w:fill="auto"/>
            <w:vAlign w:val="center"/>
          </w:tcPr>
          <w:p w14:paraId="15D8A930" w14:textId="77777777" w:rsidR="00BC2B65" w:rsidRPr="008B1465" w:rsidRDefault="00BC2B65" w:rsidP="00FE7438">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(37.9)</w:t>
            </w:r>
          </w:p>
        </w:tc>
        <w:tc>
          <w:tcPr>
            <w:tcW w:w="242" w:type="pct"/>
            <w:tcBorders>
              <w:bottom w:val="thinThickSmallGap" w:sz="24" w:space="0" w:color="auto"/>
            </w:tcBorders>
            <w:shd w:val="clear" w:color="auto" w:fill="auto"/>
            <w:vAlign w:val="center"/>
          </w:tcPr>
          <w:p w14:paraId="33DF5D2C" w14:textId="77777777" w:rsidR="00BC2B65" w:rsidRPr="008B1465" w:rsidRDefault="00BC2B65" w:rsidP="00FE7438">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112</w:t>
            </w:r>
          </w:p>
        </w:tc>
        <w:tc>
          <w:tcPr>
            <w:tcW w:w="354" w:type="pct"/>
            <w:tcBorders>
              <w:bottom w:val="thinThickSmallGap" w:sz="24" w:space="0" w:color="auto"/>
            </w:tcBorders>
            <w:shd w:val="clear" w:color="auto" w:fill="auto"/>
            <w:vAlign w:val="center"/>
          </w:tcPr>
          <w:p w14:paraId="1B0631F2" w14:textId="77777777" w:rsidR="00BC2B65" w:rsidRPr="008B1465" w:rsidRDefault="00BC2B65" w:rsidP="00FE7438">
            <w:pPr>
              <w:autoSpaceDE w:val="0"/>
              <w:autoSpaceDN w:val="0"/>
              <w:adjustRightInd w:val="0"/>
              <w:spacing w:after="0" w:line="320" w:lineRule="atLeast"/>
              <w:ind w:left="60" w:right="60"/>
              <w:jc w:val="center"/>
              <w:rPr>
                <w:rFonts w:ascii="Times New Roman" w:hAnsi="Times New Roman"/>
                <w:sz w:val="18"/>
                <w:szCs w:val="18"/>
              </w:rPr>
            </w:pPr>
            <w:r w:rsidRPr="008B1465">
              <w:rPr>
                <w:rFonts w:ascii="Times New Roman" w:hAnsi="Times New Roman"/>
                <w:sz w:val="18"/>
                <w:szCs w:val="18"/>
              </w:rPr>
              <w:t>(30.8)</w:t>
            </w:r>
          </w:p>
        </w:tc>
        <w:tc>
          <w:tcPr>
            <w:tcW w:w="182" w:type="pct"/>
            <w:tcBorders>
              <w:bottom w:val="thinThickSmallGap" w:sz="24" w:space="0" w:color="auto"/>
            </w:tcBorders>
            <w:shd w:val="clear" w:color="auto" w:fill="auto"/>
            <w:vAlign w:val="center"/>
          </w:tcPr>
          <w:p w14:paraId="57B6E1A6" w14:textId="77777777" w:rsidR="00BC2B65" w:rsidRPr="008B1465" w:rsidRDefault="00BC2B65" w:rsidP="00FE7438">
            <w:pPr>
              <w:autoSpaceDE w:val="0"/>
              <w:autoSpaceDN w:val="0"/>
              <w:adjustRightInd w:val="0"/>
              <w:spacing w:after="0" w:line="320" w:lineRule="atLeast"/>
              <w:ind w:left="60" w:right="60"/>
              <w:jc w:val="right"/>
              <w:rPr>
                <w:rFonts w:ascii="Times New Roman" w:hAnsi="Times New Roman"/>
                <w:sz w:val="18"/>
                <w:szCs w:val="18"/>
              </w:rPr>
            </w:pPr>
            <w:r w:rsidRPr="008B1465">
              <w:rPr>
                <w:rFonts w:ascii="Times New Roman" w:hAnsi="Times New Roman"/>
                <w:sz w:val="18"/>
                <w:szCs w:val="18"/>
              </w:rPr>
              <w:t>74</w:t>
            </w:r>
          </w:p>
        </w:tc>
        <w:tc>
          <w:tcPr>
            <w:tcW w:w="354" w:type="pct"/>
            <w:tcBorders>
              <w:bottom w:val="thinThickSmallGap" w:sz="24" w:space="0" w:color="auto"/>
            </w:tcBorders>
            <w:shd w:val="clear" w:color="auto" w:fill="auto"/>
            <w:vAlign w:val="center"/>
          </w:tcPr>
          <w:p w14:paraId="1DFB7F80" w14:textId="77777777" w:rsidR="00BC2B65" w:rsidRPr="008B1465" w:rsidRDefault="00BC2B65" w:rsidP="00FE7438">
            <w:pPr>
              <w:autoSpaceDE w:val="0"/>
              <w:autoSpaceDN w:val="0"/>
              <w:adjustRightInd w:val="0"/>
              <w:spacing w:after="0" w:line="320" w:lineRule="atLeast"/>
              <w:ind w:left="60" w:right="60"/>
              <w:rPr>
                <w:rFonts w:ascii="Times New Roman" w:hAnsi="Times New Roman"/>
                <w:sz w:val="18"/>
                <w:szCs w:val="18"/>
              </w:rPr>
            </w:pPr>
            <w:r w:rsidRPr="008B1465">
              <w:rPr>
                <w:rFonts w:ascii="Times New Roman" w:hAnsi="Times New Roman"/>
                <w:sz w:val="18"/>
                <w:szCs w:val="18"/>
              </w:rPr>
              <w:t>(20.3)</w:t>
            </w:r>
          </w:p>
        </w:tc>
        <w:tc>
          <w:tcPr>
            <w:tcW w:w="274" w:type="pct"/>
            <w:tcBorders>
              <w:bottom w:val="thinThickSmallGap" w:sz="24" w:space="0" w:color="auto"/>
            </w:tcBorders>
            <w:shd w:val="clear" w:color="auto" w:fill="auto"/>
            <w:vAlign w:val="center"/>
          </w:tcPr>
          <w:p w14:paraId="545719BB" w14:textId="77777777" w:rsidR="00BC2B65" w:rsidRPr="007E6A6A" w:rsidRDefault="00BC2B65" w:rsidP="00FE7438">
            <w:pPr>
              <w:autoSpaceDE w:val="0"/>
              <w:autoSpaceDN w:val="0"/>
              <w:adjustRightInd w:val="0"/>
              <w:spacing w:after="0" w:line="320" w:lineRule="atLeast"/>
              <w:ind w:left="60" w:right="60"/>
              <w:jc w:val="center"/>
              <w:rPr>
                <w:rFonts w:ascii="Times New Roman" w:hAnsi="Times New Roman"/>
                <w:sz w:val="18"/>
                <w:szCs w:val="18"/>
              </w:rPr>
            </w:pPr>
            <w:r w:rsidRPr="007E6A6A">
              <w:rPr>
                <w:rFonts w:ascii="Times New Roman" w:hAnsi="Times New Roman"/>
                <w:color w:val="010205"/>
                <w:sz w:val="18"/>
                <w:szCs w:val="18"/>
              </w:rPr>
              <w:t>3.60</w:t>
            </w:r>
          </w:p>
        </w:tc>
        <w:tc>
          <w:tcPr>
            <w:tcW w:w="378" w:type="pct"/>
            <w:tcBorders>
              <w:bottom w:val="thinThickSmallGap" w:sz="24" w:space="0" w:color="auto"/>
            </w:tcBorders>
            <w:shd w:val="clear" w:color="auto" w:fill="auto"/>
            <w:vAlign w:val="center"/>
          </w:tcPr>
          <w:p w14:paraId="2C82F8AC" w14:textId="77777777" w:rsidR="00BC2B65" w:rsidRPr="007E6A6A" w:rsidRDefault="00BC2B65" w:rsidP="00FE7438">
            <w:pPr>
              <w:autoSpaceDE w:val="0"/>
              <w:autoSpaceDN w:val="0"/>
              <w:adjustRightInd w:val="0"/>
              <w:spacing w:after="0" w:line="320" w:lineRule="atLeast"/>
              <w:ind w:left="60" w:right="60"/>
              <w:jc w:val="center"/>
              <w:rPr>
                <w:rFonts w:ascii="Times New Roman" w:hAnsi="Times New Roman"/>
                <w:sz w:val="18"/>
                <w:szCs w:val="18"/>
              </w:rPr>
            </w:pPr>
            <w:r w:rsidRPr="007E6A6A">
              <w:rPr>
                <w:rFonts w:ascii="Times New Roman" w:hAnsi="Times New Roman"/>
                <w:color w:val="010205"/>
                <w:sz w:val="18"/>
                <w:szCs w:val="18"/>
              </w:rPr>
              <w:t>.944</w:t>
            </w:r>
          </w:p>
        </w:tc>
      </w:tr>
    </w:tbl>
    <w:p w14:paraId="5B646CA6" w14:textId="77777777" w:rsidR="00BC2B65" w:rsidRPr="008B1465" w:rsidRDefault="00BC2B65" w:rsidP="00BC2B65">
      <w:pPr>
        <w:pStyle w:val="NoSpacing"/>
        <w:spacing w:line="360" w:lineRule="auto"/>
        <w:rPr>
          <w:rFonts w:asciiTheme="minorHAnsi" w:hAnsiTheme="minorHAnsi" w:cstheme="minorHAnsi"/>
          <w:b/>
          <w:bCs/>
          <w:sz w:val="18"/>
          <w:szCs w:val="18"/>
        </w:rPr>
      </w:pPr>
      <w:r w:rsidRPr="008B1465">
        <w:rPr>
          <w:rFonts w:ascii="Times New Roman" w:hAnsi="Times New Roman"/>
          <w:b/>
          <w:sz w:val="18"/>
          <w:szCs w:val="18"/>
        </w:rPr>
        <w:t xml:space="preserve">Source: Researcher’s field survey, 2023, SPSS 25.0 </w:t>
      </w:r>
      <w:r w:rsidRPr="008B1465">
        <w:rPr>
          <w:rFonts w:asciiTheme="minorHAnsi" w:hAnsiTheme="minorHAnsi" w:cstheme="minorHAnsi"/>
          <w:b/>
          <w:bCs/>
          <w:sz w:val="18"/>
          <w:szCs w:val="18"/>
        </w:rPr>
        <w:t>Version</w:t>
      </w:r>
    </w:p>
    <w:p w14:paraId="270E4985" w14:textId="77777777" w:rsidR="00BC2B65" w:rsidRPr="008B1465" w:rsidRDefault="00BC2B65" w:rsidP="00324AF5">
      <w:pPr>
        <w:pStyle w:val="NoSpacing"/>
        <w:spacing w:line="360" w:lineRule="auto"/>
        <w:jc w:val="both"/>
        <w:rPr>
          <w:rFonts w:ascii="Times New Roman" w:hAnsi="Times New Roman"/>
          <w:color w:val="000000"/>
          <w:sz w:val="24"/>
          <w:szCs w:val="24"/>
        </w:rPr>
      </w:pPr>
    </w:p>
    <w:p w14:paraId="7D374A72" w14:textId="77777777" w:rsidR="00324AF5" w:rsidRPr="008B1465" w:rsidRDefault="00324AF5" w:rsidP="00324AF5">
      <w:pPr>
        <w:autoSpaceDE w:val="0"/>
        <w:autoSpaceDN w:val="0"/>
        <w:adjustRightInd w:val="0"/>
        <w:spacing w:before="0" w:beforeAutospacing="0" w:after="0" w:line="360" w:lineRule="auto"/>
        <w:jc w:val="both"/>
        <w:rPr>
          <w:rFonts w:ascii="Times New Roman" w:eastAsia="SimSun" w:hAnsi="Times New Roman"/>
          <w:sz w:val="24"/>
          <w:szCs w:val="24"/>
        </w:rPr>
      </w:pPr>
      <w:r>
        <w:rPr>
          <w:rFonts w:ascii="Times New Roman" w:eastAsia="SimSun" w:hAnsi="Times New Roman"/>
          <w:sz w:val="24"/>
          <w:szCs w:val="24"/>
        </w:rPr>
        <w:t xml:space="preserve">Table 4.5 </w:t>
      </w:r>
      <w:r w:rsidRPr="008B1465">
        <w:rPr>
          <w:rFonts w:ascii="Times New Roman" w:eastAsia="SimSun" w:hAnsi="Times New Roman"/>
          <w:sz w:val="24"/>
          <w:szCs w:val="24"/>
        </w:rPr>
        <w:t xml:space="preserve">depicts the distribution of the respondents regarding the accounting and digital environment. For the first statement, "The service of a forensic accountant differs from a traditional external auditor," the majority of respondents (48.9 per cent) agreed, while 26.9 per cent strongly agreed. Only a small portion (8.2 per cent) disagreed or strongly disagreed with this statement. </w:t>
      </w:r>
      <w:r w:rsidRPr="00DC2154">
        <w:rPr>
          <w:rFonts w:ascii="Times New Roman" w:eastAsia="SimSun" w:hAnsi="Times New Roman"/>
          <w:sz w:val="24"/>
          <w:szCs w:val="24"/>
        </w:rPr>
        <w:t>On average, respondents strongly believe that the service of a forensic accountant differs from that of a traditional external auditor.</w:t>
      </w:r>
      <w:r>
        <w:rPr>
          <w:rFonts w:ascii="Times New Roman" w:eastAsia="SimSun" w:hAnsi="Times New Roman"/>
          <w:sz w:val="24"/>
          <w:szCs w:val="24"/>
        </w:rPr>
        <w:t xml:space="preserve"> </w:t>
      </w:r>
      <w:r w:rsidRPr="00DC2154">
        <w:rPr>
          <w:rFonts w:ascii="Times New Roman" w:eastAsia="SimSun" w:hAnsi="Times New Roman"/>
          <w:sz w:val="24"/>
          <w:szCs w:val="24"/>
        </w:rPr>
        <w:t>The standard deviation of 0.930 indicates that there is some variability in respondents' opinions, but overall, many respondents tend to strongly agree that there is a distinction between these roles.</w:t>
      </w:r>
      <w:r>
        <w:rPr>
          <w:rFonts w:ascii="Times New Roman" w:eastAsia="SimSun" w:hAnsi="Times New Roman"/>
          <w:sz w:val="24"/>
          <w:szCs w:val="24"/>
        </w:rPr>
        <w:t xml:space="preserve"> </w:t>
      </w:r>
      <w:r w:rsidRPr="008B1465">
        <w:rPr>
          <w:rFonts w:ascii="Times New Roman" w:eastAsia="SimSun" w:hAnsi="Times New Roman"/>
          <w:sz w:val="24"/>
          <w:szCs w:val="24"/>
        </w:rPr>
        <w:t xml:space="preserve">This indicates that a significant number of respondents recognize and acknowledge the distinctiveness of forensic accountants' services in comparison to traditional external auditors. </w:t>
      </w:r>
    </w:p>
    <w:p w14:paraId="4D2FFE22" w14:textId="77777777" w:rsidR="00324AF5" w:rsidRPr="008B1465" w:rsidRDefault="00324AF5" w:rsidP="00324AF5">
      <w:pPr>
        <w:autoSpaceDE w:val="0"/>
        <w:autoSpaceDN w:val="0"/>
        <w:adjustRightInd w:val="0"/>
        <w:spacing w:before="0" w:beforeAutospacing="0" w:after="0" w:line="360" w:lineRule="auto"/>
        <w:jc w:val="both"/>
        <w:rPr>
          <w:rFonts w:ascii="Times New Roman" w:eastAsia="SimSun" w:hAnsi="Times New Roman"/>
          <w:sz w:val="24"/>
          <w:szCs w:val="24"/>
        </w:rPr>
      </w:pPr>
    </w:p>
    <w:p w14:paraId="5D74F305" w14:textId="0F49AC5B" w:rsidR="00332DDA" w:rsidRPr="008B1465" w:rsidRDefault="00324AF5" w:rsidP="00D829FE">
      <w:pPr>
        <w:autoSpaceDE w:val="0"/>
        <w:autoSpaceDN w:val="0"/>
        <w:adjustRightInd w:val="0"/>
        <w:spacing w:before="0" w:beforeAutospacing="0" w:after="0" w:line="360" w:lineRule="auto"/>
        <w:jc w:val="both"/>
        <w:rPr>
          <w:rFonts w:ascii="Times New Roman" w:eastAsia="SimSun" w:hAnsi="Times New Roman"/>
          <w:sz w:val="24"/>
          <w:szCs w:val="24"/>
        </w:rPr>
      </w:pPr>
      <w:r w:rsidRPr="008B1465">
        <w:rPr>
          <w:rFonts w:ascii="Times New Roman" w:eastAsia="SimSun" w:hAnsi="Times New Roman"/>
          <w:sz w:val="24"/>
          <w:szCs w:val="24"/>
        </w:rPr>
        <w:t>Moving on to the second statement, "The services of digital forensic accountants are required at my university," the survey reveals that nearly half of the respondents (47.3 per cent) agreed with this statement, while 23.1 per cent strongly agreed. Conversely, a minority of respondents (4.3 per cent) disagreed or strongly disagreed. These results suggest that a substantial portion of the respondents believe that digital forensic accountants' services are necessary within their university environment.</w:t>
      </w:r>
      <w:r>
        <w:rPr>
          <w:rFonts w:ascii="Times New Roman" w:eastAsia="SimSun" w:hAnsi="Times New Roman"/>
          <w:sz w:val="24"/>
          <w:szCs w:val="24"/>
        </w:rPr>
        <w:t xml:space="preserve"> </w:t>
      </w:r>
      <w:r w:rsidRPr="00DC2154">
        <w:rPr>
          <w:rFonts w:ascii="Times New Roman" w:eastAsia="SimSun" w:hAnsi="Times New Roman"/>
          <w:sz w:val="24"/>
          <w:szCs w:val="24"/>
        </w:rPr>
        <w:t>On average, respondents believe that the services of digital forensic accountants are required at their university.</w:t>
      </w:r>
      <w:r>
        <w:rPr>
          <w:rFonts w:ascii="Times New Roman" w:eastAsia="SimSun" w:hAnsi="Times New Roman"/>
          <w:sz w:val="24"/>
          <w:szCs w:val="24"/>
        </w:rPr>
        <w:t xml:space="preserve"> </w:t>
      </w:r>
      <w:r w:rsidRPr="00DC2154">
        <w:rPr>
          <w:rFonts w:ascii="Times New Roman" w:eastAsia="SimSun" w:hAnsi="Times New Roman"/>
          <w:sz w:val="24"/>
          <w:szCs w:val="24"/>
        </w:rPr>
        <w:t>The standard deviation of 0.853 suggests that respondents' opinions are relatively consistent, with most leaning towards agreement on the importance of digital forensic accountants.</w:t>
      </w:r>
    </w:p>
    <w:p w14:paraId="4BB64F41" w14:textId="77777777" w:rsidR="00234521" w:rsidRPr="008B1465" w:rsidRDefault="00234521" w:rsidP="00234521">
      <w:pPr>
        <w:autoSpaceDE w:val="0"/>
        <w:autoSpaceDN w:val="0"/>
        <w:adjustRightInd w:val="0"/>
        <w:spacing w:before="0" w:beforeAutospacing="0" w:after="0" w:line="360" w:lineRule="auto"/>
        <w:jc w:val="both"/>
        <w:rPr>
          <w:rFonts w:ascii="Times New Roman" w:eastAsia="SimSun" w:hAnsi="Times New Roman"/>
          <w:sz w:val="24"/>
          <w:szCs w:val="24"/>
        </w:rPr>
      </w:pPr>
    </w:p>
    <w:p w14:paraId="7AEACCC6" w14:textId="77777777" w:rsidR="009A3DB7" w:rsidRDefault="00535AAA" w:rsidP="00535AAA">
      <w:pPr>
        <w:autoSpaceDE w:val="0"/>
        <w:autoSpaceDN w:val="0"/>
        <w:adjustRightInd w:val="0"/>
        <w:spacing w:before="0" w:beforeAutospacing="0" w:after="0" w:line="360" w:lineRule="auto"/>
        <w:jc w:val="both"/>
        <w:rPr>
          <w:rFonts w:ascii="Times New Roman" w:eastAsia="SimSun" w:hAnsi="Times New Roman"/>
          <w:sz w:val="24"/>
          <w:szCs w:val="24"/>
        </w:rPr>
      </w:pPr>
      <w:r w:rsidRPr="008B1465">
        <w:rPr>
          <w:rFonts w:ascii="Times New Roman" w:eastAsia="SimSun" w:hAnsi="Times New Roman"/>
          <w:sz w:val="24"/>
          <w:szCs w:val="24"/>
        </w:rPr>
        <w:t xml:space="preserve">The third statement, "Digital forensic accounting detects and prevents fraud in my university," received mixed responses. While 46.2 per cent of the respondents agreed with this statement, 17.6 per cent strongly disagreed. The indifferent category had the highest count at 106 responses (29.1 per cent). </w:t>
      </w:r>
      <w:r w:rsidRPr="00DC2154">
        <w:rPr>
          <w:rFonts w:ascii="Times New Roman" w:eastAsia="SimSun" w:hAnsi="Times New Roman"/>
          <w:sz w:val="24"/>
          <w:szCs w:val="24"/>
        </w:rPr>
        <w:t>On average, respondents think that digital forensic accounting is effective in detecting and preventing fraud at their university.</w:t>
      </w:r>
      <w:r w:rsidRPr="00B93E17">
        <w:rPr>
          <w:rFonts w:ascii="Times New Roman" w:eastAsia="SimSun" w:hAnsi="Times New Roman"/>
          <w:sz w:val="24"/>
          <w:szCs w:val="24"/>
        </w:rPr>
        <w:t xml:space="preserve"> The standard deviation of 0.900 indicates some variability in responses, but the majority of respondents tend to agree that digital forensic accounting is effective in this regard.</w:t>
      </w:r>
      <w:r>
        <w:rPr>
          <w:rFonts w:ascii="Segoe UI" w:hAnsi="Segoe UI" w:cs="Segoe UI"/>
          <w:color w:val="374151"/>
          <w:shd w:val="clear" w:color="auto" w:fill="F7F7F8"/>
        </w:rPr>
        <w:t xml:space="preserve"> </w:t>
      </w:r>
      <w:r w:rsidRPr="008B1465">
        <w:rPr>
          <w:rFonts w:ascii="Times New Roman" w:eastAsia="SimSun" w:hAnsi="Times New Roman"/>
          <w:sz w:val="24"/>
          <w:szCs w:val="24"/>
        </w:rPr>
        <w:t xml:space="preserve">These results imply that while a significant portion of respondents believe that digital forensic accounting contributes to fraud detection and prevention, there is a notable level of uncertainty or disagreement among others. Lastly, the fourth statement, "The services of digital forensic accountants are preferable to the services of the traditional external auditor at my university," generated diverse responses. The largest response category (37.9 per cent) indicated agreement with this statement, followed by 30.8 per cent who were neutral or indifferent. Meanwhile, 10.4 per cent disagreed and 20.3 per cent strongly disagreed. </w:t>
      </w:r>
    </w:p>
    <w:p w14:paraId="5CB1E1E0" w14:textId="77777777" w:rsidR="009A3DB7" w:rsidRDefault="009A3DB7" w:rsidP="00535AAA">
      <w:pPr>
        <w:autoSpaceDE w:val="0"/>
        <w:autoSpaceDN w:val="0"/>
        <w:adjustRightInd w:val="0"/>
        <w:spacing w:before="0" w:beforeAutospacing="0" w:after="0" w:line="360" w:lineRule="auto"/>
        <w:jc w:val="both"/>
        <w:rPr>
          <w:rFonts w:ascii="Times New Roman" w:eastAsia="SimSun" w:hAnsi="Times New Roman"/>
          <w:sz w:val="24"/>
          <w:szCs w:val="24"/>
        </w:rPr>
      </w:pPr>
    </w:p>
    <w:p w14:paraId="4772E77E" w14:textId="77777777" w:rsidR="00D829FE" w:rsidRDefault="00535AAA" w:rsidP="00535AAA">
      <w:pPr>
        <w:autoSpaceDE w:val="0"/>
        <w:autoSpaceDN w:val="0"/>
        <w:adjustRightInd w:val="0"/>
        <w:spacing w:before="0" w:beforeAutospacing="0" w:after="0" w:line="360" w:lineRule="auto"/>
        <w:jc w:val="both"/>
        <w:rPr>
          <w:rFonts w:ascii="Times New Roman" w:eastAsia="SimSun" w:hAnsi="Times New Roman"/>
          <w:sz w:val="24"/>
          <w:szCs w:val="24"/>
        </w:rPr>
      </w:pPr>
      <w:r w:rsidRPr="00B93E17">
        <w:rPr>
          <w:rFonts w:ascii="Times New Roman" w:eastAsia="SimSun" w:hAnsi="Times New Roman"/>
          <w:sz w:val="24"/>
          <w:szCs w:val="24"/>
        </w:rPr>
        <w:t>On average, respondents express a preference for the services of digital forensic accountants over traditional external auditors at their university.</w:t>
      </w:r>
      <w:r>
        <w:rPr>
          <w:rFonts w:ascii="Times New Roman" w:eastAsia="SimSun" w:hAnsi="Times New Roman"/>
          <w:sz w:val="24"/>
          <w:szCs w:val="24"/>
        </w:rPr>
        <w:t xml:space="preserve"> </w:t>
      </w:r>
      <w:r w:rsidRPr="00B93E17">
        <w:rPr>
          <w:rFonts w:ascii="Times New Roman" w:eastAsia="SimSun" w:hAnsi="Times New Roman"/>
          <w:sz w:val="24"/>
          <w:szCs w:val="24"/>
        </w:rPr>
        <w:t>The standard deviation of 0.944 suggests that there is a moderate level of variability in respondents' preferences, with some strongly preferring digital forensic accountants while others may have a less strong preference.</w:t>
      </w:r>
      <w:r>
        <w:rPr>
          <w:rFonts w:ascii="Times New Roman" w:eastAsia="SimSun" w:hAnsi="Times New Roman"/>
          <w:sz w:val="24"/>
          <w:szCs w:val="24"/>
        </w:rPr>
        <w:t xml:space="preserve"> </w:t>
      </w:r>
      <w:r w:rsidRPr="008B1465">
        <w:rPr>
          <w:rFonts w:ascii="Times New Roman" w:eastAsia="SimSun" w:hAnsi="Times New Roman"/>
          <w:sz w:val="24"/>
          <w:szCs w:val="24"/>
        </w:rPr>
        <w:t>These findings suggest that there is a significant proportion of respondents who perceive digital forensic accountants' services as favorable when compared to traditional external auditors at their university. However, there is also a substantial portion that either disagrees or holds a neutral stance on the matter.</w:t>
      </w:r>
      <w:r w:rsidR="00D829FE">
        <w:rPr>
          <w:rFonts w:ascii="Times New Roman" w:eastAsia="SimSun" w:hAnsi="Times New Roman"/>
          <w:sz w:val="24"/>
          <w:szCs w:val="24"/>
        </w:rPr>
        <w:t xml:space="preserve"> </w:t>
      </w:r>
    </w:p>
    <w:p w14:paraId="737FF793" w14:textId="77777777" w:rsidR="00D829FE" w:rsidRDefault="00D829FE" w:rsidP="00535AAA">
      <w:pPr>
        <w:autoSpaceDE w:val="0"/>
        <w:autoSpaceDN w:val="0"/>
        <w:adjustRightInd w:val="0"/>
        <w:spacing w:before="0" w:beforeAutospacing="0" w:after="0" w:line="360" w:lineRule="auto"/>
        <w:jc w:val="both"/>
        <w:rPr>
          <w:rFonts w:ascii="Times New Roman" w:eastAsia="SimSun" w:hAnsi="Times New Roman"/>
          <w:sz w:val="24"/>
          <w:szCs w:val="24"/>
        </w:rPr>
      </w:pPr>
    </w:p>
    <w:p w14:paraId="2CE0AC20" w14:textId="230CF214" w:rsidR="00E207CF" w:rsidRPr="008B1465" w:rsidRDefault="00535AAA" w:rsidP="00535AAA">
      <w:pPr>
        <w:autoSpaceDE w:val="0"/>
        <w:autoSpaceDN w:val="0"/>
        <w:adjustRightInd w:val="0"/>
        <w:spacing w:before="0" w:beforeAutospacing="0" w:after="0" w:line="360" w:lineRule="auto"/>
        <w:jc w:val="both"/>
        <w:rPr>
          <w:rFonts w:ascii="Times New Roman" w:eastAsia="SimSun" w:hAnsi="Times New Roman"/>
          <w:sz w:val="24"/>
          <w:szCs w:val="24"/>
        </w:rPr>
      </w:pPr>
      <w:r w:rsidRPr="008B1465">
        <w:rPr>
          <w:rFonts w:ascii="Times New Roman" w:eastAsia="SimSun" w:hAnsi="Times New Roman"/>
          <w:sz w:val="24"/>
          <w:szCs w:val="24"/>
        </w:rPr>
        <w:t>Overall, the survey results reflect varying opinions regarding the differentiation between forensic accountants and traditional external auditors, the necessity of digital forensic accountants at universities, the effectiveness of digital forensic accounting in fraud detection and prevention, and the preference for digital forensic accountants over traditional external auditors. These findings highlight the importance of considering diverse perspectives and opinions when making decisions related to the utilization of forensic accounting services in different contexts.</w:t>
      </w:r>
    </w:p>
    <w:p w14:paraId="5CC0CA41" w14:textId="4F45FAFD" w:rsidR="0072282A" w:rsidRPr="0072282A" w:rsidRDefault="0072282A" w:rsidP="00E71888">
      <w:pPr>
        <w:pStyle w:val="Caption"/>
        <w:keepNext/>
        <w:jc w:val="center"/>
        <w:rPr>
          <w:rFonts w:ascii="Times New Roman" w:hAnsi="Times New Roman"/>
          <w:sz w:val="24"/>
          <w:szCs w:val="24"/>
        </w:rPr>
      </w:pPr>
      <w:bookmarkStart w:id="116" w:name="_Toc145952339"/>
      <w:r w:rsidRPr="0072282A">
        <w:rPr>
          <w:rFonts w:ascii="Times New Roman" w:hAnsi="Times New Roman"/>
          <w:i w:val="0"/>
          <w:iCs w:val="0"/>
          <w:color w:val="000000" w:themeColor="text1"/>
          <w:sz w:val="24"/>
          <w:szCs w:val="24"/>
        </w:rPr>
        <w:t xml:space="preserve">Table </w:t>
      </w:r>
      <w:r w:rsidR="000F6857">
        <w:rPr>
          <w:rFonts w:ascii="Times New Roman" w:hAnsi="Times New Roman"/>
          <w:i w:val="0"/>
          <w:iCs w:val="0"/>
          <w:color w:val="000000" w:themeColor="text1"/>
          <w:sz w:val="24"/>
          <w:szCs w:val="24"/>
        </w:rPr>
        <w:fldChar w:fldCharType="begin"/>
      </w:r>
      <w:r w:rsidR="000F6857">
        <w:rPr>
          <w:rFonts w:ascii="Times New Roman" w:hAnsi="Times New Roman"/>
          <w:i w:val="0"/>
          <w:iCs w:val="0"/>
          <w:color w:val="000000" w:themeColor="text1"/>
          <w:sz w:val="24"/>
          <w:szCs w:val="24"/>
        </w:rPr>
        <w:instrText xml:space="preserve"> STYLEREF 1 \s </w:instrText>
      </w:r>
      <w:r w:rsidR="000F6857">
        <w:rPr>
          <w:rFonts w:ascii="Times New Roman" w:hAnsi="Times New Roman"/>
          <w:i w:val="0"/>
          <w:iCs w:val="0"/>
          <w:color w:val="000000" w:themeColor="text1"/>
          <w:sz w:val="24"/>
          <w:szCs w:val="24"/>
        </w:rPr>
        <w:fldChar w:fldCharType="separate"/>
      </w:r>
      <w:r w:rsidR="007B5846">
        <w:rPr>
          <w:rFonts w:ascii="Times New Roman" w:hAnsi="Times New Roman"/>
          <w:i w:val="0"/>
          <w:iCs w:val="0"/>
          <w:noProof/>
          <w:color w:val="000000" w:themeColor="text1"/>
          <w:sz w:val="24"/>
          <w:szCs w:val="24"/>
        </w:rPr>
        <w:t>4</w:t>
      </w:r>
      <w:r w:rsidR="000F6857">
        <w:rPr>
          <w:rFonts w:ascii="Times New Roman" w:hAnsi="Times New Roman"/>
          <w:i w:val="0"/>
          <w:iCs w:val="0"/>
          <w:color w:val="000000" w:themeColor="text1"/>
          <w:sz w:val="24"/>
          <w:szCs w:val="24"/>
        </w:rPr>
        <w:fldChar w:fldCharType="end"/>
      </w:r>
      <w:r w:rsidR="000F6857">
        <w:rPr>
          <w:rFonts w:ascii="Times New Roman" w:hAnsi="Times New Roman"/>
          <w:i w:val="0"/>
          <w:iCs w:val="0"/>
          <w:color w:val="000000" w:themeColor="text1"/>
          <w:sz w:val="24"/>
          <w:szCs w:val="24"/>
        </w:rPr>
        <w:t>.</w:t>
      </w:r>
      <w:r w:rsidR="000F6857">
        <w:rPr>
          <w:rFonts w:ascii="Times New Roman" w:hAnsi="Times New Roman"/>
          <w:i w:val="0"/>
          <w:iCs w:val="0"/>
          <w:color w:val="000000" w:themeColor="text1"/>
          <w:sz w:val="24"/>
          <w:szCs w:val="24"/>
        </w:rPr>
        <w:fldChar w:fldCharType="begin"/>
      </w:r>
      <w:r w:rsidR="000F6857">
        <w:rPr>
          <w:rFonts w:ascii="Times New Roman" w:hAnsi="Times New Roman"/>
          <w:i w:val="0"/>
          <w:iCs w:val="0"/>
          <w:color w:val="000000" w:themeColor="text1"/>
          <w:sz w:val="24"/>
          <w:szCs w:val="24"/>
        </w:rPr>
        <w:instrText xml:space="preserve"> SEQ Table \* ARABIC \s 1 </w:instrText>
      </w:r>
      <w:r w:rsidR="000F6857">
        <w:rPr>
          <w:rFonts w:ascii="Times New Roman" w:hAnsi="Times New Roman"/>
          <w:i w:val="0"/>
          <w:iCs w:val="0"/>
          <w:color w:val="000000" w:themeColor="text1"/>
          <w:sz w:val="24"/>
          <w:szCs w:val="24"/>
        </w:rPr>
        <w:fldChar w:fldCharType="separate"/>
      </w:r>
      <w:r w:rsidR="007B5846">
        <w:rPr>
          <w:rFonts w:ascii="Times New Roman" w:hAnsi="Times New Roman"/>
          <w:i w:val="0"/>
          <w:iCs w:val="0"/>
          <w:noProof/>
          <w:color w:val="000000" w:themeColor="text1"/>
          <w:sz w:val="24"/>
          <w:szCs w:val="24"/>
        </w:rPr>
        <w:t>6</w:t>
      </w:r>
      <w:r w:rsidR="000F6857">
        <w:rPr>
          <w:rFonts w:ascii="Times New Roman" w:hAnsi="Times New Roman"/>
          <w:i w:val="0"/>
          <w:iCs w:val="0"/>
          <w:color w:val="000000" w:themeColor="text1"/>
          <w:sz w:val="24"/>
          <w:szCs w:val="24"/>
        </w:rPr>
        <w:fldChar w:fldCharType="end"/>
      </w:r>
      <w:r w:rsidRPr="0072282A">
        <w:rPr>
          <w:rFonts w:ascii="Times New Roman" w:hAnsi="Times New Roman"/>
          <w:sz w:val="24"/>
          <w:szCs w:val="24"/>
        </w:rPr>
        <w:t>:</w:t>
      </w:r>
      <w:r w:rsidRPr="0072282A">
        <w:rPr>
          <w:rFonts w:ascii="Times New Roman" w:hAnsi="Times New Roman"/>
          <w:i w:val="0"/>
          <w:iCs w:val="0"/>
          <w:color w:val="auto"/>
          <w:sz w:val="24"/>
          <w:szCs w:val="24"/>
        </w:rPr>
        <w:t xml:space="preserve"> Descriptive Analysis of Respondents’ Information on Value for Money Practices</w:t>
      </w:r>
      <w:bookmarkEnd w:id="116"/>
    </w:p>
    <w:tbl>
      <w:tblPr>
        <w:tblW w:w="5125" w:type="pct"/>
        <w:tblInd w:w="-95" w:type="dxa"/>
        <w:tblLayout w:type="fixed"/>
        <w:tblCellMar>
          <w:left w:w="0" w:type="dxa"/>
          <w:right w:w="0" w:type="dxa"/>
        </w:tblCellMar>
        <w:tblLook w:val="0000" w:firstRow="0" w:lastRow="0" w:firstColumn="0" w:lastColumn="0" w:noHBand="0" w:noVBand="0"/>
      </w:tblPr>
      <w:tblGrid>
        <w:gridCol w:w="360"/>
        <w:gridCol w:w="2343"/>
        <w:gridCol w:w="520"/>
        <w:gridCol w:w="758"/>
        <w:gridCol w:w="365"/>
        <w:gridCol w:w="591"/>
        <w:gridCol w:w="365"/>
        <w:gridCol w:w="710"/>
        <w:gridCol w:w="487"/>
        <w:gridCol w:w="708"/>
        <w:gridCol w:w="365"/>
        <w:gridCol w:w="710"/>
        <w:gridCol w:w="487"/>
        <w:gridCol w:w="13"/>
        <w:gridCol w:w="812"/>
      </w:tblGrid>
      <w:tr w:rsidR="00DB6337" w:rsidRPr="008B1465" w14:paraId="4117860C" w14:textId="0E1D0B9E" w:rsidTr="0032645C">
        <w:trPr>
          <w:cantSplit/>
          <w:trHeight w:val="268"/>
        </w:trPr>
        <w:tc>
          <w:tcPr>
            <w:tcW w:w="188" w:type="pct"/>
            <w:tcBorders>
              <w:top w:val="thinThickSmallGap" w:sz="24" w:space="0" w:color="auto"/>
              <w:bottom w:val="thinThickSmallGap" w:sz="24" w:space="0" w:color="auto"/>
            </w:tcBorders>
            <w:shd w:val="clear" w:color="auto" w:fill="auto"/>
          </w:tcPr>
          <w:p w14:paraId="3D421F8F" w14:textId="77777777" w:rsidR="00DB6337" w:rsidRPr="008B1465" w:rsidRDefault="00DB6337" w:rsidP="00DB6337">
            <w:pPr>
              <w:autoSpaceDE w:val="0"/>
              <w:autoSpaceDN w:val="0"/>
              <w:adjustRightInd w:val="0"/>
              <w:spacing w:before="0" w:beforeAutospacing="0" w:after="0" w:line="240" w:lineRule="auto"/>
              <w:rPr>
                <w:rFonts w:ascii="Times New Roman" w:hAnsi="Times New Roman"/>
                <w:b/>
                <w:bCs/>
                <w:sz w:val="18"/>
                <w:szCs w:val="18"/>
              </w:rPr>
            </w:pPr>
            <w:r w:rsidRPr="008B1465">
              <w:rPr>
                <w:rFonts w:ascii="Times New Roman" w:hAnsi="Times New Roman"/>
                <w:b/>
                <w:bCs/>
                <w:sz w:val="18"/>
                <w:szCs w:val="18"/>
              </w:rPr>
              <w:t>S/N</w:t>
            </w:r>
          </w:p>
        </w:tc>
        <w:tc>
          <w:tcPr>
            <w:tcW w:w="1221" w:type="pct"/>
            <w:tcBorders>
              <w:top w:val="thinThickSmallGap" w:sz="24" w:space="0" w:color="auto"/>
              <w:bottom w:val="thinThickSmallGap" w:sz="24" w:space="0" w:color="auto"/>
            </w:tcBorders>
            <w:shd w:val="clear" w:color="auto" w:fill="auto"/>
            <w:vAlign w:val="bottom"/>
          </w:tcPr>
          <w:p w14:paraId="2CC17F1A" w14:textId="77777777" w:rsidR="00DB6337" w:rsidRPr="008B1465" w:rsidRDefault="00DB6337" w:rsidP="00DB6337">
            <w:pPr>
              <w:autoSpaceDE w:val="0"/>
              <w:autoSpaceDN w:val="0"/>
              <w:adjustRightInd w:val="0"/>
              <w:spacing w:before="0" w:beforeAutospacing="0" w:after="0" w:line="240" w:lineRule="auto"/>
              <w:jc w:val="center"/>
              <w:rPr>
                <w:rFonts w:ascii="Times New Roman" w:hAnsi="Times New Roman"/>
                <w:b/>
                <w:bCs/>
                <w:sz w:val="18"/>
                <w:szCs w:val="18"/>
              </w:rPr>
            </w:pPr>
            <w:r w:rsidRPr="008B1465">
              <w:rPr>
                <w:rFonts w:ascii="Times New Roman" w:hAnsi="Times New Roman"/>
                <w:b/>
                <w:bCs/>
                <w:sz w:val="18"/>
                <w:szCs w:val="18"/>
              </w:rPr>
              <w:t>Items</w:t>
            </w:r>
          </w:p>
        </w:tc>
        <w:tc>
          <w:tcPr>
            <w:tcW w:w="666" w:type="pct"/>
            <w:gridSpan w:val="2"/>
            <w:tcBorders>
              <w:top w:val="thinThickSmallGap" w:sz="24" w:space="0" w:color="auto"/>
              <w:bottom w:val="thinThickSmallGap" w:sz="24" w:space="0" w:color="auto"/>
            </w:tcBorders>
            <w:shd w:val="clear" w:color="auto" w:fill="auto"/>
            <w:vAlign w:val="bottom"/>
          </w:tcPr>
          <w:p w14:paraId="1635CD3B" w14:textId="5C7DB7E3" w:rsidR="00DB6337" w:rsidRPr="008B1465" w:rsidRDefault="00DB6337" w:rsidP="00DB6337">
            <w:pPr>
              <w:autoSpaceDE w:val="0"/>
              <w:autoSpaceDN w:val="0"/>
              <w:adjustRightInd w:val="0"/>
              <w:spacing w:before="0" w:beforeAutospacing="0" w:after="0" w:line="240" w:lineRule="auto"/>
              <w:ind w:left="60" w:right="60"/>
              <w:jc w:val="center"/>
              <w:rPr>
                <w:rFonts w:ascii="Times New Roman" w:hAnsi="Times New Roman"/>
                <w:b/>
                <w:bCs/>
                <w:sz w:val="18"/>
                <w:szCs w:val="18"/>
              </w:rPr>
            </w:pPr>
            <w:r w:rsidRPr="008B1465">
              <w:rPr>
                <w:rFonts w:ascii="Times New Roman" w:hAnsi="Times New Roman"/>
                <w:b/>
                <w:bCs/>
                <w:sz w:val="18"/>
                <w:szCs w:val="18"/>
              </w:rPr>
              <w:t>SD (%)</w:t>
            </w:r>
          </w:p>
        </w:tc>
        <w:tc>
          <w:tcPr>
            <w:tcW w:w="498" w:type="pct"/>
            <w:gridSpan w:val="2"/>
            <w:tcBorders>
              <w:top w:val="thinThickSmallGap" w:sz="24" w:space="0" w:color="auto"/>
              <w:bottom w:val="thinThickSmallGap" w:sz="24" w:space="0" w:color="auto"/>
            </w:tcBorders>
            <w:shd w:val="clear" w:color="auto" w:fill="auto"/>
            <w:vAlign w:val="bottom"/>
          </w:tcPr>
          <w:p w14:paraId="290F2089" w14:textId="5C9A98A1" w:rsidR="00DB6337" w:rsidRPr="008B1465" w:rsidRDefault="00DB6337" w:rsidP="00DB6337">
            <w:pPr>
              <w:autoSpaceDE w:val="0"/>
              <w:autoSpaceDN w:val="0"/>
              <w:adjustRightInd w:val="0"/>
              <w:spacing w:before="0" w:beforeAutospacing="0" w:after="0" w:line="240" w:lineRule="auto"/>
              <w:ind w:left="60" w:right="60"/>
              <w:jc w:val="center"/>
              <w:rPr>
                <w:rFonts w:ascii="Times New Roman" w:hAnsi="Times New Roman"/>
                <w:b/>
                <w:bCs/>
                <w:sz w:val="18"/>
                <w:szCs w:val="18"/>
              </w:rPr>
            </w:pPr>
            <w:r w:rsidRPr="008B1465">
              <w:rPr>
                <w:rFonts w:ascii="Times New Roman" w:hAnsi="Times New Roman"/>
                <w:b/>
                <w:bCs/>
                <w:sz w:val="18"/>
                <w:szCs w:val="18"/>
              </w:rPr>
              <w:t>D (%)</w:t>
            </w:r>
          </w:p>
        </w:tc>
        <w:tc>
          <w:tcPr>
            <w:tcW w:w="560" w:type="pct"/>
            <w:gridSpan w:val="2"/>
            <w:tcBorders>
              <w:top w:val="thinThickSmallGap" w:sz="24" w:space="0" w:color="auto"/>
              <w:bottom w:val="thinThickSmallGap" w:sz="24" w:space="0" w:color="auto"/>
            </w:tcBorders>
            <w:shd w:val="clear" w:color="auto" w:fill="auto"/>
            <w:vAlign w:val="bottom"/>
          </w:tcPr>
          <w:p w14:paraId="445FE1EA" w14:textId="36895C03" w:rsidR="00DB6337" w:rsidRPr="008B1465" w:rsidRDefault="00DB6337" w:rsidP="00DB6337">
            <w:pPr>
              <w:autoSpaceDE w:val="0"/>
              <w:autoSpaceDN w:val="0"/>
              <w:adjustRightInd w:val="0"/>
              <w:spacing w:before="0" w:beforeAutospacing="0" w:after="0" w:line="240" w:lineRule="auto"/>
              <w:ind w:left="60" w:right="60"/>
              <w:jc w:val="center"/>
              <w:rPr>
                <w:rFonts w:ascii="Times New Roman" w:hAnsi="Times New Roman"/>
                <w:b/>
                <w:bCs/>
                <w:sz w:val="18"/>
                <w:szCs w:val="18"/>
              </w:rPr>
            </w:pPr>
            <w:r w:rsidRPr="008B1465">
              <w:rPr>
                <w:rFonts w:ascii="Times New Roman" w:hAnsi="Times New Roman"/>
                <w:b/>
                <w:bCs/>
                <w:sz w:val="18"/>
                <w:szCs w:val="18"/>
              </w:rPr>
              <w:t>I (%)</w:t>
            </w:r>
          </w:p>
        </w:tc>
        <w:tc>
          <w:tcPr>
            <w:tcW w:w="623" w:type="pct"/>
            <w:gridSpan w:val="2"/>
            <w:tcBorders>
              <w:top w:val="thinThickSmallGap" w:sz="24" w:space="0" w:color="auto"/>
              <w:bottom w:val="thinThickSmallGap" w:sz="24" w:space="0" w:color="auto"/>
            </w:tcBorders>
            <w:shd w:val="clear" w:color="auto" w:fill="auto"/>
            <w:vAlign w:val="bottom"/>
          </w:tcPr>
          <w:p w14:paraId="2D6AA60D" w14:textId="4F018EDD" w:rsidR="00DB6337" w:rsidRPr="008B1465" w:rsidRDefault="00DB6337" w:rsidP="00DB6337">
            <w:pPr>
              <w:autoSpaceDE w:val="0"/>
              <w:autoSpaceDN w:val="0"/>
              <w:adjustRightInd w:val="0"/>
              <w:spacing w:before="0" w:beforeAutospacing="0" w:after="0" w:line="240" w:lineRule="auto"/>
              <w:ind w:left="60" w:right="60"/>
              <w:jc w:val="center"/>
              <w:rPr>
                <w:rFonts w:ascii="Times New Roman" w:hAnsi="Times New Roman"/>
                <w:b/>
                <w:bCs/>
                <w:sz w:val="18"/>
                <w:szCs w:val="18"/>
              </w:rPr>
            </w:pPr>
            <w:r w:rsidRPr="008B1465">
              <w:rPr>
                <w:rFonts w:ascii="Times New Roman" w:hAnsi="Times New Roman"/>
                <w:b/>
                <w:bCs/>
                <w:sz w:val="18"/>
                <w:szCs w:val="18"/>
              </w:rPr>
              <w:t>A (%)</w:t>
            </w:r>
          </w:p>
        </w:tc>
        <w:tc>
          <w:tcPr>
            <w:tcW w:w="560" w:type="pct"/>
            <w:gridSpan w:val="2"/>
            <w:tcBorders>
              <w:top w:val="thinThickSmallGap" w:sz="24" w:space="0" w:color="auto"/>
              <w:bottom w:val="thinThickSmallGap" w:sz="24" w:space="0" w:color="auto"/>
            </w:tcBorders>
            <w:shd w:val="clear" w:color="auto" w:fill="auto"/>
            <w:vAlign w:val="bottom"/>
          </w:tcPr>
          <w:p w14:paraId="6F71049B" w14:textId="19F3604A" w:rsidR="00DB6337" w:rsidRPr="008B1465" w:rsidRDefault="00DB6337" w:rsidP="00DB6337">
            <w:pPr>
              <w:autoSpaceDE w:val="0"/>
              <w:autoSpaceDN w:val="0"/>
              <w:adjustRightInd w:val="0"/>
              <w:spacing w:before="0" w:beforeAutospacing="0" w:after="0" w:line="240" w:lineRule="auto"/>
              <w:ind w:left="60" w:right="60"/>
              <w:jc w:val="center"/>
              <w:rPr>
                <w:rFonts w:ascii="Times New Roman" w:hAnsi="Times New Roman"/>
                <w:b/>
                <w:bCs/>
                <w:sz w:val="18"/>
                <w:szCs w:val="18"/>
              </w:rPr>
            </w:pPr>
            <w:r w:rsidRPr="008B1465">
              <w:rPr>
                <w:rFonts w:ascii="Times New Roman" w:hAnsi="Times New Roman"/>
                <w:b/>
                <w:bCs/>
                <w:sz w:val="18"/>
                <w:szCs w:val="18"/>
              </w:rPr>
              <w:t>SA (%)</w:t>
            </w:r>
          </w:p>
        </w:tc>
        <w:tc>
          <w:tcPr>
            <w:tcW w:w="261" w:type="pct"/>
            <w:gridSpan w:val="2"/>
            <w:tcBorders>
              <w:top w:val="thinThickSmallGap" w:sz="24" w:space="0" w:color="auto"/>
              <w:bottom w:val="thinThickSmallGap" w:sz="24" w:space="0" w:color="auto"/>
            </w:tcBorders>
            <w:shd w:val="clear" w:color="auto" w:fill="auto"/>
            <w:vAlign w:val="bottom"/>
          </w:tcPr>
          <w:p w14:paraId="5DCA9DE0" w14:textId="2331080F" w:rsidR="00DB6337" w:rsidRPr="008B1465" w:rsidRDefault="00DB6337" w:rsidP="00DB6337">
            <w:pPr>
              <w:autoSpaceDE w:val="0"/>
              <w:autoSpaceDN w:val="0"/>
              <w:adjustRightInd w:val="0"/>
              <w:spacing w:before="0" w:beforeAutospacing="0" w:after="0" w:line="240" w:lineRule="auto"/>
              <w:ind w:left="60" w:right="60"/>
              <w:jc w:val="center"/>
              <w:rPr>
                <w:rFonts w:ascii="Times New Roman" w:hAnsi="Times New Roman"/>
                <w:b/>
                <w:bCs/>
                <w:sz w:val="18"/>
                <w:szCs w:val="18"/>
              </w:rPr>
            </w:pPr>
            <w:r w:rsidRPr="00AA1F8B">
              <w:rPr>
                <w:rFonts w:ascii="Times New Roman" w:eastAsia="Calibri" w:hAnsi="Times New Roman"/>
                <w:b/>
                <w:bCs/>
                <w:sz w:val="28"/>
                <w:szCs w:val="28"/>
              </w:rPr>
              <w:t xml:space="preserve">  </w:t>
            </w:r>
            <m:oMath>
              <m:acc>
                <m:accPr>
                  <m:chr m:val="̅"/>
                  <m:ctrlPr>
                    <w:rPr>
                      <w:rFonts w:ascii="Cambria Math" w:eastAsia="Calibri" w:hAnsi="Cambria Math"/>
                      <w:b/>
                      <w:bCs/>
                      <w:i/>
                      <w:sz w:val="28"/>
                      <w:szCs w:val="28"/>
                    </w:rPr>
                  </m:ctrlPr>
                </m:accPr>
                <m:e>
                  <m:r>
                    <m:rPr>
                      <m:sty m:val="bi"/>
                    </m:rPr>
                    <w:rPr>
                      <w:rFonts w:ascii="Cambria Math" w:eastAsia="Calibri" w:hAnsi="Cambria Math"/>
                      <w:sz w:val="28"/>
                      <w:szCs w:val="28"/>
                    </w:rPr>
                    <m:t>x</m:t>
                  </m:r>
                </m:e>
              </m:acc>
            </m:oMath>
          </w:p>
        </w:tc>
        <w:tc>
          <w:tcPr>
            <w:tcW w:w="423" w:type="pct"/>
            <w:tcBorders>
              <w:top w:val="thinThickSmallGap" w:sz="24" w:space="0" w:color="auto"/>
              <w:bottom w:val="thinThickSmallGap" w:sz="24" w:space="0" w:color="auto"/>
            </w:tcBorders>
            <w:shd w:val="clear" w:color="auto" w:fill="auto"/>
            <w:vAlign w:val="bottom"/>
          </w:tcPr>
          <w:p w14:paraId="0B5360C7" w14:textId="61D4EF08" w:rsidR="00DB6337" w:rsidRPr="008B1465" w:rsidRDefault="00DB6337" w:rsidP="000E6240">
            <w:pPr>
              <w:autoSpaceDE w:val="0"/>
              <w:autoSpaceDN w:val="0"/>
              <w:adjustRightInd w:val="0"/>
              <w:spacing w:before="0" w:beforeAutospacing="0" w:after="0" w:line="240" w:lineRule="auto"/>
              <w:ind w:left="60" w:right="60"/>
              <w:rPr>
                <w:rFonts w:ascii="Times New Roman" w:hAnsi="Times New Roman"/>
                <w:b/>
                <w:bCs/>
                <w:sz w:val="18"/>
                <w:szCs w:val="18"/>
              </w:rPr>
            </w:pPr>
            <w:r>
              <w:rPr>
                <w:rFonts w:ascii="Times New Roman" w:eastAsia="Calibri" w:hAnsi="Times New Roman"/>
                <w:b/>
                <w:bCs/>
              </w:rPr>
              <w:t>S</w:t>
            </w:r>
            <w:r w:rsidR="000E6240">
              <w:rPr>
                <w:rFonts w:ascii="Times New Roman" w:eastAsia="Calibri" w:hAnsi="Times New Roman"/>
                <w:b/>
                <w:bCs/>
              </w:rPr>
              <w:t>T</w:t>
            </w:r>
            <w:r>
              <w:rPr>
                <w:rFonts w:ascii="Times New Roman" w:eastAsia="Calibri" w:hAnsi="Times New Roman"/>
                <w:b/>
                <w:bCs/>
              </w:rPr>
              <w:t xml:space="preserve">D </w:t>
            </w:r>
          </w:p>
        </w:tc>
      </w:tr>
      <w:tr w:rsidR="00772FEE" w:rsidRPr="008B1465" w14:paraId="097B9306" w14:textId="77777777" w:rsidTr="0032645C">
        <w:trPr>
          <w:cantSplit/>
          <w:trHeight w:val="788"/>
        </w:trPr>
        <w:tc>
          <w:tcPr>
            <w:tcW w:w="188" w:type="pct"/>
            <w:tcBorders>
              <w:top w:val="thinThickSmallGap" w:sz="24" w:space="0" w:color="auto"/>
            </w:tcBorders>
            <w:shd w:val="clear" w:color="auto" w:fill="auto"/>
          </w:tcPr>
          <w:p w14:paraId="3E7E54E0" w14:textId="77777777" w:rsidR="00772FEE" w:rsidRPr="008B1465" w:rsidRDefault="00772FEE" w:rsidP="00772FEE">
            <w:pPr>
              <w:pStyle w:val="ListParagraph"/>
              <w:numPr>
                <w:ilvl w:val="0"/>
                <w:numId w:val="27"/>
              </w:numPr>
              <w:autoSpaceDE w:val="0"/>
              <w:autoSpaceDN w:val="0"/>
              <w:adjustRightInd w:val="0"/>
              <w:spacing w:before="0" w:beforeAutospacing="0" w:after="0" w:line="240" w:lineRule="auto"/>
              <w:ind w:right="60"/>
              <w:rPr>
                <w:rFonts w:ascii="Times New Roman" w:hAnsi="Times New Roman"/>
                <w:sz w:val="18"/>
                <w:szCs w:val="18"/>
              </w:rPr>
            </w:pPr>
          </w:p>
        </w:tc>
        <w:tc>
          <w:tcPr>
            <w:tcW w:w="1221" w:type="pct"/>
            <w:tcBorders>
              <w:top w:val="thinThickSmallGap" w:sz="24" w:space="0" w:color="auto"/>
            </w:tcBorders>
            <w:shd w:val="clear" w:color="auto" w:fill="auto"/>
          </w:tcPr>
          <w:p w14:paraId="0F8AD90A" w14:textId="4A684DDA"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The procurement activities of my university aim at achieving value for money</w:t>
            </w:r>
          </w:p>
        </w:tc>
        <w:tc>
          <w:tcPr>
            <w:tcW w:w="271" w:type="pct"/>
            <w:tcBorders>
              <w:top w:val="thinThickSmallGap" w:sz="24" w:space="0" w:color="auto"/>
            </w:tcBorders>
            <w:shd w:val="clear" w:color="auto" w:fill="auto"/>
          </w:tcPr>
          <w:p w14:paraId="5CB508EE"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6</w:t>
            </w:r>
          </w:p>
        </w:tc>
        <w:tc>
          <w:tcPr>
            <w:tcW w:w="395" w:type="pct"/>
            <w:tcBorders>
              <w:top w:val="thinThickSmallGap" w:sz="24" w:space="0" w:color="auto"/>
            </w:tcBorders>
            <w:shd w:val="clear" w:color="auto" w:fill="auto"/>
          </w:tcPr>
          <w:p w14:paraId="28248A6C"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(1.6)</w:t>
            </w:r>
          </w:p>
        </w:tc>
        <w:tc>
          <w:tcPr>
            <w:tcW w:w="190" w:type="pct"/>
            <w:tcBorders>
              <w:top w:val="thinThickSmallGap" w:sz="24" w:space="0" w:color="auto"/>
            </w:tcBorders>
            <w:shd w:val="clear" w:color="auto" w:fill="auto"/>
          </w:tcPr>
          <w:p w14:paraId="1CDF23A8"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32</w:t>
            </w:r>
          </w:p>
        </w:tc>
        <w:tc>
          <w:tcPr>
            <w:tcW w:w="308" w:type="pct"/>
            <w:tcBorders>
              <w:top w:val="thinThickSmallGap" w:sz="24" w:space="0" w:color="auto"/>
            </w:tcBorders>
            <w:shd w:val="clear" w:color="auto" w:fill="auto"/>
          </w:tcPr>
          <w:p w14:paraId="3767B661"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(8.8)</w:t>
            </w:r>
          </w:p>
        </w:tc>
        <w:tc>
          <w:tcPr>
            <w:tcW w:w="190" w:type="pct"/>
            <w:tcBorders>
              <w:top w:val="thinThickSmallGap" w:sz="24" w:space="0" w:color="auto"/>
            </w:tcBorders>
            <w:shd w:val="clear" w:color="auto" w:fill="auto"/>
          </w:tcPr>
          <w:p w14:paraId="20CC729E"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36</w:t>
            </w:r>
          </w:p>
        </w:tc>
        <w:tc>
          <w:tcPr>
            <w:tcW w:w="370" w:type="pct"/>
            <w:tcBorders>
              <w:top w:val="thinThickSmallGap" w:sz="24" w:space="0" w:color="auto"/>
            </w:tcBorders>
            <w:shd w:val="clear" w:color="auto" w:fill="auto"/>
          </w:tcPr>
          <w:p w14:paraId="5E55E6E5"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(9.9)</w:t>
            </w:r>
          </w:p>
        </w:tc>
        <w:tc>
          <w:tcPr>
            <w:tcW w:w="254" w:type="pct"/>
            <w:tcBorders>
              <w:top w:val="thinThickSmallGap" w:sz="24" w:space="0" w:color="auto"/>
            </w:tcBorders>
            <w:shd w:val="clear" w:color="auto" w:fill="auto"/>
          </w:tcPr>
          <w:p w14:paraId="2087D4AE"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200</w:t>
            </w:r>
          </w:p>
        </w:tc>
        <w:tc>
          <w:tcPr>
            <w:tcW w:w="369" w:type="pct"/>
            <w:tcBorders>
              <w:top w:val="thinThickSmallGap" w:sz="24" w:space="0" w:color="auto"/>
            </w:tcBorders>
            <w:shd w:val="clear" w:color="auto" w:fill="auto"/>
          </w:tcPr>
          <w:p w14:paraId="15F6E9DC"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(54.9)</w:t>
            </w:r>
          </w:p>
        </w:tc>
        <w:tc>
          <w:tcPr>
            <w:tcW w:w="190" w:type="pct"/>
            <w:tcBorders>
              <w:top w:val="thinThickSmallGap" w:sz="24" w:space="0" w:color="auto"/>
            </w:tcBorders>
            <w:shd w:val="clear" w:color="auto" w:fill="auto"/>
          </w:tcPr>
          <w:p w14:paraId="3C765DCF"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90</w:t>
            </w:r>
          </w:p>
        </w:tc>
        <w:tc>
          <w:tcPr>
            <w:tcW w:w="370" w:type="pct"/>
            <w:tcBorders>
              <w:top w:val="thinThickSmallGap" w:sz="24" w:space="0" w:color="auto"/>
            </w:tcBorders>
            <w:shd w:val="clear" w:color="auto" w:fill="auto"/>
          </w:tcPr>
          <w:p w14:paraId="23F9B394"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(24.7)</w:t>
            </w:r>
          </w:p>
        </w:tc>
        <w:tc>
          <w:tcPr>
            <w:tcW w:w="254" w:type="pct"/>
            <w:tcBorders>
              <w:top w:val="thinThickSmallGap" w:sz="24" w:space="0" w:color="auto"/>
            </w:tcBorders>
            <w:shd w:val="clear" w:color="auto" w:fill="auto"/>
          </w:tcPr>
          <w:p w14:paraId="3D6B0564" w14:textId="3760A5A5" w:rsidR="00772FEE" w:rsidRPr="00772FEE"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772FEE">
              <w:rPr>
                <w:rFonts w:ascii="Times New Roman" w:hAnsi="Times New Roman"/>
                <w:color w:val="010205"/>
                <w:sz w:val="18"/>
                <w:szCs w:val="18"/>
              </w:rPr>
              <w:t>3.77</w:t>
            </w:r>
          </w:p>
        </w:tc>
        <w:tc>
          <w:tcPr>
            <w:tcW w:w="430" w:type="pct"/>
            <w:gridSpan w:val="2"/>
            <w:tcBorders>
              <w:top w:val="thinThickSmallGap" w:sz="24" w:space="0" w:color="auto"/>
            </w:tcBorders>
            <w:shd w:val="clear" w:color="auto" w:fill="auto"/>
          </w:tcPr>
          <w:p w14:paraId="4DBA91E3" w14:textId="78FCF95B" w:rsidR="00772FEE" w:rsidRPr="00772FEE"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772FEE">
              <w:rPr>
                <w:rFonts w:ascii="Times New Roman" w:hAnsi="Times New Roman"/>
                <w:color w:val="010205"/>
                <w:sz w:val="18"/>
                <w:szCs w:val="18"/>
              </w:rPr>
              <w:t>1.001</w:t>
            </w:r>
          </w:p>
        </w:tc>
      </w:tr>
      <w:tr w:rsidR="00772FEE" w:rsidRPr="008B1465" w14:paraId="5F37DA2D" w14:textId="77777777" w:rsidTr="00F14DD0">
        <w:trPr>
          <w:cantSplit/>
          <w:trHeight w:val="796"/>
        </w:trPr>
        <w:tc>
          <w:tcPr>
            <w:tcW w:w="188" w:type="pct"/>
            <w:shd w:val="clear" w:color="auto" w:fill="auto"/>
          </w:tcPr>
          <w:p w14:paraId="64C413AF" w14:textId="77777777" w:rsidR="00772FEE" w:rsidRPr="008B1465" w:rsidRDefault="00772FEE" w:rsidP="00772FEE">
            <w:pPr>
              <w:pStyle w:val="ListParagraph"/>
              <w:numPr>
                <w:ilvl w:val="0"/>
                <w:numId w:val="27"/>
              </w:numPr>
              <w:autoSpaceDE w:val="0"/>
              <w:autoSpaceDN w:val="0"/>
              <w:adjustRightInd w:val="0"/>
              <w:spacing w:before="0" w:beforeAutospacing="0" w:after="0" w:line="240" w:lineRule="auto"/>
              <w:ind w:right="60"/>
              <w:rPr>
                <w:rFonts w:ascii="Times New Roman" w:hAnsi="Times New Roman"/>
                <w:sz w:val="18"/>
                <w:szCs w:val="18"/>
              </w:rPr>
            </w:pPr>
          </w:p>
        </w:tc>
        <w:tc>
          <w:tcPr>
            <w:tcW w:w="1221" w:type="pct"/>
            <w:shd w:val="clear" w:color="auto" w:fill="auto"/>
          </w:tcPr>
          <w:p w14:paraId="51341DDB"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The procurement activities of the university are in line with the public procurement authority</w:t>
            </w:r>
          </w:p>
        </w:tc>
        <w:tc>
          <w:tcPr>
            <w:tcW w:w="271" w:type="pct"/>
            <w:shd w:val="clear" w:color="auto" w:fill="auto"/>
          </w:tcPr>
          <w:p w14:paraId="576A2902"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6</w:t>
            </w:r>
          </w:p>
        </w:tc>
        <w:tc>
          <w:tcPr>
            <w:tcW w:w="395" w:type="pct"/>
            <w:shd w:val="clear" w:color="auto" w:fill="auto"/>
          </w:tcPr>
          <w:p w14:paraId="1EB41263"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(1.6)</w:t>
            </w:r>
          </w:p>
        </w:tc>
        <w:tc>
          <w:tcPr>
            <w:tcW w:w="190" w:type="pct"/>
            <w:shd w:val="clear" w:color="auto" w:fill="auto"/>
          </w:tcPr>
          <w:p w14:paraId="7D321F93"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18</w:t>
            </w:r>
          </w:p>
        </w:tc>
        <w:tc>
          <w:tcPr>
            <w:tcW w:w="308" w:type="pct"/>
            <w:shd w:val="clear" w:color="auto" w:fill="auto"/>
          </w:tcPr>
          <w:p w14:paraId="06F252C7"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(4.9)</w:t>
            </w:r>
          </w:p>
        </w:tc>
        <w:tc>
          <w:tcPr>
            <w:tcW w:w="190" w:type="pct"/>
            <w:shd w:val="clear" w:color="auto" w:fill="auto"/>
          </w:tcPr>
          <w:p w14:paraId="195E3FE3"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74</w:t>
            </w:r>
          </w:p>
        </w:tc>
        <w:tc>
          <w:tcPr>
            <w:tcW w:w="370" w:type="pct"/>
            <w:shd w:val="clear" w:color="auto" w:fill="auto"/>
          </w:tcPr>
          <w:p w14:paraId="4FC5A5A8"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(20.3)</w:t>
            </w:r>
          </w:p>
        </w:tc>
        <w:tc>
          <w:tcPr>
            <w:tcW w:w="254" w:type="pct"/>
            <w:shd w:val="clear" w:color="auto" w:fill="auto"/>
          </w:tcPr>
          <w:p w14:paraId="6C70EEBA"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170</w:t>
            </w:r>
          </w:p>
        </w:tc>
        <w:tc>
          <w:tcPr>
            <w:tcW w:w="369" w:type="pct"/>
            <w:shd w:val="clear" w:color="auto" w:fill="auto"/>
          </w:tcPr>
          <w:p w14:paraId="43834776"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(46.7)</w:t>
            </w:r>
          </w:p>
        </w:tc>
        <w:tc>
          <w:tcPr>
            <w:tcW w:w="190" w:type="pct"/>
            <w:shd w:val="clear" w:color="auto" w:fill="auto"/>
          </w:tcPr>
          <w:p w14:paraId="1E59574E"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96</w:t>
            </w:r>
          </w:p>
        </w:tc>
        <w:tc>
          <w:tcPr>
            <w:tcW w:w="370" w:type="pct"/>
            <w:shd w:val="clear" w:color="auto" w:fill="auto"/>
          </w:tcPr>
          <w:p w14:paraId="64771237"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(26.4)</w:t>
            </w:r>
          </w:p>
        </w:tc>
        <w:tc>
          <w:tcPr>
            <w:tcW w:w="254" w:type="pct"/>
            <w:shd w:val="clear" w:color="auto" w:fill="auto"/>
          </w:tcPr>
          <w:p w14:paraId="4702C1BD" w14:textId="6E319920" w:rsidR="00772FEE" w:rsidRPr="00772FEE"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772FEE">
              <w:rPr>
                <w:rFonts w:ascii="Times New Roman" w:hAnsi="Times New Roman"/>
                <w:color w:val="010205"/>
                <w:sz w:val="18"/>
                <w:szCs w:val="18"/>
              </w:rPr>
              <w:t>3.79</w:t>
            </w:r>
          </w:p>
        </w:tc>
        <w:tc>
          <w:tcPr>
            <w:tcW w:w="430" w:type="pct"/>
            <w:gridSpan w:val="2"/>
            <w:shd w:val="clear" w:color="auto" w:fill="auto"/>
          </w:tcPr>
          <w:p w14:paraId="4FCF4FDE" w14:textId="5DA022DD" w:rsidR="00772FEE" w:rsidRPr="00772FEE"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772FEE">
              <w:rPr>
                <w:rFonts w:ascii="Times New Roman" w:hAnsi="Times New Roman"/>
                <w:color w:val="010205"/>
                <w:sz w:val="18"/>
                <w:szCs w:val="18"/>
              </w:rPr>
              <w:t>.868</w:t>
            </w:r>
          </w:p>
        </w:tc>
      </w:tr>
      <w:tr w:rsidR="00772FEE" w:rsidRPr="008B1465" w14:paraId="7DE1AF10" w14:textId="77777777" w:rsidTr="00F14DD0">
        <w:trPr>
          <w:cantSplit/>
          <w:trHeight w:val="805"/>
        </w:trPr>
        <w:tc>
          <w:tcPr>
            <w:tcW w:w="188" w:type="pct"/>
            <w:shd w:val="clear" w:color="auto" w:fill="auto"/>
          </w:tcPr>
          <w:p w14:paraId="7CB9EB14" w14:textId="77777777" w:rsidR="00772FEE" w:rsidRPr="008B1465" w:rsidRDefault="00772FEE" w:rsidP="00772FEE">
            <w:pPr>
              <w:pStyle w:val="ListParagraph"/>
              <w:numPr>
                <w:ilvl w:val="0"/>
                <w:numId w:val="27"/>
              </w:numPr>
              <w:autoSpaceDE w:val="0"/>
              <w:autoSpaceDN w:val="0"/>
              <w:adjustRightInd w:val="0"/>
              <w:spacing w:before="0" w:beforeAutospacing="0" w:after="0" w:line="240" w:lineRule="auto"/>
              <w:ind w:right="60"/>
              <w:rPr>
                <w:rFonts w:ascii="Times New Roman" w:hAnsi="Times New Roman"/>
                <w:sz w:val="18"/>
                <w:szCs w:val="18"/>
              </w:rPr>
            </w:pPr>
          </w:p>
        </w:tc>
        <w:tc>
          <w:tcPr>
            <w:tcW w:w="1221" w:type="pct"/>
            <w:shd w:val="clear" w:color="auto" w:fill="auto"/>
          </w:tcPr>
          <w:p w14:paraId="037C4C57"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My university applies fair and transparent rules for the selection of tenderers</w:t>
            </w:r>
          </w:p>
        </w:tc>
        <w:tc>
          <w:tcPr>
            <w:tcW w:w="271" w:type="pct"/>
            <w:shd w:val="clear" w:color="auto" w:fill="auto"/>
          </w:tcPr>
          <w:p w14:paraId="528952A3"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6</w:t>
            </w:r>
          </w:p>
        </w:tc>
        <w:tc>
          <w:tcPr>
            <w:tcW w:w="395" w:type="pct"/>
            <w:shd w:val="clear" w:color="auto" w:fill="auto"/>
          </w:tcPr>
          <w:p w14:paraId="7934176B"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(1.6)</w:t>
            </w:r>
          </w:p>
        </w:tc>
        <w:tc>
          <w:tcPr>
            <w:tcW w:w="190" w:type="pct"/>
            <w:shd w:val="clear" w:color="auto" w:fill="auto"/>
          </w:tcPr>
          <w:p w14:paraId="5E736CC3"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14</w:t>
            </w:r>
          </w:p>
        </w:tc>
        <w:tc>
          <w:tcPr>
            <w:tcW w:w="308" w:type="pct"/>
            <w:shd w:val="clear" w:color="auto" w:fill="auto"/>
          </w:tcPr>
          <w:p w14:paraId="0D206FA7"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(3.8)</w:t>
            </w:r>
          </w:p>
        </w:tc>
        <w:tc>
          <w:tcPr>
            <w:tcW w:w="190" w:type="pct"/>
            <w:shd w:val="clear" w:color="auto" w:fill="auto"/>
          </w:tcPr>
          <w:p w14:paraId="306801FB"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80</w:t>
            </w:r>
          </w:p>
        </w:tc>
        <w:tc>
          <w:tcPr>
            <w:tcW w:w="370" w:type="pct"/>
            <w:shd w:val="clear" w:color="auto" w:fill="auto"/>
          </w:tcPr>
          <w:p w14:paraId="2120C963"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(22.0)</w:t>
            </w:r>
          </w:p>
        </w:tc>
        <w:tc>
          <w:tcPr>
            <w:tcW w:w="254" w:type="pct"/>
            <w:shd w:val="clear" w:color="auto" w:fill="auto"/>
          </w:tcPr>
          <w:p w14:paraId="01DA8E38"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168</w:t>
            </w:r>
          </w:p>
        </w:tc>
        <w:tc>
          <w:tcPr>
            <w:tcW w:w="369" w:type="pct"/>
            <w:shd w:val="clear" w:color="auto" w:fill="auto"/>
          </w:tcPr>
          <w:p w14:paraId="388EB71D"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(46.2)</w:t>
            </w:r>
          </w:p>
        </w:tc>
        <w:tc>
          <w:tcPr>
            <w:tcW w:w="190" w:type="pct"/>
            <w:shd w:val="clear" w:color="auto" w:fill="auto"/>
          </w:tcPr>
          <w:p w14:paraId="561392ED"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96</w:t>
            </w:r>
          </w:p>
        </w:tc>
        <w:tc>
          <w:tcPr>
            <w:tcW w:w="370" w:type="pct"/>
            <w:shd w:val="clear" w:color="auto" w:fill="auto"/>
          </w:tcPr>
          <w:p w14:paraId="47F87234"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(26.4)</w:t>
            </w:r>
          </w:p>
        </w:tc>
        <w:tc>
          <w:tcPr>
            <w:tcW w:w="254" w:type="pct"/>
            <w:shd w:val="clear" w:color="auto" w:fill="auto"/>
          </w:tcPr>
          <w:p w14:paraId="21420225" w14:textId="69635089" w:rsidR="00772FEE" w:rsidRPr="00772FEE"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772FEE">
              <w:rPr>
                <w:rFonts w:ascii="Times New Roman" w:hAnsi="Times New Roman"/>
                <w:color w:val="010205"/>
                <w:sz w:val="18"/>
                <w:szCs w:val="18"/>
              </w:rPr>
              <w:t>3.84</w:t>
            </w:r>
          </w:p>
        </w:tc>
        <w:tc>
          <w:tcPr>
            <w:tcW w:w="430" w:type="pct"/>
            <w:gridSpan w:val="2"/>
            <w:shd w:val="clear" w:color="auto" w:fill="auto"/>
          </w:tcPr>
          <w:p w14:paraId="7C590354" w14:textId="2C2CF9EA" w:rsidR="00772FEE" w:rsidRPr="00772FEE"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772FEE">
              <w:rPr>
                <w:rFonts w:ascii="Times New Roman" w:hAnsi="Times New Roman"/>
                <w:color w:val="010205"/>
                <w:sz w:val="18"/>
                <w:szCs w:val="18"/>
              </w:rPr>
              <w:t>.946</w:t>
            </w:r>
          </w:p>
        </w:tc>
      </w:tr>
      <w:tr w:rsidR="00772FEE" w:rsidRPr="008B1465" w14:paraId="5374562A" w14:textId="77777777" w:rsidTr="00F14DD0">
        <w:trPr>
          <w:cantSplit/>
          <w:trHeight w:val="986"/>
        </w:trPr>
        <w:tc>
          <w:tcPr>
            <w:tcW w:w="188" w:type="pct"/>
            <w:shd w:val="clear" w:color="auto" w:fill="auto"/>
          </w:tcPr>
          <w:p w14:paraId="5605FB43" w14:textId="77777777" w:rsidR="00772FEE" w:rsidRPr="008B1465" w:rsidRDefault="00772FEE" w:rsidP="00772FEE">
            <w:pPr>
              <w:pStyle w:val="ListParagraph"/>
              <w:numPr>
                <w:ilvl w:val="0"/>
                <w:numId w:val="27"/>
              </w:numPr>
              <w:autoSpaceDE w:val="0"/>
              <w:autoSpaceDN w:val="0"/>
              <w:adjustRightInd w:val="0"/>
              <w:spacing w:before="0" w:beforeAutospacing="0" w:after="0" w:line="240" w:lineRule="auto"/>
              <w:ind w:right="60"/>
              <w:rPr>
                <w:rFonts w:ascii="Times New Roman" w:hAnsi="Times New Roman"/>
                <w:sz w:val="18"/>
                <w:szCs w:val="18"/>
              </w:rPr>
            </w:pPr>
          </w:p>
        </w:tc>
        <w:tc>
          <w:tcPr>
            <w:tcW w:w="1221" w:type="pct"/>
            <w:shd w:val="clear" w:color="auto" w:fill="auto"/>
          </w:tcPr>
          <w:p w14:paraId="3E851C52"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The university’s procurement activities are established through a competitive process and negotiation</w:t>
            </w:r>
          </w:p>
        </w:tc>
        <w:tc>
          <w:tcPr>
            <w:tcW w:w="271" w:type="pct"/>
            <w:shd w:val="clear" w:color="auto" w:fill="auto"/>
          </w:tcPr>
          <w:p w14:paraId="139C4D9C"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12</w:t>
            </w:r>
          </w:p>
        </w:tc>
        <w:tc>
          <w:tcPr>
            <w:tcW w:w="395" w:type="pct"/>
            <w:shd w:val="clear" w:color="auto" w:fill="auto"/>
          </w:tcPr>
          <w:p w14:paraId="6E5A08A6"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(3.3)</w:t>
            </w:r>
          </w:p>
        </w:tc>
        <w:tc>
          <w:tcPr>
            <w:tcW w:w="190" w:type="pct"/>
            <w:shd w:val="clear" w:color="auto" w:fill="auto"/>
          </w:tcPr>
          <w:p w14:paraId="0F0AC43D"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30</w:t>
            </w:r>
          </w:p>
        </w:tc>
        <w:tc>
          <w:tcPr>
            <w:tcW w:w="308" w:type="pct"/>
            <w:shd w:val="clear" w:color="auto" w:fill="auto"/>
          </w:tcPr>
          <w:p w14:paraId="2B171C6C"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(8.2)</w:t>
            </w:r>
          </w:p>
        </w:tc>
        <w:tc>
          <w:tcPr>
            <w:tcW w:w="190" w:type="pct"/>
            <w:shd w:val="clear" w:color="auto" w:fill="auto"/>
          </w:tcPr>
          <w:p w14:paraId="30AA20EB"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70</w:t>
            </w:r>
          </w:p>
        </w:tc>
        <w:tc>
          <w:tcPr>
            <w:tcW w:w="370" w:type="pct"/>
            <w:shd w:val="clear" w:color="auto" w:fill="auto"/>
          </w:tcPr>
          <w:p w14:paraId="09BDAE5E"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(19.2)</w:t>
            </w:r>
          </w:p>
        </w:tc>
        <w:tc>
          <w:tcPr>
            <w:tcW w:w="254" w:type="pct"/>
            <w:shd w:val="clear" w:color="auto" w:fill="auto"/>
          </w:tcPr>
          <w:p w14:paraId="4CD6FB34"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168</w:t>
            </w:r>
          </w:p>
        </w:tc>
        <w:tc>
          <w:tcPr>
            <w:tcW w:w="369" w:type="pct"/>
            <w:shd w:val="clear" w:color="auto" w:fill="auto"/>
          </w:tcPr>
          <w:p w14:paraId="6E6FD66D"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(46.2)</w:t>
            </w:r>
          </w:p>
        </w:tc>
        <w:tc>
          <w:tcPr>
            <w:tcW w:w="190" w:type="pct"/>
            <w:shd w:val="clear" w:color="auto" w:fill="auto"/>
          </w:tcPr>
          <w:p w14:paraId="5381F9F3"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84</w:t>
            </w:r>
          </w:p>
        </w:tc>
        <w:tc>
          <w:tcPr>
            <w:tcW w:w="370" w:type="pct"/>
            <w:shd w:val="clear" w:color="auto" w:fill="auto"/>
          </w:tcPr>
          <w:p w14:paraId="3C5EBDEA"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(23.1)</w:t>
            </w:r>
          </w:p>
        </w:tc>
        <w:tc>
          <w:tcPr>
            <w:tcW w:w="254" w:type="pct"/>
            <w:shd w:val="clear" w:color="auto" w:fill="auto"/>
          </w:tcPr>
          <w:p w14:paraId="19A87D4C" w14:textId="3F737C2A" w:rsidR="00772FEE" w:rsidRPr="00772FEE"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772FEE">
              <w:rPr>
                <w:rFonts w:ascii="Times New Roman" w:hAnsi="Times New Roman"/>
                <w:color w:val="010205"/>
                <w:sz w:val="18"/>
                <w:szCs w:val="18"/>
              </w:rPr>
              <w:t>3.91</w:t>
            </w:r>
          </w:p>
        </w:tc>
        <w:tc>
          <w:tcPr>
            <w:tcW w:w="430" w:type="pct"/>
            <w:gridSpan w:val="2"/>
            <w:shd w:val="clear" w:color="auto" w:fill="auto"/>
          </w:tcPr>
          <w:p w14:paraId="6FDB846E" w14:textId="5F73AC7F" w:rsidR="00772FEE" w:rsidRPr="00772FEE"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772FEE">
              <w:rPr>
                <w:rFonts w:ascii="Times New Roman" w:hAnsi="Times New Roman"/>
                <w:color w:val="010205"/>
                <w:sz w:val="18"/>
                <w:szCs w:val="18"/>
              </w:rPr>
              <w:t>.899</w:t>
            </w:r>
          </w:p>
        </w:tc>
      </w:tr>
      <w:tr w:rsidR="00772FEE" w:rsidRPr="008B1465" w14:paraId="2BA3D70C" w14:textId="77777777" w:rsidTr="00F14DD0">
        <w:trPr>
          <w:cantSplit/>
          <w:trHeight w:val="714"/>
        </w:trPr>
        <w:tc>
          <w:tcPr>
            <w:tcW w:w="188" w:type="pct"/>
            <w:shd w:val="clear" w:color="auto" w:fill="auto"/>
          </w:tcPr>
          <w:p w14:paraId="311A59CF" w14:textId="77777777" w:rsidR="00772FEE" w:rsidRPr="008B1465" w:rsidRDefault="00772FEE" w:rsidP="00772FEE">
            <w:pPr>
              <w:pStyle w:val="ListParagraph"/>
              <w:numPr>
                <w:ilvl w:val="0"/>
                <w:numId w:val="27"/>
              </w:numPr>
              <w:autoSpaceDE w:val="0"/>
              <w:autoSpaceDN w:val="0"/>
              <w:adjustRightInd w:val="0"/>
              <w:spacing w:before="0" w:beforeAutospacing="0" w:after="0" w:line="240" w:lineRule="auto"/>
              <w:ind w:right="60"/>
              <w:rPr>
                <w:rFonts w:ascii="Times New Roman" w:hAnsi="Times New Roman"/>
                <w:sz w:val="18"/>
                <w:szCs w:val="18"/>
              </w:rPr>
            </w:pPr>
          </w:p>
        </w:tc>
        <w:tc>
          <w:tcPr>
            <w:tcW w:w="1221" w:type="pct"/>
            <w:shd w:val="clear" w:color="auto" w:fill="auto"/>
          </w:tcPr>
          <w:p w14:paraId="5AF417CA"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My university ensures its budgets are linked with the procurement activities</w:t>
            </w:r>
          </w:p>
        </w:tc>
        <w:tc>
          <w:tcPr>
            <w:tcW w:w="271" w:type="pct"/>
            <w:shd w:val="clear" w:color="auto" w:fill="auto"/>
          </w:tcPr>
          <w:p w14:paraId="6141860F"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6</w:t>
            </w:r>
          </w:p>
        </w:tc>
        <w:tc>
          <w:tcPr>
            <w:tcW w:w="395" w:type="pct"/>
            <w:shd w:val="clear" w:color="auto" w:fill="auto"/>
          </w:tcPr>
          <w:p w14:paraId="29C0D9F2"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(1.6)</w:t>
            </w:r>
          </w:p>
        </w:tc>
        <w:tc>
          <w:tcPr>
            <w:tcW w:w="190" w:type="pct"/>
            <w:shd w:val="clear" w:color="auto" w:fill="auto"/>
          </w:tcPr>
          <w:p w14:paraId="6675F35A"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10</w:t>
            </w:r>
          </w:p>
        </w:tc>
        <w:tc>
          <w:tcPr>
            <w:tcW w:w="308" w:type="pct"/>
            <w:shd w:val="clear" w:color="auto" w:fill="auto"/>
          </w:tcPr>
          <w:p w14:paraId="5605A6C0"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(2.7)</w:t>
            </w:r>
          </w:p>
        </w:tc>
        <w:tc>
          <w:tcPr>
            <w:tcW w:w="190" w:type="pct"/>
            <w:shd w:val="clear" w:color="auto" w:fill="auto"/>
          </w:tcPr>
          <w:p w14:paraId="31DAF289"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62</w:t>
            </w:r>
          </w:p>
        </w:tc>
        <w:tc>
          <w:tcPr>
            <w:tcW w:w="370" w:type="pct"/>
            <w:shd w:val="clear" w:color="auto" w:fill="auto"/>
          </w:tcPr>
          <w:p w14:paraId="379742FE"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(17.0)</w:t>
            </w:r>
          </w:p>
        </w:tc>
        <w:tc>
          <w:tcPr>
            <w:tcW w:w="254" w:type="pct"/>
            <w:shd w:val="clear" w:color="auto" w:fill="auto"/>
          </w:tcPr>
          <w:p w14:paraId="40F1E037"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210</w:t>
            </w:r>
          </w:p>
        </w:tc>
        <w:tc>
          <w:tcPr>
            <w:tcW w:w="369" w:type="pct"/>
            <w:shd w:val="clear" w:color="auto" w:fill="auto"/>
          </w:tcPr>
          <w:p w14:paraId="1A3384EF"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(57.7)</w:t>
            </w:r>
          </w:p>
        </w:tc>
        <w:tc>
          <w:tcPr>
            <w:tcW w:w="190" w:type="pct"/>
            <w:shd w:val="clear" w:color="auto" w:fill="auto"/>
          </w:tcPr>
          <w:p w14:paraId="457F8E54"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76</w:t>
            </w:r>
          </w:p>
        </w:tc>
        <w:tc>
          <w:tcPr>
            <w:tcW w:w="370" w:type="pct"/>
            <w:shd w:val="clear" w:color="auto" w:fill="auto"/>
          </w:tcPr>
          <w:p w14:paraId="49840D9F"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(20.9)</w:t>
            </w:r>
          </w:p>
        </w:tc>
        <w:tc>
          <w:tcPr>
            <w:tcW w:w="254" w:type="pct"/>
            <w:shd w:val="clear" w:color="auto" w:fill="auto"/>
          </w:tcPr>
          <w:p w14:paraId="6A0B762F" w14:textId="5E5401F9" w:rsidR="00772FEE" w:rsidRPr="00772FEE"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772FEE">
              <w:rPr>
                <w:rFonts w:ascii="Times New Roman" w:hAnsi="Times New Roman"/>
                <w:color w:val="010205"/>
                <w:sz w:val="18"/>
                <w:szCs w:val="18"/>
              </w:rPr>
              <w:t>3.92</w:t>
            </w:r>
          </w:p>
        </w:tc>
        <w:tc>
          <w:tcPr>
            <w:tcW w:w="430" w:type="pct"/>
            <w:gridSpan w:val="2"/>
            <w:shd w:val="clear" w:color="auto" w:fill="auto"/>
          </w:tcPr>
          <w:p w14:paraId="54C1D8B7" w14:textId="42D4B98E" w:rsidR="00772FEE" w:rsidRPr="00772FEE"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772FEE">
              <w:rPr>
                <w:rFonts w:ascii="Times New Roman" w:hAnsi="Times New Roman"/>
                <w:color w:val="010205"/>
                <w:sz w:val="18"/>
                <w:szCs w:val="18"/>
              </w:rPr>
              <w:t>.884</w:t>
            </w:r>
          </w:p>
        </w:tc>
      </w:tr>
      <w:tr w:rsidR="00772FEE" w:rsidRPr="008B1465" w14:paraId="03254119" w14:textId="77777777" w:rsidTr="00792316">
        <w:trPr>
          <w:cantSplit/>
          <w:trHeight w:val="805"/>
        </w:trPr>
        <w:tc>
          <w:tcPr>
            <w:tcW w:w="188" w:type="pct"/>
            <w:shd w:val="clear" w:color="auto" w:fill="auto"/>
          </w:tcPr>
          <w:p w14:paraId="477DB6C9" w14:textId="77777777" w:rsidR="00772FEE" w:rsidRPr="008B1465" w:rsidRDefault="00772FEE" w:rsidP="00772FEE">
            <w:pPr>
              <w:pStyle w:val="ListParagraph"/>
              <w:numPr>
                <w:ilvl w:val="0"/>
                <w:numId w:val="27"/>
              </w:numPr>
              <w:autoSpaceDE w:val="0"/>
              <w:autoSpaceDN w:val="0"/>
              <w:adjustRightInd w:val="0"/>
              <w:spacing w:before="0" w:beforeAutospacing="0" w:after="0" w:line="240" w:lineRule="auto"/>
              <w:ind w:right="60"/>
              <w:rPr>
                <w:rFonts w:ascii="Times New Roman" w:hAnsi="Times New Roman"/>
                <w:sz w:val="18"/>
                <w:szCs w:val="18"/>
              </w:rPr>
            </w:pPr>
          </w:p>
        </w:tc>
        <w:tc>
          <w:tcPr>
            <w:tcW w:w="1221" w:type="pct"/>
            <w:shd w:val="clear" w:color="auto" w:fill="auto"/>
          </w:tcPr>
          <w:p w14:paraId="3CDA052D"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There are accountability and transparency in the procurement of goods and services at my university</w:t>
            </w:r>
          </w:p>
        </w:tc>
        <w:tc>
          <w:tcPr>
            <w:tcW w:w="271" w:type="pct"/>
            <w:shd w:val="clear" w:color="auto" w:fill="auto"/>
          </w:tcPr>
          <w:p w14:paraId="1305661E"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8</w:t>
            </w:r>
          </w:p>
        </w:tc>
        <w:tc>
          <w:tcPr>
            <w:tcW w:w="395" w:type="pct"/>
            <w:shd w:val="clear" w:color="auto" w:fill="auto"/>
          </w:tcPr>
          <w:p w14:paraId="512B4D69"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(2.2)</w:t>
            </w:r>
          </w:p>
        </w:tc>
        <w:tc>
          <w:tcPr>
            <w:tcW w:w="190" w:type="pct"/>
            <w:shd w:val="clear" w:color="auto" w:fill="auto"/>
          </w:tcPr>
          <w:p w14:paraId="05459E0C"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22</w:t>
            </w:r>
          </w:p>
        </w:tc>
        <w:tc>
          <w:tcPr>
            <w:tcW w:w="308" w:type="pct"/>
            <w:shd w:val="clear" w:color="auto" w:fill="auto"/>
          </w:tcPr>
          <w:p w14:paraId="5ACCF139"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(6.0)</w:t>
            </w:r>
          </w:p>
        </w:tc>
        <w:tc>
          <w:tcPr>
            <w:tcW w:w="190" w:type="pct"/>
            <w:shd w:val="clear" w:color="auto" w:fill="auto"/>
          </w:tcPr>
          <w:p w14:paraId="034F00C3"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82</w:t>
            </w:r>
          </w:p>
        </w:tc>
        <w:tc>
          <w:tcPr>
            <w:tcW w:w="370" w:type="pct"/>
            <w:shd w:val="clear" w:color="auto" w:fill="auto"/>
          </w:tcPr>
          <w:p w14:paraId="08DCDF48"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(22.5)</w:t>
            </w:r>
          </w:p>
        </w:tc>
        <w:tc>
          <w:tcPr>
            <w:tcW w:w="254" w:type="pct"/>
            <w:shd w:val="clear" w:color="auto" w:fill="auto"/>
          </w:tcPr>
          <w:p w14:paraId="1C6E879B"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160</w:t>
            </w:r>
          </w:p>
        </w:tc>
        <w:tc>
          <w:tcPr>
            <w:tcW w:w="369" w:type="pct"/>
            <w:shd w:val="clear" w:color="auto" w:fill="auto"/>
          </w:tcPr>
          <w:p w14:paraId="5755037D"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(44.0)</w:t>
            </w:r>
          </w:p>
        </w:tc>
        <w:tc>
          <w:tcPr>
            <w:tcW w:w="190" w:type="pct"/>
            <w:shd w:val="clear" w:color="auto" w:fill="auto"/>
          </w:tcPr>
          <w:p w14:paraId="7373BA38"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92</w:t>
            </w:r>
          </w:p>
        </w:tc>
        <w:tc>
          <w:tcPr>
            <w:tcW w:w="370" w:type="pct"/>
            <w:shd w:val="clear" w:color="auto" w:fill="auto"/>
          </w:tcPr>
          <w:p w14:paraId="39BBFCC4"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(25.3)</w:t>
            </w:r>
          </w:p>
        </w:tc>
        <w:tc>
          <w:tcPr>
            <w:tcW w:w="254" w:type="pct"/>
            <w:shd w:val="clear" w:color="auto" w:fill="auto"/>
          </w:tcPr>
          <w:p w14:paraId="7BDCBFF2" w14:textId="16538AA2" w:rsidR="00772FEE" w:rsidRPr="00772FEE"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772FEE">
              <w:rPr>
                <w:rFonts w:ascii="Times New Roman" w:hAnsi="Times New Roman"/>
                <w:color w:val="010205"/>
                <w:sz w:val="18"/>
                <w:szCs w:val="18"/>
              </w:rPr>
              <w:t>3.92</w:t>
            </w:r>
          </w:p>
        </w:tc>
        <w:tc>
          <w:tcPr>
            <w:tcW w:w="430" w:type="pct"/>
            <w:gridSpan w:val="2"/>
            <w:shd w:val="clear" w:color="auto" w:fill="auto"/>
          </w:tcPr>
          <w:p w14:paraId="5EBC9176" w14:textId="1E4E9D80" w:rsidR="00772FEE" w:rsidRPr="00772FEE"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772FEE">
              <w:rPr>
                <w:rFonts w:ascii="Times New Roman" w:hAnsi="Times New Roman"/>
                <w:color w:val="010205"/>
                <w:sz w:val="18"/>
                <w:szCs w:val="18"/>
              </w:rPr>
              <w:t>.918</w:t>
            </w:r>
          </w:p>
        </w:tc>
      </w:tr>
      <w:tr w:rsidR="00772FEE" w:rsidRPr="008B1465" w14:paraId="5C6D1AC5" w14:textId="77777777" w:rsidTr="00792316">
        <w:trPr>
          <w:cantSplit/>
          <w:trHeight w:val="724"/>
        </w:trPr>
        <w:tc>
          <w:tcPr>
            <w:tcW w:w="188" w:type="pct"/>
            <w:tcBorders>
              <w:bottom w:val="thinThickSmallGap" w:sz="24" w:space="0" w:color="auto"/>
            </w:tcBorders>
            <w:shd w:val="clear" w:color="auto" w:fill="auto"/>
          </w:tcPr>
          <w:p w14:paraId="473F1EC5" w14:textId="77777777" w:rsidR="00772FEE" w:rsidRPr="008B1465" w:rsidRDefault="00772FEE" w:rsidP="00772FEE">
            <w:pPr>
              <w:pStyle w:val="ListParagraph"/>
              <w:numPr>
                <w:ilvl w:val="0"/>
                <w:numId w:val="27"/>
              </w:numPr>
              <w:autoSpaceDE w:val="0"/>
              <w:autoSpaceDN w:val="0"/>
              <w:adjustRightInd w:val="0"/>
              <w:spacing w:before="0" w:beforeAutospacing="0" w:after="0" w:line="240" w:lineRule="auto"/>
              <w:ind w:right="60"/>
              <w:rPr>
                <w:rFonts w:ascii="Times New Roman" w:hAnsi="Times New Roman"/>
                <w:sz w:val="18"/>
                <w:szCs w:val="18"/>
              </w:rPr>
            </w:pPr>
          </w:p>
        </w:tc>
        <w:tc>
          <w:tcPr>
            <w:tcW w:w="1221" w:type="pct"/>
            <w:tcBorders>
              <w:bottom w:val="thinThickSmallGap" w:sz="24" w:space="0" w:color="auto"/>
            </w:tcBorders>
            <w:shd w:val="clear" w:color="auto" w:fill="auto"/>
          </w:tcPr>
          <w:p w14:paraId="5B8C385E"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There is appropriate bidding and correct utilization of the limited bidding process</w:t>
            </w:r>
          </w:p>
        </w:tc>
        <w:tc>
          <w:tcPr>
            <w:tcW w:w="271" w:type="pct"/>
            <w:tcBorders>
              <w:bottom w:val="thinThickSmallGap" w:sz="24" w:space="0" w:color="auto"/>
            </w:tcBorders>
            <w:shd w:val="clear" w:color="auto" w:fill="auto"/>
          </w:tcPr>
          <w:p w14:paraId="2D5B65F6"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2</w:t>
            </w:r>
          </w:p>
        </w:tc>
        <w:tc>
          <w:tcPr>
            <w:tcW w:w="395" w:type="pct"/>
            <w:tcBorders>
              <w:bottom w:val="thinThickSmallGap" w:sz="24" w:space="0" w:color="auto"/>
            </w:tcBorders>
            <w:shd w:val="clear" w:color="auto" w:fill="auto"/>
          </w:tcPr>
          <w:p w14:paraId="266352DB"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(.5)</w:t>
            </w:r>
          </w:p>
        </w:tc>
        <w:tc>
          <w:tcPr>
            <w:tcW w:w="190" w:type="pct"/>
            <w:tcBorders>
              <w:bottom w:val="thinThickSmallGap" w:sz="24" w:space="0" w:color="auto"/>
            </w:tcBorders>
            <w:shd w:val="clear" w:color="auto" w:fill="auto"/>
          </w:tcPr>
          <w:p w14:paraId="4B6E4FC9"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26</w:t>
            </w:r>
          </w:p>
        </w:tc>
        <w:tc>
          <w:tcPr>
            <w:tcW w:w="308" w:type="pct"/>
            <w:tcBorders>
              <w:bottom w:val="thinThickSmallGap" w:sz="24" w:space="0" w:color="auto"/>
            </w:tcBorders>
            <w:shd w:val="clear" w:color="auto" w:fill="auto"/>
          </w:tcPr>
          <w:p w14:paraId="61F79CA5"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(7.1)</w:t>
            </w:r>
          </w:p>
        </w:tc>
        <w:tc>
          <w:tcPr>
            <w:tcW w:w="190" w:type="pct"/>
            <w:tcBorders>
              <w:bottom w:val="thinThickSmallGap" w:sz="24" w:space="0" w:color="auto"/>
            </w:tcBorders>
            <w:shd w:val="clear" w:color="auto" w:fill="auto"/>
          </w:tcPr>
          <w:p w14:paraId="734162D8"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94</w:t>
            </w:r>
          </w:p>
        </w:tc>
        <w:tc>
          <w:tcPr>
            <w:tcW w:w="370" w:type="pct"/>
            <w:tcBorders>
              <w:bottom w:val="thinThickSmallGap" w:sz="24" w:space="0" w:color="auto"/>
            </w:tcBorders>
            <w:shd w:val="clear" w:color="auto" w:fill="auto"/>
          </w:tcPr>
          <w:p w14:paraId="2E79F0CE"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(25.8)</w:t>
            </w:r>
          </w:p>
        </w:tc>
        <w:tc>
          <w:tcPr>
            <w:tcW w:w="254" w:type="pct"/>
            <w:tcBorders>
              <w:bottom w:val="thinThickSmallGap" w:sz="24" w:space="0" w:color="auto"/>
            </w:tcBorders>
            <w:shd w:val="clear" w:color="auto" w:fill="auto"/>
          </w:tcPr>
          <w:p w14:paraId="1717DDE3"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168</w:t>
            </w:r>
          </w:p>
        </w:tc>
        <w:tc>
          <w:tcPr>
            <w:tcW w:w="369" w:type="pct"/>
            <w:tcBorders>
              <w:bottom w:val="thinThickSmallGap" w:sz="24" w:space="0" w:color="auto"/>
            </w:tcBorders>
            <w:shd w:val="clear" w:color="auto" w:fill="auto"/>
          </w:tcPr>
          <w:p w14:paraId="09A81925"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(46.2)</w:t>
            </w:r>
          </w:p>
        </w:tc>
        <w:tc>
          <w:tcPr>
            <w:tcW w:w="190" w:type="pct"/>
            <w:tcBorders>
              <w:bottom w:val="thinThickSmallGap" w:sz="24" w:space="0" w:color="auto"/>
            </w:tcBorders>
            <w:shd w:val="clear" w:color="auto" w:fill="auto"/>
          </w:tcPr>
          <w:p w14:paraId="10D96574" w14:textId="77777777" w:rsidR="00772FEE" w:rsidRPr="008B1465"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74</w:t>
            </w:r>
          </w:p>
        </w:tc>
        <w:tc>
          <w:tcPr>
            <w:tcW w:w="370" w:type="pct"/>
            <w:tcBorders>
              <w:bottom w:val="thinThickSmallGap" w:sz="24" w:space="0" w:color="auto"/>
            </w:tcBorders>
            <w:shd w:val="clear" w:color="auto" w:fill="auto"/>
          </w:tcPr>
          <w:p w14:paraId="7F15D1C7" w14:textId="77777777" w:rsidR="00772FEE" w:rsidRPr="008B1465"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(20.3)</w:t>
            </w:r>
          </w:p>
        </w:tc>
        <w:tc>
          <w:tcPr>
            <w:tcW w:w="254" w:type="pct"/>
            <w:tcBorders>
              <w:bottom w:val="thinThickSmallGap" w:sz="24" w:space="0" w:color="auto"/>
            </w:tcBorders>
            <w:shd w:val="clear" w:color="auto" w:fill="auto"/>
          </w:tcPr>
          <w:p w14:paraId="031DB9CE" w14:textId="2DF6DAA5" w:rsidR="00772FEE" w:rsidRPr="00772FEE" w:rsidRDefault="00772FEE" w:rsidP="00772FEE">
            <w:pPr>
              <w:autoSpaceDE w:val="0"/>
              <w:autoSpaceDN w:val="0"/>
              <w:adjustRightInd w:val="0"/>
              <w:spacing w:before="0" w:beforeAutospacing="0" w:after="0" w:line="240" w:lineRule="auto"/>
              <w:ind w:left="60" w:right="60"/>
              <w:jc w:val="right"/>
              <w:rPr>
                <w:rFonts w:ascii="Times New Roman" w:hAnsi="Times New Roman"/>
                <w:sz w:val="18"/>
                <w:szCs w:val="18"/>
              </w:rPr>
            </w:pPr>
            <w:r w:rsidRPr="00772FEE">
              <w:rPr>
                <w:rFonts w:ascii="Times New Roman" w:hAnsi="Times New Roman"/>
                <w:color w:val="010205"/>
                <w:sz w:val="18"/>
                <w:szCs w:val="18"/>
              </w:rPr>
              <w:t>3.93</w:t>
            </w:r>
          </w:p>
        </w:tc>
        <w:tc>
          <w:tcPr>
            <w:tcW w:w="430" w:type="pct"/>
            <w:gridSpan w:val="2"/>
            <w:tcBorders>
              <w:bottom w:val="thinThickSmallGap" w:sz="24" w:space="0" w:color="auto"/>
            </w:tcBorders>
            <w:shd w:val="clear" w:color="auto" w:fill="auto"/>
          </w:tcPr>
          <w:p w14:paraId="266DC6B7" w14:textId="030B0D83" w:rsidR="00772FEE" w:rsidRPr="00772FEE" w:rsidRDefault="00772FEE" w:rsidP="00772FEE">
            <w:pPr>
              <w:autoSpaceDE w:val="0"/>
              <w:autoSpaceDN w:val="0"/>
              <w:adjustRightInd w:val="0"/>
              <w:spacing w:before="0" w:beforeAutospacing="0" w:after="0" w:line="240" w:lineRule="auto"/>
              <w:ind w:left="60" w:right="60"/>
              <w:rPr>
                <w:rFonts w:ascii="Times New Roman" w:hAnsi="Times New Roman"/>
                <w:sz w:val="18"/>
                <w:szCs w:val="18"/>
              </w:rPr>
            </w:pPr>
            <w:r w:rsidRPr="00772FEE">
              <w:rPr>
                <w:rFonts w:ascii="Times New Roman" w:hAnsi="Times New Roman"/>
                <w:color w:val="010205"/>
                <w:sz w:val="18"/>
                <w:szCs w:val="18"/>
              </w:rPr>
              <w:t>.797</w:t>
            </w:r>
          </w:p>
        </w:tc>
      </w:tr>
    </w:tbl>
    <w:p w14:paraId="47E5C395" w14:textId="3E07FDF6" w:rsidR="00234521" w:rsidRPr="008B1465" w:rsidRDefault="00234521" w:rsidP="00D4007D">
      <w:pPr>
        <w:pStyle w:val="NoSpacing"/>
        <w:spacing w:line="360" w:lineRule="auto"/>
        <w:rPr>
          <w:rFonts w:asciiTheme="minorHAnsi" w:hAnsiTheme="minorHAnsi" w:cstheme="minorHAnsi"/>
          <w:b/>
          <w:bCs/>
          <w:sz w:val="18"/>
          <w:szCs w:val="18"/>
        </w:rPr>
      </w:pPr>
      <w:r w:rsidRPr="008B1465">
        <w:rPr>
          <w:rFonts w:ascii="Times New Roman" w:hAnsi="Times New Roman"/>
          <w:b/>
          <w:sz w:val="18"/>
          <w:szCs w:val="18"/>
        </w:rPr>
        <w:t xml:space="preserve">Source: Researcher’s field survey, 2023, SPSS 25.0 </w:t>
      </w:r>
      <w:r w:rsidRPr="008B1465">
        <w:rPr>
          <w:rFonts w:asciiTheme="minorHAnsi" w:hAnsiTheme="minorHAnsi" w:cstheme="minorHAnsi"/>
          <w:b/>
          <w:bCs/>
          <w:sz w:val="18"/>
          <w:szCs w:val="18"/>
        </w:rPr>
        <w:t>Version</w:t>
      </w:r>
    </w:p>
    <w:p w14:paraId="13A11872" w14:textId="77777777" w:rsidR="009C3193" w:rsidRPr="008B1465" w:rsidRDefault="009C3193" w:rsidP="00234521">
      <w:pPr>
        <w:autoSpaceDE w:val="0"/>
        <w:autoSpaceDN w:val="0"/>
        <w:adjustRightInd w:val="0"/>
        <w:spacing w:before="0" w:beforeAutospacing="0" w:after="0" w:line="360" w:lineRule="auto"/>
        <w:jc w:val="both"/>
        <w:rPr>
          <w:rFonts w:ascii="Times New Roman" w:eastAsia="SimSun" w:hAnsi="Times New Roman"/>
          <w:sz w:val="24"/>
          <w:szCs w:val="24"/>
        </w:rPr>
      </w:pPr>
    </w:p>
    <w:p w14:paraId="08B4B5AA" w14:textId="77777777" w:rsidR="00535EE2" w:rsidRDefault="00535AAA" w:rsidP="00535AAA">
      <w:pPr>
        <w:autoSpaceDE w:val="0"/>
        <w:autoSpaceDN w:val="0"/>
        <w:adjustRightInd w:val="0"/>
        <w:spacing w:before="0" w:beforeAutospacing="0" w:after="0" w:line="360" w:lineRule="auto"/>
        <w:jc w:val="both"/>
        <w:rPr>
          <w:rFonts w:ascii="Times New Roman" w:eastAsia="SimSun" w:hAnsi="Times New Roman"/>
          <w:sz w:val="24"/>
          <w:szCs w:val="24"/>
        </w:rPr>
      </w:pPr>
      <w:r w:rsidRPr="008B1465">
        <w:rPr>
          <w:rFonts w:ascii="Times New Roman" w:eastAsia="SimSun" w:hAnsi="Times New Roman"/>
          <w:sz w:val="24"/>
          <w:szCs w:val="24"/>
        </w:rPr>
        <w:t xml:space="preserve">In the first statement in Table 4.6, "The procurement activities of my university aim at achieving value for money," the majority of respondents (54.9 per cent) agreed, while 24.7 per cent strongly agreed. A smaller portion disagreed (8.8 per cent) or strongly disagreed (1.6 per cent). The total number of respondents for this statement was 364. </w:t>
      </w:r>
      <w:r>
        <w:rPr>
          <w:rFonts w:ascii="Times New Roman" w:eastAsia="SimSun" w:hAnsi="Times New Roman"/>
          <w:sz w:val="24"/>
          <w:szCs w:val="24"/>
        </w:rPr>
        <w:t xml:space="preserve">The mean reveals that </w:t>
      </w:r>
      <w:r w:rsidRPr="00A9367D">
        <w:rPr>
          <w:rFonts w:ascii="Times New Roman" w:eastAsia="SimSun" w:hAnsi="Times New Roman"/>
          <w:sz w:val="24"/>
          <w:szCs w:val="24"/>
        </w:rPr>
        <w:t>respondents believe that the procurement activities of their university aim at achieving value for money.</w:t>
      </w:r>
      <w:r>
        <w:rPr>
          <w:rFonts w:ascii="Times New Roman" w:eastAsia="SimSun" w:hAnsi="Times New Roman"/>
          <w:sz w:val="24"/>
          <w:szCs w:val="24"/>
        </w:rPr>
        <w:t xml:space="preserve"> </w:t>
      </w:r>
      <w:r w:rsidRPr="00A9367D">
        <w:rPr>
          <w:rFonts w:ascii="Times New Roman" w:eastAsia="SimSun" w:hAnsi="Times New Roman"/>
          <w:sz w:val="24"/>
          <w:szCs w:val="24"/>
        </w:rPr>
        <w:t>The standard deviation of 1.001 suggests some variability in responses, with some respondents strongly agreeing while others may have a less strong agreement.</w:t>
      </w:r>
      <w:r>
        <w:rPr>
          <w:rFonts w:ascii="Times New Roman" w:eastAsia="SimSun" w:hAnsi="Times New Roman"/>
          <w:sz w:val="24"/>
          <w:szCs w:val="24"/>
        </w:rPr>
        <w:t xml:space="preserve"> </w:t>
      </w:r>
      <w:r w:rsidRPr="008B1465">
        <w:rPr>
          <w:rFonts w:ascii="Times New Roman" w:eastAsia="SimSun" w:hAnsi="Times New Roman"/>
          <w:sz w:val="24"/>
          <w:szCs w:val="24"/>
        </w:rPr>
        <w:t>The second statement, "The procurement activities of the university are in line with the public procurement authority," received agreement from 46.7 per cent of participants, with 26.4 per cent strongly agreeing. Conversely, 4.9 per cent disagreed, and only 1.6 per cent strongly disagreed.</w:t>
      </w:r>
      <w:r>
        <w:rPr>
          <w:rFonts w:ascii="Times New Roman" w:eastAsia="SimSun" w:hAnsi="Times New Roman"/>
          <w:sz w:val="24"/>
          <w:szCs w:val="24"/>
        </w:rPr>
        <w:t xml:space="preserve"> </w:t>
      </w:r>
      <w:r w:rsidRPr="00A9367D">
        <w:rPr>
          <w:rFonts w:ascii="Times New Roman" w:eastAsia="SimSun" w:hAnsi="Times New Roman"/>
          <w:sz w:val="24"/>
          <w:szCs w:val="24"/>
        </w:rPr>
        <w:t>On average, respondents believe that the procurement activities of the university are in line with the public procurement authority.</w:t>
      </w:r>
      <w:r>
        <w:rPr>
          <w:rFonts w:ascii="Times New Roman" w:eastAsia="SimSun" w:hAnsi="Times New Roman"/>
          <w:sz w:val="24"/>
          <w:szCs w:val="24"/>
        </w:rPr>
        <w:t xml:space="preserve"> </w:t>
      </w:r>
    </w:p>
    <w:p w14:paraId="6FA368C1" w14:textId="77777777" w:rsidR="00535EE2" w:rsidRDefault="00535EE2" w:rsidP="00535AAA">
      <w:pPr>
        <w:autoSpaceDE w:val="0"/>
        <w:autoSpaceDN w:val="0"/>
        <w:adjustRightInd w:val="0"/>
        <w:spacing w:before="0" w:beforeAutospacing="0" w:after="0" w:line="360" w:lineRule="auto"/>
        <w:jc w:val="both"/>
        <w:rPr>
          <w:rFonts w:ascii="Times New Roman" w:eastAsia="SimSun" w:hAnsi="Times New Roman"/>
          <w:sz w:val="24"/>
          <w:szCs w:val="24"/>
        </w:rPr>
      </w:pPr>
    </w:p>
    <w:p w14:paraId="713B20AA" w14:textId="77777777" w:rsidR="00630884" w:rsidRDefault="00535AAA" w:rsidP="00535AAA">
      <w:pPr>
        <w:autoSpaceDE w:val="0"/>
        <w:autoSpaceDN w:val="0"/>
        <w:adjustRightInd w:val="0"/>
        <w:spacing w:before="0" w:beforeAutospacing="0" w:after="0" w:line="360" w:lineRule="auto"/>
        <w:jc w:val="both"/>
        <w:rPr>
          <w:rFonts w:ascii="Times New Roman" w:eastAsia="SimSun" w:hAnsi="Times New Roman"/>
          <w:sz w:val="24"/>
          <w:szCs w:val="24"/>
        </w:rPr>
      </w:pPr>
      <w:r w:rsidRPr="00A9367D">
        <w:rPr>
          <w:rFonts w:ascii="Times New Roman" w:eastAsia="SimSun" w:hAnsi="Times New Roman"/>
          <w:sz w:val="24"/>
          <w:szCs w:val="24"/>
        </w:rPr>
        <w:t>The standard deviation of 0.868 indicates relatively low variability in responses, with most respondents agreeing on his alignment.</w:t>
      </w:r>
      <w:r w:rsidRPr="008B1465">
        <w:rPr>
          <w:rFonts w:ascii="Times New Roman" w:eastAsia="SimSun" w:hAnsi="Times New Roman"/>
          <w:sz w:val="24"/>
          <w:szCs w:val="24"/>
        </w:rPr>
        <w:t xml:space="preserve"> The total number of respondents for this statement was also 364.</w:t>
      </w:r>
      <w:r w:rsidR="00535EE2">
        <w:rPr>
          <w:rFonts w:ascii="Times New Roman" w:eastAsia="SimSun" w:hAnsi="Times New Roman"/>
          <w:sz w:val="24"/>
          <w:szCs w:val="24"/>
        </w:rPr>
        <w:t xml:space="preserve"> </w:t>
      </w:r>
      <w:r w:rsidRPr="008B1465">
        <w:rPr>
          <w:rFonts w:ascii="Times New Roman" w:eastAsia="SimSun" w:hAnsi="Times New Roman"/>
          <w:sz w:val="24"/>
          <w:szCs w:val="24"/>
        </w:rPr>
        <w:t>Regarding the fairness and transparency of tender selection, the third statement revealed that 46.2 per cent agreed and 26.4 per cent strongly agreed that their university applies fair and transparent rules. Conversely, 3.8 per cent disagreed, and merely 1.6 per cent strongly disagreed.</w:t>
      </w:r>
      <w:r w:rsidRPr="00A9367D">
        <w:t xml:space="preserve"> </w:t>
      </w:r>
      <w:r w:rsidRPr="00A9367D">
        <w:rPr>
          <w:rFonts w:ascii="Times New Roman" w:eastAsia="SimSun" w:hAnsi="Times New Roman"/>
          <w:sz w:val="24"/>
          <w:szCs w:val="24"/>
        </w:rPr>
        <w:t>On average, respondents think that their university applies fair and transparent rules for the selection of tenderers.</w:t>
      </w:r>
      <w:r>
        <w:rPr>
          <w:rFonts w:ascii="Times New Roman" w:eastAsia="SimSun" w:hAnsi="Times New Roman"/>
          <w:sz w:val="24"/>
          <w:szCs w:val="24"/>
        </w:rPr>
        <w:t xml:space="preserve"> </w:t>
      </w:r>
      <w:r w:rsidRPr="00A9367D">
        <w:rPr>
          <w:rFonts w:ascii="Times New Roman" w:eastAsia="SimSun" w:hAnsi="Times New Roman"/>
          <w:sz w:val="24"/>
          <w:szCs w:val="24"/>
        </w:rPr>
        <w:t>The standard deviation of 0.946 suggests some variability in responses, with most respondents agreeing but with some variation in the strength of agreement.</w:t>
      </w:r>
      <w:r w:rsidRPr="008B1465">
        <w:rPr>
          <w:rFonts w:ascii="Times New Roman" w:eastAsia="SimSun" w:hAnsi="Times New Roman"/>
          <w:sz w:val="24"/>
          <w:szCs w:val="24"/>
        </w:rPr>
        <w:t xml:space="preserve"> </w:t>
      </w:r>
    </w:p>
    <w:p w14:paraId="180BF3B5" w14:textId="77777777" w:rsidR="00630884" w:rsidRDefault="00630884" w:rsidP="00535AAA">
      <w:pPr>
        <w:autoSpaceDE w:val="0"/>
        <w:autoSpaceDN w:val="0"/>
        <w:adjustRightInd w:val="0"/>
        <w:spacing w:before="0" w:beforeAutospacing="0" w:after="0" w:line="360" w:lineRule="auto"/>
        <w:jc w:val="both"/>
        <w:rPr>
          <w:rFonts w:ascii="Times New Roman" w:eastAsia="SimSun" w:hAnsi="Times New Roman"/>
          <w:sz w:val="24"/>
          <w:szCs w:val="24"/>
        </w:rPr>
      </w:pPr>
    </w:p>
    <w:p w14:paraId="0B96B6D7" w14:textId="0460FE64" w:rsidR="007871B8" w:rsidRDefault="00535AAA" w:rsidP="00535AAA">
      <w:pPr>
        <w:autoSpaceDE w:val="0"/>
        <w:autoSpaceDN w:val="0"/>
        <w:adjustRightInd w:val="0"/>
        <w:spacing w:before="0" w:beforeAutospacing="0" w:after="0" w:line="360" w:lineRule="auto"/>
        <w:jc w:val="both"/>
        <w:rPr>
          <w:rFonts w:ascii="Times New Roman" w:eastAsia="SimSun" w:hAnsi="Times New Roman"/>
          <w:sz w:val="24"/>
          <w:szCs w:val="24"/>
        </w:rPr>
      </w:pPr>
      <w:r w:rsidRPr="008B1465">
        <w:rPr>
          <w:rFonts w:ascii="Times New Roman" w:eastAsia="SimSun" w:hAnsi="Times New Roman"/>
          <w:sz w:val="24"/>
          <w:szCs w:val="24"/>
        </w:rPr>
        <w:t>The fourth statement focused on the establishment of procurement activities through a competitive process and negotiation. A significant portion of respondents (46.2 per cent) agreed, while 23.1 per cent strongly agreed. On the other hand, 8.2 per cent disagreed, and 3.3 per cent strongly disagreed.</w:t>
      </w:r>
      <w:r>
        <w:rPr>
          <w:rFonts w:ascii="Times New Roman" w:eastAsia="SimSun" w:hAnsi="Times New Roman"/>
          <w:sz w:val="24"/>
          <w:szCs w:val="24"/>
        </w:rPr>
        <w:t xml:space="preserve"> </w:t>
      </w:r>
      <w:r w:rsidRPr="00A9367D">
        <w:rPr>
          <w:rFonts w:ascii="Times New Roman" w:eastAsia="SimSun" w:hAnsi="Times New Roman"/>
          <w:sz w:val="24"/>
          <w:szCs w:val="24"/>
        </w:rPr>
        <w:t>On average, respondents believe that the university’s procurement activities are established through a competitive process and negotiation.</w:t>
      </w:r>
      <w:r>
        <w:rPr>
          <w:rFonts w:ascii="Times New Roman" w:eastAsia="SimSun" w:hAnsi="Times New Roman"/>
          <w:sz w:val="24"/>
          <w:szCs w:val="24"/>
        </w:rPr>
        <w:t xml:space="preserve"> </w:t>
      </w:r>
      <w:r w:rsidRPr="00A9367D">
        <w:rPr>
          <w:rFonts w:ascii="Times New Roman" w:eastAsia="SimSun" w:hAnsi="Times New Roman"/>
          <w:sz w:val="24"/>
          <w:szCs w:val="24"/>
        </w:rPr>
        <w:t>The standard deviation of 0.899 indicates some variability in responses, with most respondents agreeing but with some variation in the strength of agreement.</w:t>
      </w:r>
      <w:r w:rsidRPr="008B1465">
        <w:rPr>
          <w:rFonts w:ascii="Times New Roman" w:eastAsia="SimSun" w:hAnsi="Times New Roman"/>
          <w:sz w:val="24"/>
          <w:szCs w:val="24"/>
        </w:rPr>
        <w:t xml:space="preserve"> The fifth statement addressed the connection between the university's budgets and its procurement activities. The majority (57.7 per cent) agreed, and 20.9 per cent strongly agreed that the university ensures its budgets are linked to procurement. Conversely, 2.7 per cent disagreed, and only 1.6 per cent strongly disagreed.</w:t>
      </w:r>
      <w:r>
        <w:rPr>
          <w:rFonts w:ascii="Times New Roman" w:eastAsia="SimSun" w:hAnsi="Times New Roman"/>
          <w:sz w:val="24"/>
          <w:szCs w:val="24"/>
        </w:rPr>
        <w:t xml:space="preserve"> </w:t>
      </w:r>
      <w:r w:rsidRPr="00A9367D">
        <w:rPr>
          <w:rFonts w:ascii="Times New Roman" w:eastAsia="SimSun" w:hAnsi="Times New Roman"/>
          <w:sz w:val="24"/>
          <w:szCs w:val="24"/>
        </w:rPr>
        <w:t>On average, respondents think that their university ensures its budgets are linked with the procurement activities.</w:t>
      </w:r>
      <w:r>
        <w:rPr>
          <w:rFonts w:ascii="Times New Roman" w:eastAsia="SimSun" w:hAnsi="Times New Roman"/>
          <w:sz w:val="24"/>
          <w:szCs w:val="24"/>
        </w:rPr>
        <w:t xml:space="preserve"> </w:t>
      </w:r>
      <w:r w:rsidRPr="00A9367D">
        <w:rPr>
          <w:rFonts w:ascii="Times New Roman" w:eastAsia="SimSun" w:hAnsi="Times New Roman"/>
          <w:sz w:val="24"/>
          <w:szCs w:val="24"/>
        </w:rPr>
        <w:t>The standard deviation of 0.884 suggests some variability in responses, with most respondents agreeing on this linkage.</w:t>
      </w:r>
      <w:r w:rsidR="007871B8">
        <w:rPr>
          <w:rFonts w:ascii="Times New Roman" w:eastAsia="SimSun" w:hAnsi="Times New Roman"/>
          <w:sz w:val="24"/>
          <w:szCs w:val="24"/>
        </w:rPr>
        <w:t xml:space="preserve"> </w:t>
      </w:r>
      <w:r w:rsidRPr="008B1465">
        <w:rPr>
          <w:rFonts w:ascii="Times New Roman" w:eastAsia="SimSun" w:hAnsi="Times New Roman"/>
          <w:sz w:val="24"/>
          <w:szCs w:val="24"/>
        </w:rPr>
        <w:t xml:space="preserve">Regarding accountability and transparency in procurement, the sixth statement found that 44 per cent agreed, with 25.3 per cent strongly agreeing. A smaller percentage disagreed (6 per cent) or strongly disagreed (2.2 per cent). </w:t>
      </w:r>
      <w:r w:rsidRPr="00A9367D">
        <w:rPr>
          <w:rFonts w:ascii="Times New Roman" w:eastAsia="SimSun" w:hAnsi="Times New Roman"/>
          <w:sz w:val="24"/>
          <w:szCs w:val="24"/>
        </w:rPr>
        <w:t>On average, respondents believe that there are accountability and transparency in the procurement of goods and services at their university.</w:t>
      </w:r>
      <w:r>
        <w:rPr>
          <w:rFonts w:ascii="Times New Roman" w:eastAsia="SimSun" w:hAnsi="Times New Roman"/>
          <w:sz w:val="24"/>
          <w:szCs w:val="24"/>
        </w:rPr>
        <w:t xml:space="preserve"> </w:t>
      </w:r>
    </w:p>
    <w:p w14:paraId="4E795A3F" w14:textId="77777777" w:rsidR="007871B8" w:rsidRDefault="007871B8" w:rsidP="00535AAA">
      <w:pPr>
        <w:autoSpaceDE w:val="0"/>
        <w:autoSpaceDN w:val="0"/>
        <w:adjustRightInd w:val="0"/>
        <w:spacing w:before="0" w:beforeAutospacing="0" w:after="0" w:line="360" w:lineRule="auto"/>
        <w:jc w:val="both"/>
        <w:rPr>
          <w:rFonts w:ascii="Times New Roman" w:eastAsia="SimSun" w:hAnsi="Times New Roman"/>
          <w:sz w:val="24"/>
          <w:szCs w:val="24"/>
        </w:rPr>
      </w:pPr>
    </w:p>
    <w:p w14:paraId="5E9FD558" w14:textId="2FF1132C" w:rsidR="00535AAA" w:rsidRPr="008B1465" w:rsidRDefault="00535AAA" w:rsidP="00535AAA">
      <w:pPr>
        <w:autoSpaceDE w:val="0"/>
        <w:autoSpaceDN w:val="0"/>
        <w:adjustRightInd w:val="0"/>
        <w:spacing w:before="0" w:beforeAutospacing="0" w:after="0" w:line="360" w:lineRule="auto"/>
        <w:jc w:val="both"/>
        <w:rPr>
          <w:rFonts w:ascii="Times New Roman" w:eastAsia="SimSun" w:hAnsi="Times New Roman"/>
          <w:sz w:val="24"/>
          <w:szCs w:val="24"/>
        </w:rPr>
      </w:pPr>
      <w:r w:rsidRPr="00A9367D">
        <w:rPr>
          <w:rFonts w:ascii="Times New Roman" w:eastAsia="SimSun" w:hAnsi="Times New Roman"/>
          <w:sz w:val="24"/>
          <w:szCs w:val="24"/>
        </w:rPr>
        <w:t>The standard deviation of 0.918 indicates some variability in responses, with most respondents agreeing but with some variation in the strength of agreement.</w:t>
      </w:r>
      <w:r>
        <w:rPr>
          <w:rFonts w:ascii="Times New Roman" w:eastAsia="SimSun" w:hAnsi="Times New Roman"/>
          <w:sz w:val="24"/>
          <w:szCs w:val="24"/>
        </w:rPr>
        <w:t xml:space="preserve"> </w:t>
      </w:r>
      <w:r w:rsidRPr="008B1465">
        <w:rPr>
          <w:rFonts w:ascii="Times New Roman" w:eastAsia="SimSun" w:hAnsi="Times New Roman"/>
          <w:sz w:val="24"/>
          <w:szCs w:val="24"/>
        </w:rPr>
        <w:t>The final statement focused on the appropriate bidding and utilization of the limited bidding process. 46.2 per cent agreed, and 20.3 per cent strongly agreed that there is appropriate bidding and correct utilization. Conversely, 7.1 per cent disagreed, and 0.5 per cent strongly disagreed.</w:t>
      </w:r>
      <w:r>
        <w:rPr>
          <w:rFonts w:ascii="Times New Roman" w:eastAsia="SimSun" w:hAnsi="Times New Roman"/>
          <w:sz w:val="24"/>
          <w:szCs w:val="24"/>
        </w:rPr>
        <w:t xml:space="preserve"> The mean result shows that</w:t>
      </w:r>
      <w:r w:rsidRPr="00A9367D">
        <w:rPr>
          <w:rFonts w:ascii="Times New Roman" w:eastAsia="SimSun" w:hAnsi="Times New Roman"/>
          <w:sz w:val="24"/>
          <w:szCs w:val="24"/>
        </w:rPr>
        <w:t xml:space="preserve"> respondents strongly agree that there is appropriate bidding and correct utilization of the limited bidding process.</w:t>
      </w:r>
      <w:r>
        <w:rPr>
          <w:rFonts w:ascii="Times New Roman" w:eastAsia="SimSun" w:hAnsi="Times New Roman"/>
          <w:sz w:val="24"/>
          <w:szCs w:val="24"/>
        </w:rPr>
        <w:t xml:space="preserve"> </w:t>
      </w:r>
      <w:r w:rsidRPr="00A9367D">
        <w:rPr>
          <w:rFonts w:ascii="Times New Roman" w:eastAsia="SimSun" w:hAnsi="Times New Roman"/>
          <w:sz w:val="24"/>
          <w:szCs w:val="24"/>
        </w:rPr>
        <w:t>The standard deviation of 0.797 indicates relatively low variability in responses, with most respondents strongly agreeing on this statement.</w:t>
      </w:r>
    </w:p>
    <w:p w14:paraId="34C86EBE" w14:textId="77777777" w:rsidR="00535AAA" w:rsidRPr="008B1465" w:rsidRDefault="00535AAA" w:rsidP="00535AAA">
      <w:pPr>
        <w:autoSpaceDE w:val="0"/>
        <w:autoSpaceDN w:val="0"/>
        <w:adjustRightInd w:val="0"/>
        <w:spacing w:before="0" w:beforeAutospacing="0" w:after="0" w:line="360" w:lineRule="auto"/>
        <w:rPr>
          <w:rFonts w:ascii="Times New Roman" w:eastAsia="SimSun" w:hAnsi="Times New Roman"/>
          <w:sz w:val="24"/>
          <w:szCs w:val="24"/>
        </w:rPr>
      </w:pPr>
    </w:p>
    <w:p w14:paraId="26ACD613" w14:textId="7A43F162" w:rsidR="00CB377A" w:rsidRDefault="00535AAA" w:rsidP="003F241A">
      <w:pPr>
        <w:autoSpaceDE w:val="0"/>
        <w:autoSpaceDN w:val="0"/>
        <w:adjustRightInd w:val="0"/>
        <w:spacing w:before="0" w:beforeAutospacing="0" w:after="0" w:line="360" w:lineRule="auto"/>
        <w:jc w:val="both"/>
        <w:rPr>
          <w:rFonts w:ascii="Times New Roman" w:eastAsia="SimSun" w:hAnsi="Times New Roman"/>
          <w:sz w:val="24"/>
          <w:szCs w:val="24"/>
        </w:rPr>
      </w:pPr>
      <w:r w:rsidRPr="008B1465">
        <w:rPr>
          <w:rFonts w:ascii="Times New Roman" w:eastAsia="SimSun" w:hAnsi="Times New Roman"/>
          <w:sz w:val="24"/>
          <w:szCs w:val="24"/>
        </w:rPr>
        <w:t>Given the above, it can be said that the survey results indicate a general positive perception of the university's procurement activities, with a majority of respondents expressing agreement or strong agreement. However, there are also a notable number of respondents who expressed some level of disagreement or indifference, particularly in relation to certain aspects such as adherence to public procurement authority guidelines or the transparency of tender selection. These results suggest areas where the university may need to focus on improving its procurement processes and communication to address any concerns raised by the participants.</w:t>
      </w:r>
      <w:r w:rsidR="007871B8">
        <w:rPr>
          <w:rFonts w:ascii="Times New Roman" w:eastAsia="SimSun" w:hAnsi="Times New Roman"/>
          <w:sz w:val="24"/>
          <w:szCs w:val="24"/>
        </w:rPr>
        <w:t xml:space="preserve"> </w:t>
      </w:r>
      <w:r w:rsidRPr="00DD68AF">
        <w:rPr>
          <w:rFonts w:ascii="Times New Roman" w:eastAsia="SimSun" w:hAnsi="Times New Roman"/>
          <w:sz w:val="24"/>
          <w:szCs w:val="24"/>
        </w:rPr>
        <w:t>The first statement in Table 4.7, respondents were asked to evaluate whether financial reports are prepared and presented according to the ethical guidelines of the university. Among the 364 participants, 12 individuals strongly disagreed, 14 disagreed, 66 were indifferent, 198 agreed, and 74 strongly agreed. The majority of respondents (54.4 per cent) expressed agreement, while a smaller percentage disagreed (3.8 per cent). The mean and standard deviation further complemented these results. On average, respondents believe that financial reports at their university are prepared and presented in accordance with ethical guidelines. The standard deviation of 0.902 suggests some variability in responses, with most respondents agreeing, but with some variation in the strength of agreement.</w:t>
      </w:r>
    </w:p>
    <w:p w14:paraId="1B9032B1" w14:textId="05F56DF8" w:rsidR="00BE0255" w:rsidRDefault="00BE0255" w:rsidP="003F241A">
      <w:pPr>
        <w:autoSpaceDE w:val="0"/>
        <w:autoSpaceDN w:val="0"/>
        <w:adjustRightInd w:val="0"/>
        <w:spacing w:before="0" w:beforeAutospacing="0" w:after="0" w:line="360" w:lineRule="auto"/>
        <w:jc w:val="both"/>
        <w:rPr>
          <w:rFonts w:ascii="Times New Roman" w:eastAsia="SimSun" w:hAnsi="Times New Roman"/>
          <w:sz w:val="24"/>
          <w:szCs w:val="24"/>
        </w:rPr>
      </w:pPr>
    </w:p>
    <w:p w14:paraId="33888961" w14:textId="42381B65" w:rsidR="00BE0255" w:rsidRDefault="00BE0255" w:rsidP="003F241A">
      <w:pPr>
        <w:autoSpaceDE w:val="0"/>
        <w:autoSpaceDN w:val="0"/>
        <w:adjustRightInd w:val="0"/>
        <w:spacing w:before="0" w:beforeAutospacing="0" w:after="0" w:line="360" w:lineRule="auto"/>
        <w:jc w:val="both"/>
        <w:rPr>
          <w:rFonts w:ascii="Times New Roman" w:eastAsia="SimSun" w:hAnsi="Times New Roman"/>
          <w:sz w:val="24"/>
          <w:szCs w:val="24"/>
        </w:rPr>
      </w:pPr>
    </w:p>
    <w:p w14:paraId="7D7FCE60" w14:textId="2B1D2D2A" w:rsidR="00E207CF" w:rsidRDefault="00E207CF" w:rsidP="003F241A">
      <w:pPr>
        <w:autoSpaceDE w:val="0"/>
        <w:autoSpaceDN w:val="0"/>
        <w:adjustRightInd w:val="0"/>
        <w:spacing w:before="0" w:beforeAutospacing="0" w:after="0" w:line="360" w:lineRule="auto"/>
        <w:jc w:val="both"/>
        <w:rPr>
          <w:rFonts w:ascii="Times New Roman" w:eastAsia="SimSun" w:hAnsi="Times New Roman"/>
          <w:sz w:val="24"/>
          <w:szCs w:val="24"/>
        </w:rPr>
      </w:pPr>
    </w:p>
    <w:p w14:paraId="195A7A81" w14:textId="03C1305C" w:rsidR="00E207CF" w:rsidRDefault="00E207CF" w:rsidP="003F241A">
      <w:pPr>
        <w:autoSpaceDE w:val="0"/>
        <w:autoSpaceDN w:val="0"/>
        <w:adjustRightInd w:val="0"/>
        <w:spacing w:before="0" w:beforeAutospacing="0" w:after="0" w:line="360" w:lineRule="auto"/>
        <w:jc w:val="both"/>
        <w:rPr>
          <w:rFonts w:ascii="Times New Roman" w:eastAsia="SimSun" w:hAnsi="Times New Roman"/>
          <w:sz w:val="24"/>
          <w:szCs w:val="24"/>
        </w:rPr>
      </w:pPr>
    </w:p>
    <w:p w14:paraId="2568EE66" w14:textId="55D5D026" w:rsidR="00E207CF" w:rsidRDefault="00E207CF" w:rsidP="003F241A">
      <w:pPr>
        <w:autoSpaceDE w:val="0"/>
        <w:autoSpaceDN w:val="0"/>
        <w:adjustRightInd w:val="0"/>
        <w:spacing w:before="0" w:beforeAutospacing="0" w:after="0" w:line="360" w:lineRule="auto"/>
        <w:jc w:val="both"/>
        <w:rPr>
          <w:rFonts w:ascii="Times New Roman" w:eastAsia="SimSun" w:hAnsi="Times New Roman"/>
          <w:sz w:val="24"/>
          <w:szCs w:val="24"/>
        </w:rPr>
      </w:pPr>
    </w:p>
    <w:p w14:paraId="069F13DB" w14:textId="72E018BB" w:rsidR="00E207CF" w:rsidRDefault="00E207CF" w:rsidP="003F241A">
      <w:pPr>
        <w:autoSpaceDE w:val="0"/>
        <w:autoSpaceDN w:val="0"/>
        <w:adjustRightInd w:val="0"/>
        <w:spacing w:before="0" w:beforeAutospacing="0" w:after="0" w:line="360" w:lineRule="auto"/>
        <w:jc w:val="both"/>
        <w:rPr>
          <w:rFonts w:ascii="Times New Roman" w:eastAsia="SimSun" w:hAnsi="Times New Roman"/>
          <w:sz w:val="24"/>
          <w:szCs w:val="24"/>
        </w:rPr>
      </w:pPr>
    </w:p>
    <w:p w14:paraId="1A21C508" w14:textId="2DED86D5" w:rsidR="00E207CF" w:rsidRDefault="00E207CF" w:rsidP="003F241A">
      <w:pPr>
        <w:autoSpaceDE w:val="0"/>
        <w:autoSpaceDN w:val="0"/>
        <w:adjustRightInd w:val="0"/>
        <w:spacing w:before="0" w:beforeAutospacing="0" w:after="0" w:line="360" w:lineRule="auto"/>
        <w:jc w:val="both"/>
        <w:rPr>
          <w:rFonts w:ascii="Times New Roman" w:eastAsia="SimSun" w:hAnsi="Times New Roman"/>
          <w:sz w:val="24"/>
          <w:szCs w:val="24"/>
        </w:rPr>
      </w:pPr>
    </w:p>
    <w:p w14:paraId="0C5A5480" w14:textId="0CE4C891" w:rsidR="00E207CF" w:rsidRDefault="00E207CF" w:rsidP="003F241A">
      <w:pPr>
        <w:autoSpaceDE w:val="0"/>
        <w:autoSpaceDN w:val="0"/>
        <w:adjustRightInd w:val="0"/>
        <w:spacing w:before="0" w:beforeAutospacing="0" w:after="0" w:line="360" w:lineRule="auto"/>
        <w:jc w:val="both"/>
        <w:rPr>
          <w:rFonts w:ascii="Times New Roman" w:eastAsia="SimSun" w:hAnsi="Times New Roman"/>
          <w:sz w:val="24"/>
          <w:szCs w:val="24"/>
        </w:rPr>
      </w:pPr>
    </w:p>
    <w:p w14:paraId="3FEF0884" w14:textId="1D0B1D76" w:rsidR="00E207CF" w:rsidRDefault="00E207CF" w:rsidP="003F241A">
      <w:pPr>
        <w:autoSpaceDE w:val="0"/>
        <w:autoSpaceDN w:val="0"/>
        <w:adjustRightInd w:val="0"/>
        <w:spacing w:before="0" w:beforeAutospacing="0" w:after="0" w:line="360" w:lineRule="auto"/>
        <w:jc w:val="both"/>
        <w:rPr>
          <w:rFonts w:ascii="Times New Roman" w:eastAsia="SimSun" w:hAnsi="Times New Roman"/>
          <w:sz w:val="24"/>
          <w:szCs w:val="24"/>
        </w:rPr>
      </w:pPr>
    </w:p>
    <w:p w14:paraId="4E75F888" w14:textId="5C56B801" w:rsidR="00E207CF" w:rsidRDefault="00E207CF" w:rsidP="003F241A">
      <w:pPr>
        <w:autoSpaceDE w:val="0"/>
        <w:autoSpaceDN w:val="0"/>
        <w:adjustRightInd w:val="0"/>
        <w:spacing w:before="0" w:beforeAutospacing="0" w:after="0" w:line="360" w:lineRule="auto"/>
        <w:jc w:val="both"/>
        <w:rPr>
          <w:rFonts w:ascii="Times New Roman" w:eastAsia="SimSun" w:hAnsi="Times New Roman"/>
          <w:sz w:val="24"/>
          <w:szCs w:val="24"/>
        </w:rPr>
      </w:pPr>
    </w:p>
    <w:p w14:paraId="05DDEA7D" w14:textId="77777777" w:rsidR="00E207CF" w:rsidRPr="008B1465" w:rsidRDefault="00E207CF" w:rsidP="003F241A">
      <w:pPr>
        <w:autoSpaceDE w:val="0"/>
        <w:autoSpaceDN w:val="0"/>
        <w:adjustRightInd w:val="0"/>
        <w:spacing w:before="0" w:beforeAutospacing="0" w:after="0" w:line="360" w:lineRule="auto"/>
        <w:jc w:val="both"/>
        <w:rPr>
          <w:rFonts w:ascii="Times New Roman" w:eastAsia="SimSun" w:hAnsi="Times New Roman"/>
          <w:sz w:val="24"/>
          <w:szCs w:val="24"/>
        </w:rPr>
      </w:pPr>
    </w:p>
    <w:p w14:paraId="16063120" w14:textId="6991310F" w:rsidR="0072282A" w:rsidRPr="0072282A" w:rsidRDefault="0072282A" w:rsidP="0072282A">
      <w:pPr>
        <w:pStyle w:val="Caption"/>
        <w:keepNext/>
        <w:rPr>
          <w:rFonts w:ascii="Times New Roman" w:hAnsi="Times New Roman"/>
          <w:color w:val="000000" w:themeColor="text1"/>
          <w:sz w:val="24"/>
          <w:szCs w:val="24"/>
        </w:rPr>
      </w:pPr>
      <w:bookmarkStart w:id="117" w:name="_Toc145952340"/>
      <w:r w:rsidRPr="00BC2B65">
        <w:rPr>
          <w:rFonts w:ascii="Times New Roman" w:hAnsi="Times New Roman"/>
          <w:i w:val="0"/>
          <w:color w:val="000000" w:themeColor="text1"/>
          <w:sz w:val="24"/>
          <w:szCs w:val="24"/>
        </w:rPr>
        <w:t xml:space="preserve">Table </w:t>
      </w:r>
      <w:r w:rsidR="000F6857" w:rsidRPr="00BC2B65">
        <w:rPr>
          <w:rFonts w:ascii="Times New Roman" w:hAnsi="Times New Roman"/>
          <w:i w:val="0"/>
          <w:color w:val="000000" w:themeColor="text1"/>
          <w:sz w:val="24"/>
          <w:szCs w:val="24"/>
        </w:rPr>
        <w:fldChar w:fldCharType="begin"/>
      </w:r>
      <w:r w:rsidR="000F6857" w:rsidRPr="00BC2B65">
        <w:rPr>
          <w:rFonts w:ascii="Times New Roman" w:hAnsi="Times New Roman"/>
          <w:i w:val="0"/>
          <w:color w:val="000000" w:themeColor="text1"/>
          <w:sz w:val="24"/>
          <w:szCs w:val="24"/>
        </w:rPr>
        <w:instrText xml:space="preserve"> STYLEREF 1 \s </w:instrText>
      </w:r>
      <w:r w:rsidR="000F6857" w:rsidRPr="00BC2B65">
        <w:rPr>
          <w:rFonts w:ascii="Times New Roman" w:hAnsi="Times New Roman"/>
          <w:i w:val="0"/>
          <w:color w:val="000000" w:themeColor="text1"/>
          <w:sz w:val="24"/>
          <w:szCs w:val="24"/>
        </w:rPr>
        <w:fldChar w:fldCharType="separate"/>
      </w:r>
      <w:r w:rsidR="007B5846" w:rsidRPr="00BC2B65">
        <w:rPr>
          <w:rFonts w:ascii="Times New Roman" w:hAnsi="Times New Roman"/>
          <w:i w:val="0"/>
          <w:noProof/>
          <w:color w:val="000000" w:themeColor="text1"/>
          <w:sz w:val="24"/>
          <w:szCs w:val="24"/>
        </w:rPr>
        <w:t>4</w:t>
      </w:r>
      <w:r w:rsidR="000F6857" w:rsidRPr="00BC2B65">
        <w:rPr>
          <w:rFonts w:ascii="Times New Roman" w:hAnsi="Times New Roman"/>
          <w:i w:val="0"/>
          <w:color w:val="000000" w:themeColor="text1"/>
          <w:sz w:val="24"/>
          <w:szCs w:val="24"/>
        </w:rPr>
        <w:fldChar w:fldCharType="end"/>
      </w:r>
      <w:r w:rsidR="000F6857" w:rsidRPr="00BC2B65">
        <w:rPr>
          <w:rFonts w:ascii="Times New Roman" w:hAnsi="Times New Roman"/>
          <w:i w:val="0"/>
          <w:color w:val="000000" w:themeColor="text1"/>
          <w:sz w:val="24"/>
          <w:szCs w:val="24"/>
        </w:rPr>
        <w:t>.</w:t>
      </w:r>
      <w:r w:rsidR="000F6857" w:rsidRPr="00BC2B65">
        <w:rPr>
          <w:rFonts w:ascii="Times New Roman" w:hAnsi="Times New Roman"/>
          <w:i w:val="0"/>
          <w:color w:val="000000" w:themeColor="text1"/>
          <w:sz w:val="24"/>
          <w:szCs w:val="24"/>
        </w:rPr>
        <w:fldChar w:fldCharType="begin"/>
      </w:r>
      <w:r w:rsidR="000F6857" w:rsidRPr="00BC2B65">
        <w:rPr>
          <w:rFonts w:ascii="Times New Roman" w:hAnsi="Times New Roman"/>
          <w:i w:val="0"/>
          <w:color w:val="000000" w:themeColor="text1"/>
          <w:sz w:val="24"/>
          <w:szCs w:val="24"/>
        </w:rPr>
        <w:instrText xml:space="preserve"> SEQ Table \* ARABIC \s 1 </w:instrText>
      </w:r>
      <w:r w:rsidR="000F6857" w:rsidRPr="00BC2B65">
        <w:rPr>
          <w:rFonts w:ascii="Times New Roman" w:hAnsi="Times New Roman"/>
          <w:i w:val="0"/>
          <w:color w:val="000000" w:themeColor="text1"/>
          <w:sz w:val="24"/>
          <w:szCs w:val="24"/>
        </w:rPr>
        <w:fldChar w:fldCharType="separate"/>
      </w:r>
      <w:r w:rsidR="007B5846" w:rsidRPr="00BC2B65">
        <w:rPr>
          <w:rFonts w:ascii="Times New Roman" w:hAnsi="Times New Roman"/>
          <w:i w:val="0"/>
          <w:noProof/>
          <w:color w:val="000000" w:themeColor="text1"/>
          <w:sz w:val="24"/>
          <w:szCs w:val="24"/>
        </w:rPr>
        <w:t>7</w:t>
      </w:r>
      <w:r w:rsidR="000F6857" w:rsidRPr="00BC2B65">
        <w:rPr>
          <w:rFonts w:ascii="Times New Roman" w:hAnsi="Times New Roman"/>
          <w:i w:val="0"/>
          <w:color w:val="000000" w:themeColor="text1"/>
          <w:sz w:val="24"/>
          <w:szCs w:val="24"/>
        </w:rPr>
        <w:fldChar w:fldCharType="end"/>
      </w:r>
      <w:r w:rsidRPr="00BC2B65">
        <w:rPr>
          <w:rFonts w:ascii="Times New Roman" w:hAnsi="Times New Roman"/>
          <w:i w:val="0"/>
          <w:color w:val="000000" w:themeColor="text1"/>
          <w:sz w:val="24"/>
          <w:szCs w:val="24"/>
        </w:rPr>
        <w:t>:</w:t>
      </w:r>
      <w:r w:rsidRPr="0072282A">
        <w:rPr>
          <w:rFonts w:ascii="Times New Roman" w:hAnsi="Times New Roman"/>
          <w:i w:val="0"/>
          <w:iCs w:val="0"/>
          <w:color w:val="000000" w:themeColor="text1"/>
          <w:sz w:val="24"/>
          <w:szCs w:val="24"/>
        </w:rPr>
        <w:t xml:space="preserve"> Descriptive Analysis of Respondents’ Information on Creative Accounting Practices</w:t>
      </w:r>
      <w:bookmarkEnd w:id="117"/>
    </w:p>
    <w:tbl>
      <w:tblPr>
        <w:tblW w:w="5053" w:type="pct"/>
        <w:tblInd w:w="-5" w:type="dxa"/>
        <w:tblCellMar>
          <w:left w:w="0" w:type="dxa"/>
          <w:right w:w="0" w:type="dxa"/>
        </w:tblCellMar>
        <w:tblLook w:val="0000" w:firstRow="0" w:lastRow="0" w:firstColumn="0" w:lastColumn="0" w:noHBand="0" w:noVBand="0"/>
      </w:tblPr>
      <w:tblGrid>
        <w:gridCol w:w="451"/>
        <w:gridCol w:w="2406"/>
        <w:gridCol w:w="375"/>
        <w:gridCol w:w="545"/>
        <w:gridCol w:w="356"/>
        <w:gridCol w:w="632"/>
        <w:gridCol w:w="446"/>
        <w:gridCol w:w="719"/>
        <w:gridCol w:w="602"/>
        <w:gridCol w:w="656"/>
        <w:gridCol w:w="446"/>
        <w:gridCol w:w="566"/>
        <w:gridCol w:w="539"/>
        <w:gridCol w:w="47"/>
        <w:gridCol w:w="673"/>
      </w:tblGrid>
      <w:tr w:rsidR="008945CF" w:rsidRPr="008B1465" w14:paraId="223B8533" w14:textId="20B875E6" w:rsidTr="00ED0111">
        <w:trPr>
          <w:cantSplit/>
          <w:trHeight w:val="230"/>
        </w:trPr>
        <w:tc>
          <w:tcPr>
            <w:tcW w:w="238" w:type="pct"/>
            <w:tcBorders>
              <w:top w:val="thinThickSmallGap" w:sz="24" w:space="0" w:color="auto"/>
              <w:bottom w:val="thinThickSmallGap" w:sz="24" w:space="0" w:color="auto"/>
            </w:tcBorders>
            <w:shd w:val="clear" w:color="auto" w:fill="auto"/>
          </w:tcPr>
          <w:p w14:paraId="4FFA3E9F" w14:textId="77777777" w:rsidR="008945CF" w:rsidRPr="008B1465" w:rsidRDefault="008945CF" w:rsidP="008945CF">
            <w:pPr>
              <w:autoSpaceDE w:val="0"/>
              <w:autoSpaceDN w:val="0"/>
              <w:adjustRightInd w:val="0"/>
              <w:spacing w:before="0" w:beforeAutospacing="0" w:after="0" w:line="240" w:lineRule="auto"/>
              <w:rPr>
                <w:rFonts w:ascii="Times New Roman" w:hAnsi="Times New Roman"/>
                <w:b/>
                <w:bCs/>
                <w:sz w:val="24"/>
                <w:szCs w:val="24"/>
              </w:rPr>
            </w:pPr>
            <w:r w:rsidRPr="008B1465">
              <w:rPr>
                <w:rFonts w:ascii="Times New Roman" w:hAnsi="Times New Roman"/>
                <w:b/>
                <w:bCs/>
                <w:sz w:val="24"/>
                <w:szCs w:val="24"/>
              </w:rPr>
              <w:t>S/N</w:t>
            </w:r>
          </w:p>
        </w:tc>
        <w:tc>
          <w:tcPr>
            <w:tcW w:w="1272" w:type="pct"/>
            <w:tcBorders>
              <w:top w:val="thinThickSmallGap" w:sz="24" w:space="0" w:color="auto"/>
              <w:bottom w:val="thinThickSmallGap" w:sz="24" w:space="0" w:color="auto"/>
            </w:tcBorders>
            <w:shd w:val="clear" w:color="auto" w:fill="auto"/>
            <w:vAlign w:val="bottom"/>
          </w:tcPr>
          <w:p w14:paraId="4E414116" w14:textId="77777777" w:rsidR="008945CF" w:rsidRPr="008B1465" w:rsidRDefault="008945CF" w:rsidP="008945CF">
            <w:pPr>
              <w:autoSpaceDE w:val="0"/>
              <w:autoSpaceDN w:val="0"/>
              <w:adjustRightInd w:val="0"/>
              <w:spacing w:before="0" w:beforeAutospacing="0" w:after="0" w:line="240" w:lineRule="auto"/>
              <w:jc w:val="center"/>
              <w:rPr>
                <w:rFonts w:ascii="Times New Roman" w:hAnsi="Times New Roman"/>
                <w:b/>
                <w:bCs/>
                <w:sz w:val="24"/>
                <w:szCs w:val="24"/>
              </w:rPr>
            </w:pPr>
            <w:r w:rsidRPr="008B1465">
              <w:rPr>
                <w:rFonts w:ascii="Times New Roman" w:hAnsi="Times New Roman"/>
                <w:b/>
                <w:bCs/>
                <w:sz w:val="24"/>
                <w:szCs w:val="24"/>
              </w:rPr>
              <w:t>Items</w:t>
            </w:r>
          </w:p>
        </w:tc>
        <w:tc>
          <w:tcPr>
            <w:tcW w:w="486" w:type="pct"/>
            <w:gridSpan w:val="2"/>
            <w:tcBorders>
              <w:top w:val="thinThickSmallGap" w:sz="24" w:space="0" w:color="auto"/>
              <w:bottom w:val="thinThickSmallGap" w:sz="24" w:space="0" w:color="auto"/>
            </w:tcBorders>
            <w:shd w:val="clear" w:color="auto" w:fill="auto"/>
            <w:vAlign w:val="bottom"/>
          </w:tcPr>
          <w:p w14:paraId="386AD557" w14:textId="7F5E1A5E" w:rsidR="008945CF" w:rsidRPr="008B1465" w:rsidRDefault="008945CF" w:rsidP="008945CF">
            <w:pPr>
              <w:autoSpaceDE w:val="0"/>
              <w:autoSpaceDN w:val="0"/>
              <w:adjustRightInd w:val="0"/>
              <w:spacing w:before="0" w:beforeAutospacing="0" w:after="0" w:line="240" w:lineRule="auto"/>
              <w:ind w:left="60" w:right="60"/>
              <w:jc w:val="center"/>
              <w:rPr>
                <w:rFonts w:ascii="Times New Roman" w:hAnsi="Times New Roman"/>
                <w:b/>
                <w:bCs/>
                <w:sz w:val="24"/>
                <w:szCs w:val="24"/>
              </w:rPr>
            </w:pPr>
            <w:r w:rsidRPr="008B1465">
              <w:rPr>
                <w:rFonts w:ascii="Times New Roman" w:hAnsi="Times New Roman"/>
                <w:b/>
                <w:bCs/>
                <w:sz w:val="24"/>
                <w:szCs w:val="24"/>
              </w:rPr>
              <w:t>SD (%)</w:t>
            </w:r>
          </w:p>
        </w:tc>
        <w:tc>
          <w:tcPr>
            <w:tcW w:w="522" w:type="pct"/>
            <w:gridSpan w:val="2"/>
            <w:tcBorders>
              <w:top w:val="thinThickSmallGap" w:sz="24" w:space="0" w:color="auto"/>
              <w:bottom w:val="thinThickSmallGap" w:sz="24" w:space="0" w:color="auto"/>
            </w:tcBorders>
            <w:shd w:val="clear" w:color="auto" w:fill="auto"/>
            <w:vAlign w:val="bottom"/>
          </w:tcPr>
          <w:p w14:paraId="7587371B" w14:textId="7A5C80CB" w:rsidR="008945CF" w:rsidRPr="008B1465" w:rsidRDefault="008945CF" w:rsidP="008945CF">
            <w:pPr>
              <w:autoSpaceDE w:val="0"/>
              <w:autoSpaceDN w:val="0"/>
              <w:adjustRightInd w:val="0"/>
              <w:spacing w:before="0" w:beforeAutospacing="0" w:after="0" w:line="240" w:lineRule="auto"/>
              <w:ind w:left="60" w:right="60"/>
              <w:jc w:val="center"/>
              <w:rPr>
                <w:rFonts w:ascii="Times New Roman" w:hAnsi="Times New Roman"/>
                <w:b/>
                <w:bCs/>
                <w:sz w:val="24"/>
                <w:szCs w:val="24"/>
              </w:rPr>
            </w:pPr>
            <w:r w:rsidRPr="008B1465">
              <w:rPr>
                <w:rFonts w:ascii="Times New Roman" w:hAnsi="Times New Roman"/>
                <w:b/>
                <w:bCs/>
                <w:sz w:val="24"/>
                <w:szCs w:val="24"/>
              </w:rPr>
              <w:t>D (%)</w:t>
            </w:r>
          </w:p>
        </w:tc>
        <w:tc>
          <w:tcPr>
            <w:tcW w:w="616" w:type="pct"/>
            <w:gridSpan w:val="2"/>
            <w:tcBorders>
              <w:top w:val="thinThickSmallGap" w:sz="24" w:space="0" w:color="auto"/>
              <w:bottom w:val="thinThickSmallGap" w:sz="24" w:space="0" w:color="auto"/>
            </w:tcBorders>
            <w:shd w:val="clear" w:color="auto" w:fill="auto"/>
            <w:vAlign w:val="bottom"/>
          </w:tcPr>
          <w:p w14:paraId="5F59F21B" w14:textId="5A77EDF4" w:rsidR="008945CF" w:rsidRPr="008B1465" w:rsidRDefault="008945CF" w:rsidP="008945CF">
            <w:pPr>
              <w:autoSpaceDE w:val="0"/>
              <w:autoSpaceDN w:val="0"/>
              <w:adjustRightInd w:val="0"/>
              <w:spacing w:before="0" w:beforeAutospacing="0" w:after="0" w:line="240" w:lineRule="auto"/>
              <w:ind w:left="60" w:right="60"/>
              <w:jc w:val="center"/>
              <w:rPr>
                <w:rFonts w:ascii="Times New Roman" w:hAnsi="Times New Roman"/>
                <w:b/>
                <w:bCs/>
                <w:sz w:val="24"/>
                <w:szCs w:val="24"/>
              </w:rPr>
            </w:pPr>
            <w:r w:rsidRPr="008B1465">
              <w:rPr>
                <w:rFonts w:ascii="Times New Roman" w:hAnsi="Times New Roman"/>
                <w:b/>
                <w:bCs/>
                <w:sz w:val="24"/>
                <w:szCs w:val="24"/>
              </w:rPr>
              <w:t>I (%)</w:t>
            </w:r>
          </w:p>
        </w:tc>
        <w:tc>
          <w:tcPr>
            <w:tcW w:w="665" w:type="pct"/>
            <w:gridSpan w:val="2"/>
            <w:tcBorders>
              <w:top w:val="thinThickSmallGap" w:sz="24" w:space="0" w:color="auto"/>
              <w:bottom w:val="thinThickSmallGap" w:sz="24" w:space="0" w:color="auto"/>
            </w:tcBorders>
            <w:shd w:val="clear" w:color="auto" w:fill="auto"/>
            <w:vAlign w:val="bottom"/>
          </w:tcPr>
          <w:p w14:paraId="18A9D3D9" w14:textId="025A65B1" w:rsidR="008945CF" w:rsidRPr="008B1465" w:rsidRDefault="008945CF" w:rsidP="008945CF">
            <w:pPr>
              <w:autoSpaceDE w:val="0"/>
              <w:autoSpaceDN w:val="0"/>
              <w:adjustRightInd w:val="0"/>
              <w:spacing w:before="0" w:beforeAutospacing="0" w:after="0" w:line="240" w:lineRule="auto"/>
              <w:ind w:left="60" w:right="60"/>
              <w:jc w:val="center"/>
              <w:rPr>
                <w:rFonts w:ascii="Times New Roman" w:hAnsi="Times New Roman"/>
                <w:b/>
                <w:bCs/>
                <w:sz w:val="24"/>
                <w:szCs w:val="24"/>
              </w:rPr>
            </w:pPr>
            <w:r w:rsidRPr="008B1465">
              <w:rPr>
                <w:rFonts w:ascii="Times New Roman" w:hAnsi="Times New Roman"/>
                <w:b/>
                <w:bCs/>
                <w:sz w:val="24"/>
                <w:szCs w:val="24"/>
              </w:rPr>
              <w:t>A (%)</w:t>
            </w:r>
          </w:p>
        </w:tc>
        <w:tc>
          <w:tcPr>
            <w:tcW w:w="535" w:type="pct"/>
            <w:gridSpan w:val="2"/>
            <w:tcBorders>
              <w:top w:val="thinThickSmallGap" w:sz="24" w:space="0" w:color="auto"/>
              <w:bottom w:val="thinThickSmallGap" w:sz="24" w:space="0" w:color="auto"/>
            </w:tcBorders>
            <w:shd w:val="clear" w:color="auto" w:fill="auto"/>
            <w:vAlign w:val="bottom"/>
          </w:tcPr>
          <w:p w14:paraId="4630DDBC" w14:textId="11FCEBF6" w:rsidR="008945CF" w:rsidRPr="008B1465" w:rsidRDefault="008945CF" w:rsidP="008945CF">
            <w:pPr>
              <w:autoSpaceDE w:val="0"/>
              <w:autoSpaceDN w:val="0"/>
              <w:adjustRightInd w:val="0"/>
              <w:spacing w:before="0" w:beforeAutospacing="0" w:after="0" w:line="240" w:lineRule="auto"/>
              <w:ind w:left="60" w:right="60"/>
              <w:jc w:val="center"/>
              <w:rPr>
                <w:rFonts w:ascii="Times New Roman" w:hAnsi="Times New Roman"/>
                <w:b/>
                <w:bCs/>
                <w:sz w:val="24"/>
                <w:szCs w:val="24"/>
              </w:rPr>
            </w:pPr>
            <w:r w:rsidRPr="008B1465">
              <w:rPr>
                <w:rFonts w:ascii="Times New Roman" w:hAnsi="Times New Roman"/>
                <w:b/>
                <w:bCs/>
                <w:sz w:val="24"/>
                <w:szCs w:val="24"/>
              </w:rPr>
              <w:t>SA (%)</w:t>
            </w:r>
          </w:p>
        </w:tc>
        <w:tc>
          <w:tcPr>
            <w:tcW w:w="310" w:type="pct"/>
            <w:gridSpan w:val="2"/>
            <w:tcBorders>
              <w:top w:val="thinThickSmallGap" w:sz="24" w:space="0" w:color="auto"/>
              <w:bottom w:val="thinThickSmallGap" w:sz="24" w:space="0" w:color="auto"/>
            </w:tcBorders>
            <w:shd w:val="clear" w:color="auto" w:fill="auto"/>
            <w:vAlign w:val="bottom"/>
          </w:tcPr>
          <w:p w14:paraId="5BB74E16" w14:textId="750FEB3D" w:rsidR="008945CF" w:rsidRPr="008B1465" w:rsidRDefault="008945CF" w:rsidP="008945CF">
            <w:pPr>
              <w:autoSpaceDE w:val="0"/>
              <w:autoSpaceDN w:val="0"/>
              <w:adjustRightInd w:val="0"/>
              <w:spacing w:before="0" w:beforeAutospacing="0" w:after="0" w:line="240" w:lineRule="auto"/>
              <w:ind w:left="60" w:right="60"/>
              <w:jc w:val="center"/>
              <w:rPr>
                <w:rFonts w:ascii="Times New Roman" w:hAnsi="Times New Roman"/>
                <w:b/>
                <w:bCs/>
                <w:sz w:val="24"/>
                <w:szCs w:val="24"/>
              </w:rPr>
            </w:pPr>
            <w:r w:rsidRPr="00AA1F8B">
              <w:rPr>
                <w:rFonts w:ascii="Times New Roman" w:eastAsia="Calibri" w:hAnsi="Times New Roman"/>
                <w:b/>
                <w:bCs/>
                <w:sz w:val="28"/>
                <w:szCs w:val="28"/>
              </w:rPr>
              <w:t xml:space="preserve">  </w:t>
            </w:r>
            <m:oMath>
              <m:acc>
                <m:accPr>
                  <m:chr m:val="̅"/>
                  <m:ctrlPr>
                    <w:rPr>
                      <w:rFonts w:ascii="Cambria Math" w:eastAsia="Calibri" w:hAnsi="Cambria Math"/>
                      <w:b/>
                      <w:bCs/>
                      <w:i/>
                      <w:sz w:val="28"/>
                      <w:szCs w:val="28"/>
                    </w:rPr>
                  </m:ctrlPr>
                </m:accPr>
                <m:e>
                  <m:r>
                    <m:rPr>
                      <m:sty m:val="bi"/>
                    </m:rPr>
                    <w:rPr>
                      <w:rFonts w:ascii="Cambria Math" w:eastAsia="Calibri" w:hAnsi="Cambria Math"/>
                      <w:sz w:val="28"/>
                      <w:szCs w:val="28"/>
                    </w:rPr>
                    <m:t>x</m:t>
                  </m:r>
                </m:e>
              </m:acc>
            </m:oMath>
          </w:p>
        </w:tc>
        <w:tc>
          <w:tcPr>
            <w:tcW w:w="356" w:type="pct"/>
            <w:tcBorders>
              <w:top w:val="thinThickSmallGap" w:sz="24" w:space="0" w:color="auto"/>
              <w:bottom w:val="thinThickSmallGap" w:sz="24" w:space="0" w:color="auto"/>
            </w:tcBorders>
            <w:shd w:val="clear" w:color="auto" w:fill="auto"/>
            <w:vAlign w:val="bottom"/>
          </w:tcPr>
          <w:p w14:paraId="5F8FBBFD" w14:textId="54076709" w:rsidR="008945CF" w:rsidRPr="008B1465" w:rsidRDefault="008945CF" w:rsidP="00957384">
            <w:pPr>
              <w:autoSpaceDE w:val="0"/>
              <w:autoSpaceDN w:val="0"/>
              <w:adjustRightInd w:val="0"/>
              <w:spacing w:before="0" w:beforeAutospacing="0" w:after="0" w:line="240" w:lineRule="auto"/>
              <w:ind w:left="60" w:right="60"/>
              <w:rPr>
                <w:rFonts w:ascii="Times New Roman" w:hAnsi="Times New Roman"/>
                <w:b/>
                <w:bCs/>
                <w:sz w:val="24"/>
                <w:szCs w:val="24"/>
              </w:rPr>
            </w:pPr>
            <w:r>
              <w:rPr>
                <w:rFonts w:ascii="Times New Roman" w:eastAsia="Calibri" w:hAnsi="Times New Roman"/>
                <w:b/>
                <w:bCs/>
              </w:rPr>
              <w:t>S</w:t>
            </w:r>
            <w:r w:rsidR="00957384">
              <w:rPr>
                <w:rFonts w:ascii="Times New Roman" w:eastAsia="Calibri" w:hAnsi="Times New Roman"/>
                <w:b/>
                <w:bCs/>
              </w:rPr>
              <w:t>T</w:t>
            </w:r>
            <w:r>
              <w:rPr>
                <w:rFonts w:ascii="Times New Roman" w:eastAsia="Calibri" w:hAnsi="Times New Roman"/>
                <w:b/>
                <w:bCs/>
              </w:rPr>
              <w:t xml:space="preserve">D </w:t>
            </w:r>
          </w:p>
        </w:tc>
      </w:tr>
      <w:tr w:rsidR="002542F2" w:rsidRPr="008B1465" w14:paraId="12861877" w14:textId="77777777" w:rsidTr="00ED0111">
        <w:trPr>
          <w:cantSplit/>
          <w:trHeight w:val="773"/>
        </w:trPr>
        <w:tc>
          <w:tcPr>
            <w:tcW w:w="238" w:type="pct"/>
            <w:tcBorders>
              <w:top w:val="thinThickSmallGap" w:sz="24" w:space="0" w:color="auto"/>
            </w:tcBorders>
            <w:shd w:val="clear" w:color="auto" w:fill="auto"/>
          </w:tcPr>
          <w:p w14:paraId="6071BBE2" w14:textId="77777777" w:rsidR="002542F2" w:rsidRPr="008B1465" w:rsidRDefault="002542F2" w:rsidP="002542F2">
            <w:pPr>
              <w:pStyle w:val="ListParagraph"/>
              <w:numPr>
                <w:ilvl w:val="0"/>
                <w:numId w:val="28"/>
              </w:numPr>
              <w:autoSpaceDE w:val="0"/>
              <w:autoSpaceDN w:val="0"/>
              <w:adjustRightInd w:val="0"/>
              <w:spacing w:before="0" w:beforeAutospacing="0" w:line="240" w:lineRule="auto"/>
              <w:ind w:right="60"/>
              <w:rPr>
                <w:rFonts w:ascii="Times New Roman" w:hAnsi="Times New Roman"/>
                <w:sz w:val="18"/>
                <w:szCs w:val="18"/>
              </w:rPr>
            </w:pPr>
          </w:p>
        </w:tc>
        <w:tc>
          <w:tcPr>
            <w:tcW w:w="1272" w:type="pct"/>
            <w:tcBorders>
              <w:top w:val="thinThickSmallGap" w:sz="24" w:space="0" w:color="auto"/>
            </w:tcBorders>
            <w:shd w:val="clear" w:color="auto" w:fill="auto"/>
          </w:tcPr>
          <w:p w14:paraId="0641BC73"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Financial reports are prepared and presented by the ethical guidelines of the university</w:t>
            </w:r>
          </w:p>
        </w:tc>
        <w:tc>
          <w:tcPr>
            <w:tcW w:w="198" w:type="pct"/>
            <w:tcBorders>
              <w:top w:val="thinThickSmallGap" w:sz="24" w:space="0" w:color="auto"/>
            </w:tcBorders>
            <w:shd w:val="clear" w:color="auto" w:fill="auto"/>
          </w:tcPr>
          <w:p w14:paraId="22E7381C" w14:textId="77777777" w:rsidR="002542F2" w:rsidRPr="008B1465"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12</w:t>
            </w:r>
          </w:p>
        </w:tc>
        <w:tc>
          <w:tcPr>
            <w:tcW w:w="288" w:type="pct"/>
            <w:tcBorders>
              <w:top w:val="thinThickSmallGap" w:sz="24" w:space="0" w:color="auto"/>
            </w:tcBorders>
            <w:shd w:val="clear" w:color="auto" w:fill="auto"/>
          </w:tcPr>
          <w:p w14:paraId="1B6043B8"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(3.3)</w:t>
            </w:r>
          </w:p>
        </w:tc>
        <w:tc>
          <w:tcPr>
            <w:tcW w:w="188" w:type="pct"/>
            <w:tcBorders>
              <w:top w:val="thinThickSmallGap" w:sz="24" w:space="0" w:color="auto"/>
            </w:tcBorders>
            <w:shd w:val="clear" w:color="auto" w:fill="auto"/>
          </w:tcPr>
          <w:p w14:paraId="5712B080" w14:textId="77777777" w:rsidR="002542F2" w:rsidRPr="008B1465"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14</w:t>
            </w:r>
          </w:p>
        </w:tc>
        <w:tc>
          <w:tcPr>
            <w:tcW w:w="334" w:type="pct"/>
            <w:tcBorders>
              <w:top w:val="thinThickSmallGap" w:sz="24" w:space="0" w:color="auto"/>
            </w:tcBorders>
            <w:shd w:val="clear" w:color="auto" w:fill="auto"/>
          </w:tcPr>
          <w:p w14:paraId="030A035C"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(3.8)</w:t>
            </w:r>
          </w:p>
        </w:tc>
        <w:tc>
          <w:tcPr>
            <w:tcW w:w="236" w:type="pct"/>
            <w:tcBorders>
              <w:top w:val="thinThickSmallGap" w:sz="24" w:space="0" w:color="auto"/>
            </w:tcBorders>
            <w:shd w:val="clear" w:color="auto" w:fill="auto"/>
          </w:tcPr>
          <w:p w14:paraId="322F8044" w14:textId="77777777" w:rsidR="002542F2" w:rsidRPr="008B1465"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66</w:t>
            </w:r>
          </w:p>
        </w:tc>
        <w:tc>
          <w:tcPr>
            <w:tcW w:w="380" w:type="pct"/>
            <w:tcBorders>
              <w:top w:val="thinThickSmallGap" w:sz="24" w:space="0" w:color="auto"/>
            </w:tcBorders>
            <w:shd w:val="clear" w:color="auto" w:fill="auto"/>
          </w:tcPr>
          <w:p w14:paraId="6358921C"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(18.1)</w:t>
            </w:r>
          </w:p>
        </w:tc>
        <w:tc>
          <w:tcPr>
            <w:tcW w:w="318" w:type="pct"/>
            <w:tcBorders>
              <w:top w:val="thinThickSmallGap" w:sz="24" w:space="0" w:color="auto"/>
            </w:tcBorders>
            <w:shd w:val="clear" w:color="auto" w:fill="auto"/>
          </w:tcPr>
          <w:p w14:paraId="57EA321C" w14:textId="77777777" w:rsidR="002542F2" w:rsidRPr="008B1465"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198</w:t>
            </w:r>
          </w:p>
        </w:tc>
        <w:tc>
          <w:tcPr>
            <w:tcW w:w="347" w:type="pct"/>
            <w:tcBorders>
              <w:top w:val="thinThickSmallGap" w:sz="24" w:space="0" w:color="auto"/>
            </w:tcBorders>
            <w:shd w:val="clear" w:color="auto" w:fill="auto"/>
          </w:tcPr>
          <w:p w14:paraId="4E913244"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(54.4)</w:t>
            </w:r>
          </w:p>
        </w:tc>
        <w:tc>
          <w:tcPr>
            <w:tcW w:w="236" w:type="pct"/>
            <w:tcBorders>
              <w:top w:val="thinThickSmallGap" w:sz="24" w:space="0" w:color="auto"/>
            </w:tcBorders>
            <w:shd w:val="clear" w:color="auto" w:fill="auto"/>
          </w:tcPr>
          <w:p w14:paraId="3342293B" w14:textId="77777777" w:rsidR="002542F2" w:rsidRPr="008B1465"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74</w:t>
            </w:r>
          </w:p>
        </w:tc>
        <w:tc>
          <w:tcPr>
            <w:tcW w:w="299" w:type="pct"/>
            <w:tcBorders>
              <w:top w:val="thinThickSmallGap" w:sz="24" w:space="0" w:color="auto"/>
            </w:tcBorders>
            <w:shd w:val="clear" w:color="auto" w:fill="auto"/>
          </w:tcPr>
          <w:p w14:paraId="0C347DB3"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(20.3)</w:t>
            </w:r>
          </w:p>
        </w:tc>
        <w:tc>
          <w:tcPr>
            <w:tcW w:w="285" w:type="pct"/>
            <w:tcBorders>
              <w:top w:val="thinThickSmallGap" w:sz="24" w:space="0" w:color="auto"/>
            </w:tcBorders>
            <w:shd w:val="clear" w:color="auto" w:fill="auto"/>
          </w:tcPr>
          <w:p w14:paraId="54C6F785" w14:textId="73216633" w:rsidR="002542F2" w:rsidRPr="00A71921"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A71921">
              <w:rPr>
                <w:rFonts w:ascii="Times New Roman" w:hAnsi="Times New Roman"/>
                <w:color w:val="010205"/>
                <w:sz w:val="18"/>
                <w:szCs w:val="18"/>
              </w:rPr>
              <w:t>3.85</w:t>
            </w:r>
          </w:p>
        </w:tc>
        <w:tc>
          <w:tcPr>
            <w:tcW w:w="381" w:type="pct"/>
            <w:gridSpan w:val="2"/>
            <w:tcBorders>
              <w:top w:val="thinThickSmallGap" w:sz="24" w:space="0" w:color="auto"/>
              <w:left w:val="nil"/>
            </w:tcBorders>
            <w:shd w:val="clear" w:color="auto" w:fill="auto"/>
          </w:tcPr>
          <w:p w14:paraId="70128BB2" w14:textId="26B32246" w:rsidR="002542F2" w:rsidRPr="00A71921"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A71921">
              <w:rPr>
                <w:rFonts w:ascii="Times New Roman" w:hAnsi="Times New Roman"/>
                <w:color w:val="010205"/>
                <w:sz w:val="18"/>
                <w:szCs w:val="18"/>
              </w:rPr>
              <w:t>.902</w:t>
            </w:r>
          </w:p>
        </w:tc>
      </w:tr>
      <w:tr w:rsidR="002542F2" w:rsidRPr="008B1465" w14:paraId="189F1615" w14:textId="77777777" w:rsidTr="00ED0111">
        <w:trPr>
          <w:cantSplit/>
          <w:trHeight w:val="971"/>
        </w:trPr>
        <w:tc>
          <w:tcPr>
            <w:tcW w:w="238" w:type="pct"/>
            <w:shd w:val="clear" w:color="auto" w:fill="auto"/>
          </w:tcPr>
          <w:p w14:paraId="3D6536D1" w14:textId="77777777" w:rsidR="002542F2" w:rsidRPr="008B1465" w:rsidRDefault="002542F2" w:rsidP="002542F2">
            <w:pPr>
              <w:pStyle w:val="ListParagraph"/>
              <w:numPr>
                <w:ilvl w:val="0"/>
                <w:numId w:val="28"/>
              </w:numPr>
              <w:autoSpaceDE w:val="0"/>
              <w:autoSpaceDN w:val="0"/>
              <w:adjustRightInd w:val="0"/>
              <w:spacing w:before="0" w:beforeAutospacing="0" w:after="0" w:line="240" w:lineRule="auto"/>
              <w:ind w:right="60"/>
              <w:rPr>
                <w:rFonts w:ascii="Times New Roman" w:hAnsi="Times New Roman"/>
                <w:sz w:val="18"/>
                <w:szCs w:val="18"/>
              </w:rPr>
            </w:pPr>
          </w:p>
        </w:tc>
        <w:tc>
          <w:tcPr>
            <w:tcW w:w="1272" w:type="pct"/>
            <w:shd w:val="clear" w:color="auto" w:fill="auto"/>
          </w:tcPr>
          <w:p w14:paraId="6EF4C27F"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Ethical standards are duly observed in the presentation of the financial reporting procedures at my university</w:t>
            </w:r>
          </w:p>
        </w:tc>
        <w:tc>
          <w:tcPr>
            <w:tcW w:w="198" w:type="pct"/>
            <w:shd w:val="clear" w:color="auto" w:fill="auto"/>
          </w:tcPr>
          <w:p w14:paraId="3ED6626C" w14:textId="77777777" w:rsidR="002542F2" w:rsidRPr="008B1465"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0</w:t>
            </w:r>
          </w:p>
        </w:tc>
        <w:tc>
          <w:tcPr>
            <w:tcW w:w="288" w:type="pct"/>
            <w:shd w:val="clear" w:color="auto" w:fill="auto"/>
          </w:tcPr>
          <w:p w14:paraId="418A8C72"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(.0)</w:t>
            </w:r>
          </w:p>
        </w:tc>
        <w:tc>
          <w:tcPr>
            <w:tcW w:w="188" w:type="pct"/>
            <w:shd w:val="clear" w:color="auto" w:fill="auto"/>
          </w:tcPr>
          <w:p w14:paraId="7B3AC8A1" w14:textId="77777777" w:rsidR="002542F2" w:rsidRPr="008B1465"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10</w:t>
            </w:r>
          </w:p>
        </w:tc>
        <w:tc>
          <w:tcPr>
            <w:tcW w:w="334" w:type="pct"/>
            <w:shd w:val="clear" w:color="auto" w:fill="auto"/>
          </w:tcPr>
          <w:p w14:paraId="192FB2D0"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(2.7)</w:t>
            </w:r>
          </w:p>
        </w:tc>
        <w:tc>
          <w:tcPr>
            <w:tcW w:w="236" w:type="pct"/>
            <w:shd w:val="clear" w:color="auto" w:fill="auto"/>
          </w:tcPr>
          <w:p w14:paraId="55EBA5CF" w14:textId="77777777" w:rsidR="002542F2" w:rsidRPr="008B1465"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58</w:t>
            </w:r>
          </w:p>
        </w:tc>
        <w:tc>
          <w:tcPr>
            <w:tcW w:w="380" w:type="pct"/>
            <w:shd w:val="clear" w:color="auto" w:fill="auto"/>
          </w:tcPr>
          <w:p w14:paraId="4C44E4A5"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(15.9)</w:t>
            </w:r>
          </w:p>
        </w:tc>
        <w:tc>
          <w:tcPr>
            <w:tcW w:w="318" w:type="pct"/>
            <w:shd w:val="clear" w:color="auto" w:fill="auto"/>
          </w:tcPr>
          <w:p w14:paraId="0A045DBE" w14:textId="77777777" w:rsidR="002542F2" w:rsidRPr="008B1465"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206</w:t>
            </w:r>
          </w:p>
        </w:tc>
        <w:tc>
          <w:tcPr>
            <w:tcW w:w="347" w:type="pct"/>
            <w:shd w:val="clear" w:color="auto" w:fill="auto"/>
          </w:tcPr>
          <w:p w14:paraId="648D06A8"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(56.6)</w:t>
            </w:r>
          </w:p>
        </w:tc>
        <w:tc>
          <w:tcPr>
            <w:tcW w:w="236" w:type="pct"/>
            <w:shd w:val="clear" w:color="auto" w:fill="auto"/>
          </w:tcPr>
          <w:p w14:paraId="1145438F" w14:textId="77777777" w:rsidR="002542F2" w:rsidRPr="008B1465"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90</w:t>
            </w:r>
          </w:p>
        </w:tc>
        <w:tc>
          <w:tcPr>
            <w:tcW w:w="299" w:type="pct"/>
            <w:shd w:val="clear" w:color="auto" w:fill="auto"/>
          </w:tcPr>
          <w:p w14:paraId="293D8756"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(24.7)</w:t>
            </w:r>
          </w:p>
        </w:tc>
        <w:tc>
          <w:tcPr>
            <w:tcW w:w="285" w:type="pct"/>
            <w:shd w:val="clear" w:color="auto" w:fill="auto"/>
          </w:tcPr>
          <w:p w14:paraId="387DC589" w14:textId="65DD480B" w:rsidR="002542F2" w:rsidRPr="00A71921"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A71921">
              <w:rPr>
                <w:rFonts w:ascii="Times New Roman" w:hAnsi="Times New Roman"/>
                <w:color w:val="010205"/>
                <w:sz w:val="18"/>
                <w:szCs w:val="18"/>
              </w:rPr>
              <w:t>4.03</w:t>
            </w:r>
          </w:p>
        </w:tc>
        <w:tc>
          <w:tcPr>
            <w:tcW w:w="381" w:type="pct"/>
            <w:gridSpan w:val="2"/>
            <w:tcBorders>
              <w:left w:val="nil"/>
            </w:tcBorders>
            <w:shd w:val="clear" w:color="auto" w:fill="auto"/>
          </w:tcPr>
          <w:p w14:paraId="4C0FE3B3" w14:textId="2BA5BB13" w:rsidR="002542F2" w:rsidRPr="00A71921"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A71921">
              <w:rPr>
                <w:rFonts w:ascii="Times New Roman" w:hAnsi="Times New Roman"/>
                <w:color w:val="010205"/>
                <w:sz w:val="18"/>
                <w:szCs w:val="18"/>
              </w:rPr>
              <w:t>.719</w:t>
            </w:r>
          </w:p>
        </w:tc>
      </w:tr>
      <w:tr w:rsidR="002542F2" w:rsidRPr="008B1465" w14:paraId="0FED2528" w14:textId="77777777" w:rsidTr="008945CF">
        <w:trPr>
          <w:cantSplit/>
          <w:trHeight w:val="845"/>
        </w:trPr>
        <w:tc>
          <w:tcPr>
            <w:tcW w:w="238" w:type="pct"/>
            <w:shd w:val="clear" w:color="auto" w:fill="auto"/>
          </w:tcPr>
          <w:p w14:paraId="2A1EE51E" w14:textId="77777777" w:rsidR="002542F2" w:rsidRPr="008B1465" w:rsidRDefault="002542F2" w:rsidP="002542F2">
            <w:pPr>
              <w:pStyle w:val="ListParagraph"/>
              <w:numPr>
                <w:ilvl w:val="0"/>
                <w:numId w:val="28"/>
              </w:numPr>
              <w:autoSpaceDE w:val="0"/>
              <w:autoSpaceDN w:val="0"/>
              <w:adjustRightInd w:val="0"/>
              <w:spacing w:before="0" w:beforeAutospacing="0" w:after="0" w:line="240" w:lineRule="auto"/>
              <w:ind w:right="60"/>
              <w:rPr>
                <w:rFonts w:ascii="Times New Roman" w:hAnsi="Times New Roman"/>
                <w:sz w:val="18"/>
                <w:szCs w:val="18"/>
              </w:rPr>
            </w:pPr>
          </w:p>
        </w:tc>
        <w:tc>
          <w:tcPr>
            <w:tcW w:w="1272" w:type="pct"/>
            <w:shd w:val="clear" w:color="auto" w:fill="auto"/>
          </w:tcPr>
          <w:p w14:paraId="7E48804B"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The quality of disclosure practice for financial reporting is compliant with financial reporting standards</w:t>
            </w:r>
          </w:p>
        </w:tc>
        <w:tc>
          <w:tcPr>
            <w:tcW w:w="198" w:type="pct"/>
            <w:shd w:val="clear" w:color="auto" w:fill="auto"/>
          </w:tcPr>
          <w:p w14:paraId="3E6EB9A1" w14:textId="77777777" w:rsidR="002542F2" w:rsidRPr="008B1465"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4</w:t>
            </w:r>
          </w:p>
        </w:tc>
        <w:tc>
          <w:tcPr>
            <w:tcW w:w="288" w:type="pct"/>
            <w:shd w:val="clear" w:color="auto" w:fill="auto"/>
          </w:tcPr>
          <w:p w14:paraId="38D41D0C"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(1.1)</w:t>
            </w:r>
          </w:p>
        </w:tc>
        <w:tc>
          <w:tcPr>
            <w:tcW w:w="188" w:type="pct"/>
            <w:shd w:val="clear" w:color="auto" w:fill="auto"/>
          </w:tcPr>
          <w:p w14:paraId="3C6B1ABE" w14:textId="77777777" w:rsidR="002542F2" w:rsidRPr="008B1465"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14</w:t>
            </w:r>
          </w:p>
        </w:tc>
        <w:tc>
          <w:tcPr>
            <w:tcW w:w="334" w:type="pct"/>
            <w:shd w:val="clear" w:color="auto" w:fill="auto"/>
          </w:tcPr>
          <w:p w14:paraId="73EDCC81"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(3.8)</w:t>
            </w:r>
          </w:p>
        </w:tc>
        <w:tc>
          <w:tcPr>
            <w:tcW w:w="236" w:type="pct"/>
            <w:shd w:val="clear" w:color="auto" w:fill="auto"/>
          </w:tcPr>
          <w:p w14:paraId="04CB56C5" w14:textId="77777777" w:rsidR="002542F2" w:rsidRPr="008B1465"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68</w:t>
            </w:r>
          </w:p>
        </w:tc>
        <w:tc>
          <w:tcPr>
            <w:tcW w:w="380" w:type="pct"/>
            <w:shd w:val="clear" w:color="auto" w:fill="auto"/>
          </w:tcPr>
          <w:p w14:paraId="07CC783F"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(18.7)</w:t>
            </w:r>
          </w:p>
        </w:tc>
        <w:tc>
          <w:tcPr>
            <w:tcW w:w="318" w:type="pct"/>
            <w:shd w:val="clear" w:color="auto" w:fill="auto"/>
          </w:tcPr>
          <w:p w14:paraId="4A2DB099" w14:textId="77777777" w:rsidR="002542F2" w:rsidRPr="008B1465"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190</w:t>
            </w:r>
          </w:p>
        </w:tc>
        <w:tc>
          <w:tcPr>
            <w:tcW w:w="347" w:type="pct"/>
            <w:shd w:val="clear" w:color="auto" w:fill="auto"/>
          </w:tcPr>
          <w:p w14:paraId="55DCC1C3"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(52.2)</w:t>
            </w:r>
          </w:p>
        </w:tc>
        <w:tc>
          <w:tcPr>
            <w:tcW w:w="236" w:type="pct"/>
            <w:shd w:val="clear" w:color="auto" w:fill="auto"/>
          </w:tcPr>
          <w:p w14:paraId="11022A10" w14:textId="77777777" w:rsidR="002542F2" w:rsidRPr="008B1465"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88</w:t>
            </w:r>
          </w:p>
        </w:tc>
        <w:tc>
          <w:tcPr>
            <w:tcW w:w="299" w:type="pct"/>
            <w:shd w:val="clear" w:color="auto" w:fill="auto"/>
          </w:tcPr>
          <w:p w14:paraId="1B146196"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(24.2)</w:t>
            </w:r>
          </w:p>
        </w:tc>
        <w:tc>
          <w:tcPr>
            <w:tcW w:w="285" w:type="pct"/>
            <w:shd w:val="clear" w:color="auto" w:fill="auto"/>
          </w:tcPr>
          <w:p w14:paraId="77F06CB0" w14:textId="65B1F326" w:rsidR="002542F2" w:rsidRPr="00A71921"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A71921">
              <w:rPr>
                <w:rFonts w:ascii="Times New Roman" w:hAnsi="Times New Roman"/>
                <w:color w:val="010205"/>
                <w:sz w:val="18"/>
                <w:szCs w:val="18"/>
              </w:rPr>
              <w:t>3.95</w:t>
            </w:r>
          </w:p>
        </w:tc>
        <w:tc>
          <w:tcPr>
            <w:tcW w:w="381" w:type="pct"/>
            <w:gridSpan w:val="2"/>
            <w:shd w:val="clear" w:color="auto" w:fill="auto"/>
          </w:tcPr>
          <w:p w14:paraId="5D869ACA" w14:textId="381B902F" w:rsidR="002542F2" w:rsidRPr="00A71921"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A71921">
              <w:rPr>
                <w:rFonts w:ascii="Times New Roman" w:hAnsi="Times New Roman"/>
                <w:color w:val="010205"/>
                <w:sz w:val="18"/>
                <w:szCs w:val="18"/>
              </w:rPr>
              <w:t>.825</w:t>
            </w:r>
          </w:p>
        </w:tc>
      </w:tr>
      <w:tr w:rsidR="002542F2" w:rsidRPr="008B1465" w14:paraId="4E98A69E" w14:textId="77777777" w:rsidTr="008945CF">
        <w:trPr>
          <w:cantSplit/>
          <w:trHeight w:val="584"/>
        </w:trPr>
        <w:tc>
          <w:tcPr>
            <w:tcW w:w="238" w:type="pct"/>
            <w:shd w:val="clear" w:color="auto" w:fill="auto"/>
          </w:tcPr>
          <w:p w14:paraId="17B726FB" w14:textId="77777777" w:rsidR="002542F2" w:rsidRPr="008B1465" w:rsidRDefault="002542F2" w:rsidP="002542F2">
            <w:pPr>
              <w:pStyle w:val="ListParagraph"/>
              <w:numPr>
                <w:ilvl w:val="0"/>
                <w:numId w:val="28"/>
              </w:numPr>
              <w:autoSpaceDE w:val="0"/>
              <w:autoSpaceDN w:val="0"/>
              <w:adjustRightInd w:val="0"/>
              <w:spacing w:before="0" w:beforeAutospacing="0" w:after="0" w:line="240" w:lineRule="auto"/>
              <w:ind w:right="60"/>
              <w:rPr>
                <w:rFonts w:ascii="Times New Roman" w:hAnsi="Times New Roman"/>
                <w:sz w:val="18"/>
                <w:szCs w:val="18"/>
              </w:rPr>
            </w:pPr>
          </w:p>
        </w:tc>
        <w:tc>
          <w:tcPr>
            <w:tcW w:w="1272" w:type="pct"/>
            <w:shd w:val="clear" w:color="auto" w:fill="auto"/>
          </w:tcPr>
          <w:p w14:paraId="685F2E8B"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Disclosure of internal control reports increases the auditory role</w:t>
            </w:r>
          </w:p>
        </w:tc>
        <w:tc>
          <w:tcPr>
            <w:tcW w:w="198" w:type="pct"/>
            <w:shd w:val="clear" w:color="auto" w:fill="auto"/>
          </w:tcPr>
          <w:p w14:paraId="26896FA7" w14:textId="77777777" w:rsidR="002542F2" w:rsidRPr="008B1465"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4</w:t>
            </w:r>
          </w:p>
        </w:tc>
        <w:tc>
          <w:tcPr>
            <w:tcW w:w="288" w:type="pct"/>
            <w:shd w:val="clear" w:color="auto" w:fill="auto"/>
          </w:tcPr>
          <w:p w14:paraId="018D1564"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(1.1)</w:t>
            </w:r>
          </w:p>
        </w:tc>
        <w:tc>
          <w:tcPr>
            <w:tcW w:w="188" w:type="pct"/>
            <w:shd w:val="clear" w:color="auto" w:fill="auto"/>
          </w:tcPr>
          <w:p w14:paraId="1C7A47E4" w14:textId="77777777" w:rsidR="002542F2" w:rsidRPr="008B1465"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10</w:t>
            </w:r>
          </w:p>
        </w:tc>
        <w:tc>
          <w:tcPr>
            <w:tcW w:w="334" w:type="pct"/>
            <w:shd w:val="clear" w:color="auto" w:fill="auto"/>
          </w:tcPr>
          <w:p w14:paraId="1A24AFE7"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(2.7)</w:t>
            </w:r>
          </w:p>
        </w:tc>
        <w:tc>
          <w:tcPr>
            <w:tcW w:w="236" w:type="pct"/>
            <w:shd w:val="clear" w:color="auto" w:fill="auto"/>
          </w:tcPr>
          <w:p w14:paraId="0C7CE722" w14:textId="77777777" w:rsidR="002542F2" w:rsidRPr="008B1465"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76</w:t>
            </w:r>
          </w:p>
        </w:tc>
        <w:tc>
          <w:tcPr>
            <w:tcW w:w="380" w:type="pct"/>
            <w:shd w:val="clear" w:color="auto" w:fill="auto"/>
          </w:tcPr>
          <w:p w14:paraId="2EBBB3A5"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(20.9)</w:t>
            </w:r>
          </w:p>
        </w:tc>
        <w:tc>
          <w:tcPr>
            <w:tcW w:w="318" w:type="pct"/>
            <w:shd w:val="clear" w:color="auto" w:fill="auto"/>
          </w:tcPr>
          <w:p w14:paraId="71E78A2E" w14:textId="77777777" w:rsidR="002542F2" w:rsidRPr="008B1465"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198</w:t>
            </w:r>
          </w:p>
        </w:tc>
        <w:tc>
          <w:tcPr>
            <w:tcW w:w="347" w:type="pct"/>
            <w:shd w:val="clear" w:color="auto" w:fill="auto"/>
          </w:tcPr>
          <w:p w14:paraId="5AAD08F9"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(54.4)</w:t>
            </w:r>
          </w:p>
        </w:tc>
        <w:tc>
          <w:tcPr>
            <w:tcW w:w="236" w:type="pct"/>
            <w:shd w:val="clear" w:color="auto" w:fill="auto"/>
          </w:tcPr>
          <w:p w14:paraId="3B3E1D3C" w14:textId="77777777" w:rsidR="002542F2" w:rsidRPr="008B1465"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76</w:t>
            </w:r>
          </w:p>
        </w:tc>
        <w:tc>
          <w:tcPr>
            <w:tcW w:w="299" w:type="pct"/>
            <w:shd w:val="clear" w:color="auto" w:fill="auto"/>
          </w:tcPr>
          <w:p w14:paraId="58F46C66"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(20.9)</w:t>
            </w:r>
          </w:p>
        </w:tc>
        <w:tc>
          <w:tcPr>
            <w:tcW w:w="285" w:type="pct"/>
            <w:shd w:val="clear" w:color="auto" w:fill="auto"/>
          </w:tcPr>
          <w:p w14:paraId="33EF6A95" w14:textId="39336957" w:rsidR="002542F2" w:rsidRPr="00A71921"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A71921">
              <w:rPr>
                <w:rFonts w:ascii="Times New Roman" w:hAnsi="Times New Roman"/>
                <w:color w:val="010205"/>
                <w:sz w:val="18"/>
                <w:szCs w:val="18"/>
              </w:rPr>
              <w:t>3.91</w:t>
            </w:r>
          </w:p>
        </w:tc>
        <w:tc>
          <w:tcPr>
            <w:tcW w:w="381" w:type="pct"/>
            <w:gridSpan w:val="2"/>
            <w:shd w:val="clear" w:color="auto" w:fill="auto"/>
          </w:tcPr>
          <w:p w14:paraId="02D8B4B1" w14:textId="7ED21DD3" w:rsidR="002542F2" w:rsidRPr="00A71921"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A71921">
              <w:rPr>
                <w:rFonts w:ascii="Times New Roman" w:hAnsi="Times New Roman"/>
                <w:color w:val="010205"/>
                <w:sz w:val="18"/>
                <w:szCs w:val="18"/>
              </w:rPr>
              <w:t>.788</w:t>
            </w:r>
          </w:p>
        </w:tc>
      </w:tr>
      <w:tr w:rsidR="002542F2" w:rsidRPr="008B1465" w14:paraId="556D96D7" w14:textId="77777777" w:rsidTr="008945CF">
        <w:trPr>
          <w:cantSplit/>
          <w:trHeight w:val="1070"/>
        </w:trPr>
        <w:tc>
          <w:tcPr>
            <w:tcW w:w="238" w:type="pct"/>
            <w:shd w:val="clear" w:color="auto" w:fill="auto"/>
          </w:tcPr>
          <w:p w14:paraId="513CDDB5" w14:textId="77777777" w:rsidR="002542F2" w:rsidRPr="008B1465" w:rsidRDefault="002542F2" w:rsidP="002542F2">
            <w:pPr>
              <w:pStyle w:val="ListParagraph"/>
              <w:numPr>
                <w:ilvl w:val="0"/>
                <w:numId w:val="28"/>
              </w:numPr>
              <w:autoSpaceDE w:val="0"/>
              <w:autoSpaceDN w:val="0"/>
              <w:adjustRightInd w:val="0"/>
              <w:spacing w:before="0" w:beforeAutospacing="0" w:after="0" w:line="240" w:lineRule="auto"/>
              <w:ind w:right="60"/>
              <w:rPr>
                <w:rFonts w:ascii="Times New Roman" w:hAnsi="Times New Roman"/>
                <w:sz w:val="18"/>
                <w:szCs w:val="18"/>
              </w:rPr>
            </w:pPr>
          </w:p>
        </w:tc>
        <w:tc>
          <w:tcPr>
            <w:tcW w:w="1272" w:type="pct"/>
            <w:shd w:val="clear" w:color="auto" w:fill="auto"/>
          </w:tcPr>
          <w:p w14:paraId="27123F39"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The existence of recommendations and advice about potential improvement in the reports leads to improvement in the quality of financial reporting</w:t>
            </w:r>
          </w:p>
        </w:tc>
        <w:tc>
          <w:tcPr>
            <w:tcW w:w="198" w:type="pct"/>
            <w:shd w:val="clear" w:color="auto" w:fill="auto"/>
          </w:tcPr>
          <w:p w14:paraId="021038B7" w14:textId="77777777" w:rsidR="002542F2" w:rsidRPr="008B1465"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6</w:t>
            </w:r>
          </w:p>
        </w:tc>
        <w:tc>
          <w:tcPr>
            <w:tcW w:w="288" w:type="pct"/>
            <w:shd w:val="clear" w:color="auto" w:fill="auto"/>
          </w:tcPr>
          <w:p w14:paraId="435C7123"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(1.6)</w:t>
            </w:r>
          </w:p>
        </w:tc>
        <w:tc>
          <w:tcPr>
            <w:tcW w:w="188" w:type="pct"/>
            <w:shd w:val="clear" w:color="auto" w:fill="auto"/>
          </w:tcPr>
          <w:p w14:paraId="4C6D2F72" w14:textId="77777777" w:rsidR="002542F2" w:rsidRPr="008B1465"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10</w:t>
            </w:r>
          </w:p>
        </w:tc>
        <w:tc>
          <w:tcPr>
            <w:tcW w:w="334" w:type="pct"/>
            <w:shd w:val="clear" w:color="auto" w:fill="auto"/>
          </w:tcPr>
          <w:p w14:paraId="13C21031"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(2.7)</w:t>
            </w:r>
          </w:p>
        </w:tc>
        <w:tc>
          <w:tcPr>
            <w:tcW w:w="236" w:type="pct"/>
            <w:shd w:val="clear" w:color="auto" w:fill="auto"/>
          </w:tcPr>
          <w:p w14:paraId="16F3F13C" w14:textId="77777777" w:rsidR="002542F2" w:rsidRPr="008B1465"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46</w:t>
            </w:r>
          </w:p>
        </w:tc>
        <w:tc>
          <w:tcPr>
            <w:tcW w:w="380" w:type="pct"/>
            <w:shd w:val="clear" w:color="auto" w:fill="auto"/>
          </w:tcPr>
          <w:p w14:paraId="277A3E93"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(12.6)</w:t>
            </w:r>
          </w:p>
        </w:tc>
        <w:tc>
          <w:tcPr>
            <w:tcW w:w="318" w:type="pct"/>
            <w:shd w:val="clear" w:color="auto" w:fill="auto"/>
          </w:tcPr>
          <w:p w14:paraId="17BF5496" w14:textId="77777777" w:rsidR="002542F2" w:rsidRPr="008B1465"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226</w:t>
            </w:r>
          </w:p>
        </w:tc>
        <w:tc>
          <w:tcPr>
            <w:tcW w:w="347" w:type="pct"/>
            <w:shd w:val="clear" w:color="auto" w:fill="auto"/>
          </w:tcPr>
          <w:p w14:paraId="221CC766"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(62.1)</w:t>
            </w:r>
          </w:p>
        </w:tc>
        <w:tc>
          <w:tcPr>
            <w:tcW w:w="236" w:type="pct"/>
            <w:shd w:val="clear" w:color="auto" w:fill="auto"/>
          </w:tcPr>
          <w:p w14:paraId="451A63C7" w14:textId="77777777" w:rsidR="002542F2" w:rsidRPr="008B1465"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76</w:t>
            </w:r>
          </w:p>
        </w:tc>
        <w:tc>
          <w:tcPr>
            <w:tcW w:w="299" w:type="pct"/>
            <w:shd w:val="clear" w:color="auto" w:fill="auto"/>
          </w:tcPr>
          <w:p w14:paraId="2072AD53"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(20.9)</w:t>
            </w:r>
          </w:p>
        </w:tc>
        <w:tc>
          <w:tcPr>
            <w:tcW w:w="285" w:type="pct"/>
            <w:shd w:val="clear" w:color="auto" w:fill="auto"/>
          </w:tcPr>
          <w:p w14:paraId="6A700F6F" w14:textId="7091BEC9" w:rsidR="002542F2" w:rsidRPr="00A71921"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A71921">
              <w:rPr>
                <w:rFonts w:ascii="Times New Roman" w:hAnsi="Times New Roman"/>
                <w:color w:val="010205"/>
                <w:sz w:val="18"/>
                <w:szCs w:val="18"/>
              </w:rPr>
              <w:t>3.98</w:t>
            </w:r>
          </w:p>
        </w:tc>
        <w:tc>
          <w:tcPr>
            <w:tcW w:w="381" w:type="pct"/>
            <w:gridSpan w:val="2"/>
            <w:shd w:val="clear" w:color="auto" w:fill="auto"/>
          </w:tcPr>
          <w:p w14:paraId="680CFDB2" w14:textId="19E91D41" w:rsidR="002542F2" w:rsidRPr="00A71921"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A71921">
              <w:rPr>
                <w:rFonts w:ascii="Times New Roman" w:hAnsi="Times New Roman"/>
                <w:color w:val="010205"/>
                <w:sz w:val="18"/>
                <w:szCs w:val="18"/>
              </w:rPr>
              <w:t>.771</w:t>
            </w:r>
          </w:p>
        </w:tc>
      </w:tr>
      <w:tr w:rsidR="002542F2" w:rsidRPr="008B1465" w14:paraId="1058788C" w14:textId="77777777" w:rsidTr="008945CF">
        <w:trPr>
          <w:cantSplit/>
          <w:trHeight w:val="1070"/>
        </w:trPr>
        <w:tc>
          <w:tcPr>
            <w:tcW w:w="238" w:type="pct"/>
            <w:tcBorders>
              <w:bottom w:val="thinThickSmallGap" w:sz="24" w:space="0" w:color="auto"/>
            </w:tcBorders>
            <w:shd w:val="clear" w:color="auto" w:fill="auto"/>
          </w:tcPr>
          <w:p w14:paraId="684095A3" w14:textId="77777777" w:rsidR="002542F2" w:rsidRPr="008B1465" w:rsidRDefault="002542F2" w:rsidP="002542F2">
            <w:pPr>
              <w:pStyle w:val="ListParagraph"/>
              <w:numPr>
                <w:ilvl w:val="0"/>
                <w:numId w:val="28"/>
              </w:numPr>
              <w:autoSpaceDE w:val="0"/>
              <w:autoSpaceDN w:val="0"/>
              <w:adjustRightInd w:val="0"/>
              <w:spacing w:before="0" w:beforeAutospacing="0" w:after="0" w:line="240" w:lineRule="auto"/>
              <w:ind w:right="60"/>
              <w:rPr>
                <w:rFonts w:ascii="Times New Roman" w:hAnsi="Times New Roman"/>
                <w:sz w:val="18"/>
                <w:szCs w:val="18"/>
              </w:rPr>
            </w:pPr>
          </w:p>
        </w:tc>
        <w:tc>
          <w:tcPr>
            <w:tcW w:w="1272" w:type="pct"/>
            <w:tcBorders>
              <w:bottom w:val="thinThickSmallGap" w:sz="24" w:space="0" w:color="auto"/>
            </w:tcBorders>
            <w:shd w:val="clear" w:color="auto" w:fill="auto"/>
          </w:tcPr>
          <w:p w14:paraId="10B97EC3"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A clear determination of the responsibilities and authorities among departments leads to improvements in the quality of financial reporting</w:t>
            </w:r>
          </w:p>
        </w:tc>
        <w:tc>
          <w:tcPr>
            <w:tcW w:w="198" w:type="pct"/>
            <w:tcBorders>
              <w:bottom w:val="thinThickSmallGap" w:sz="24" w:space="0" w:color="auto"/>
            </w:tcBorders>
            <w:shd w:val="clear" w:color="auto" w:fill="auto"/>
          </w:tcPr>
          <w:p w14:paraId="3740AB93" w14:textId="77777777" w:rsidR="002542F2" w:rsidRPr="008B1465"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4</w:t>
            </w:r>
          </w:p>
        </w:tc>
        <w:tc>
          <w:tcPr>
            <w:tcW w:w="288" w:type="pct"/>
            <w:tcBorders>
              <w:bottom w:val="thinThickSmallGap" w:sz="24" w:space="0" w:color="auto"/>
            </w:tcBorders>
            <w:shd w:val="clear" w:color="auto" w:fill="auto"/>
          </w:tcPr>
          <w:p w14:paraId="4702EABD"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(1.1)</w:t>
            </w:r>
          </w:p>
        </w:tc>
        <w:tc>
          <w:tcPr>
            <w:tcW w:w="188" w:type="pct"/>
            <w:tcBorders>
              <w:bottom w:val="thinThickSmallGap" w:sz="24" w:space="0" w:color="auto"/>
            </w:tcBorders>
            <w:shd w:val="clear" w:color="auto" w:fill="auto"/>
          </w:tcPr>
          <w:p w14:paraId="55F42150" w14:textId="77777777" w:rsidR="002542F2" w:rsidRPr="008B1465"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2</w:t>
            </w:r>
          </w:p>
        </w:tc>
        <w:tc>
          <w:tcPr>
            <w:tcW w:w="334" w:type="pct"/>
            <w:tcBorders>
              <w:bottom w:val="thinThickSmallGap" w:sz="24" w:space="0" w:color="auto"/>
            </w:tcBorders>
            <w:shd w:val="clear" w:color="auto" w:fill="auto"/>
          </w:tcPr>
          <w:p w14:paraId="11AECCF0"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(.5)</w:t>
            </w:r>
          </w:p>
        </w:tc>
        <w:tc>
          <w:tcPr>
            <w:tcW w:w="236" w:type="pct"/>
            <w:tcBorders>
              <w:bottom w:val="thinThickSmallGap" w:sz="24" w:space="0" w:color="auto"/>
            </w:tcBorders>
            <w:shd w:val="clear" w:color="auto" w:fill="auto"/>
          </w:tcPr>
          <w:p w14:paraId="79F8C29D" w14:textId="77777777" w:rsidR="002542F2" w:rsidRPr="008B1465"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44</w:t>
            </w:r>
          </w:p>
        </w:tc>
        <w:tc>
          <w:tcPr>
            <w:tcW w:w="380" w:type="pct"/>
            <w:tcBorders>
              <w:bottom w:val="thinThickSmallGap" w:sz="24" w:space="0" w:color="auto"/>
            </w:tcBorders>
            <w:shd w:val="clear" w:color="auto" w:fill="auto"/>
          </w:tcPr>
          <w:p w14:paraId="574F006A"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(12.1)</w:t>
            </w:r>
          </w:p>
        </w:tc>
        <w:tc>
          <w:tcPr>
            <w:tcW w:w="318" w:type="pct"/>
            <w:tcBorders>
              <w:bottom w:val="thinThickSmallGap" w:sz="24" w:space="0" w:color="auto"/>
            </w:tcBorders>
            <w:shd w:val="clear" w:color="auto" w:fill="auto"/>
          </w:tcPr>
          <w:p w14:paraId="0CCFB442" w14:textId="77777777" w:rsidR="002542F2" w:rsidRPr="008B1465"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224</w:t>
            </w:r>
          </w:p>
        </w:tc>
        <w:tc>
          <w:tcPr>
            <w:tcW w:w="347" w:type="pct"/>
            <w:tcBorders>
              <w:bottom w:val="thinThickSmallGap" w:sz="24" w:space="0" w:color="auto"/>
            </w:tcBorders>
            <w:shd w:val="clear" w:color="auto" w:fill="auto"/>
          </w:tcPr>
          <w:p w14:paraId="174301F9"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(61.5)</w:t>
            </w:r>
          </w:p>
        </w:tc>
        <w:tc>
          <w:tcPr>
            <w:tcW w:w="236" w:type="pct"/>
            <w:tcBorders>
              <w:bottom w:val="thinThickSmallGap" w:sz="24" w:space="0" w:color="auto"/>
            </w:tcBorders>
            <w:shd w:val="clear" w:color="auto" w:fill="auto"/>
          </w:tcPr>
          <w:p w14:paraId="00AF7791" w14:textId="77777777" w:rsidR="002542F2" w:rsidRPr="008B1465"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90</w:t>
            </w:r>
          </w:p>
        </w:tc>
        <w:tc>
          <w:tcPr>
            <w:tcW w:w="299" w:type="pct"/>
            <w:tcBorders>
              <w:bottom w:val="thinThickSmallGap" w:sz="24" w:space="0" w:color="auto"/>
            </w:tcBorders>
            <w:shd w:val="clear" w:color="auto" w:fill="auto"/>
          </w:tcPr>
          <w:p w14:paraId="668A9B70" w14:textId="77777777" w:rsidR="002542F2" w:rsidRPr="008B1465"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(24.7)</w:t>
            </w:r>
          </w:p>
        </w:tc>
        <w:tc>
          <w:tcPr>
            <w:tcW w:w="285" w:type="pct"/>
            <w:tcBorders>
              <w:bottom w:val="thinThickSmallGap" w:sz="24" w:space="0" w:color="auto"/>
            </w:tcBorders>
            <w:shd w:val="clear" w:color="auto" w:fill="auto"/>
          </w:tcPr>
          <w:p w14:paraId="6E7A0681" w14:textId="5C5FB6AC" w:rsidR="002542F2" w:rsidRPr="00A71921" w:rsidRDefault="002542F2" w:rsidP="002542F2">
            <w:pPr>
              <w:autoSpaceDE w:val="0"/>
              <w:autoSpaceDN w:val="0"/>
              <w:adjustRightInd w:val="0"/>
              <w:spacing w:before="0" w:beforeAutospacing="0" w:after="0" w:line="240" w:lineRule="auto"/>
              <w:ind w:left="60" w:right="60"/>
              <w:jc w:val="right"/>
              <w:rPr>
                <w:rFonts w:ascii="Times New Roman" w:hAnsi="Times New Roman"/>
                <w:sz w:val="18"/>
                <w:szCs w:val="18"/>
              </w:rPr>
            </w:pPr>
            <w:r w:rsidRPr="00A71921">
              <w:rPr>
                <w:rFonts w:ascii="Times New Roman" w:hAnsi="Times New Roman"/>
                <w:color w:val="010205"/>
                <w:sz w:val="18"/>
                <w:szCs w:val="18"/>
              </w:rPr>
              <w:t>4.08</w:t>
            </w:r>
          </w:p>
        </w:tc>
        <w:tc>
          <w:tcPr>
            <w:tcW w:w="381" w:type="pct"/>
            <w:gridSpan w:val="2"/>
            <w:tcBorders>
              <w:bottom w:val="thinThickSmallGap" w:sz="24" w:space="0" w:color="auto"/>
            </w:tcBorders>
            <w:shd w:val="clear" w:color="auto" w:fill="auto"/>
          </w:tcPr>
          <w:p w14:paraId="5A5880F7" w14:textId="316A8509" w:rsidR="002542F2" w:rsidRPr="00A71921" w:rsidRDefault="002542F2" w:rsidP="002542F2">
            <w:pPr>
              <w:autoSpaceDE w:val="0"/>
              <w:autoSpaceDN w:val="0"/>
              <w:adjustRightInd w:val="0"/>
              <w:spacing w:before="0" w:beforeAutospacing="0" w:after="0" w:line="240" w:lineRule="auto"/>
              <w:ind w:left="60" w:right="60"/>
              <w:rPr>
                <w:rFonts w:ascii="Times New Roman" w:hAnsi="Times New Roman"/>
                <w:sz w:val="18"/>
                <w:szCs w:val="18"/>
              </w:rPr>
            </w:pPr>
            <w:r w:rsidRPr="00A71921">
              <w:rPr>
                <w:rFonts w:ascii="Times New Roman" w:hAnsi="Times New Roman"/>
                <w:color w:val="010205"/>
                <w:sz w:val="18"/>
                <w:szCs w:val="18"/>
              </w:rPr>
              <w:t>.695</w:t>
            </w:r>
          </w:p>
        </w:tc>
      </w:tr>
    </w:tbl>
    <w:p w14:paraId="5CE8A346" w14:textId="77777777" w:rsidR="00234521" w:rsidRPr="008B1465" w:rsidRDefault="00234521" w:rsidP="00D4007D">
      <w:pPr>
        <w:pStyle w:val="NoSpacing"/>
        <w:spacing w:line="360" w:lineRule="auto"/>
        <w:rPr>
          <w:rFonts w:asciiTheme="minorHAnsi" w:hAnsiTheme="minorHAnsi" w:cstheme="minorHAnsi"/>
          <w:b/>
          <w:bCs/>
          <w:sz w:val="18"/>
          <w:szCs w:val="18"/>
        </w:rPr>
      </w:pPr>
      <w:r w:rsidRPr="008B1465">
        <w:rPr>
          <w:rFonts w:ascii="Times New Roman" w:hAnsi="Times New Roman"/>
          <w:b/>
          <w:sz w:val="18"/>
          <w:szCs w:val="18"/>
        </w:rPr>
        <w:t xml:space="preserve">Source: Researcher’s field survey, 2023, SPSS 25.0 </w:t>
      </w:r>
      <w:r w:rsidRPr="008B1465">
        <w:rPr>
          <w:rFonts w:asciiTheme="minorHAnsi" w:hAnsiTheme="minorHAnsi" w:cstheme="minorHAnsi"/>
          <w:b/>
          <w:bCs/>
          <w:sz w:val="18"/>
          <w:szCs w:val="18"/>
        </w:rPr>
        <w:t>Version</w:t>
      </w:r>
    </w:p>
    <w:p w14:paraId="63CC928A" w14:textId="77777777" w:rsidR="00234521" w:rsidRPr="008B1465" w:rsidRDefault="00234521" w:rsidP="00234521">
      <w:pPr>
        <w:autoSpaceDE w:val="0"/>
        <w:autoSpaceDN w:val="0"/>
        <w:adjustRightInd w:val="0"/>
        <w:spacing w:before="0" w:beforeAutospacing="0" w:after="0" w:line="360" w:lineRule="auto"/>
        <w:rPr>
          <w:rFonts w:ascii="Times New Roman" w:eastAsia="SimSun" w:hAnsi="Times New Roman"/>
          <w:sz w:val="24"/>
          <w:szCs w:val="24"/>
        </w:rPr>
      </w:pPr>
      <w:r w:rsidRPr="008B1465">
        <w:rPr>
          <w:rFonts w:ascii="Times New Roman" w:eastAsia="SimSun" w:hAnsi="Times New Roman"/>
          <w:sz w:val="24"/>
          <w:szCs w:val="24"/>
        </w:rPr>
        <w:t xml:space="preserve"> </w:t>
      </w:r>
    </w:p>
    <w:p w14:paraId="4FBF08B3" w14:textId="0F3088D6" w:rsidR="007871B8" w:rsidRDefault="00234521" w:rsidP="009B04C6">
      <w:pPr>
        <w:autoSpaceDE w:val="0"/>
        <w:autoSpaceDN w:val="0"/>
        <w:adjustRightInd w:val="0"/>
        <w:spacing w:before="0" w:beforeAutospacing="0" w:after="0" w:line="360" w:lineRule="auto"/>
        <w:jc w:val="both"/>
        <w:rPr>
          <w:rFonts w:ascii="Times New Roman" w:eastAsia="SimSun" w:hAnsi="Times New Roman"/>
          <w:sz w:val="24"/>
          <w:szCs w:val="24"/>
        </w:rPr>
      </w:pPr>
      <w:r w:rsidRPr="008B1465">
        <w:rPr>
          <w:rFonts w:ascii="Times New Roman" w:eastAsia="SimSun" w:hAnsi="Times New Roman"/>
          <w:sz w:val="24"/>
          <w:szCs w:val="24"/>
        </w:rPr>
        <w:t xml:space="preserve">The first statement </w:t>
      </w:r>
      <w:r w:rsidR="00FA60A5" w:rsidRPr="008B1465">
        <w:rPr>
          <w:rFonts w:ascii="Times New Roman" w:eastAsia="SimSun" w:hAnsi="Times New Roman"/>
          <w:sz w:val="24"/>
          <w:szCs w:val="24"/>
        </w:rPr>
        <w:t>in Table 4.7</w:t>
      </w:r>
      <w:r w:rsidRPr="008B1465">
        <w:rPr>
          <w:rFonts w:ascii="Times New Roman" w:eastAsia="SimSun" w:hAnsi="Times New Roman"/>
          <w:sz w:val="24"/>
          <w:szCs w:val="24"/>
        </w:rPr>
        <w:t xml:space="preserve">, respondents were asked to evaluate whether financial reports are prepared and presented according to the ethical guidelines of the university. Among the 364 participants, 12 individuals strongly disagreed, 14 disagreed, 66 were indifferent, 198 agreed, and 74 strongly agreed. The majority of respondents (54.4 per cent) expressed agreement, while a smaller percentage disagreed (3.8 per cent). </w:t>
      </w:r>
      <w:r w:rsidR="009B04C6" w:rsidRPr="008B1465">
        <w:rPr>
          <w:rFonts w:ascii="Times New Roman" w:eastAsia="SimSun" w:hAnsi="Times New Roman"/>
          <w:sz w:val="24"/>
          <w:szCs w:val="24"/>
        </w:rPr>
        <w:t xml:space="preserve">The second row focuses on the observation of ethical standards in the presentation of financial reporting procedures at the university. Interestingly, no respondents indicated a strong disagreement, and only 10 individuals disagreed. On the other hand, 206 participants agreed, and 90 strongly agreed, making up the highest percentage (24.7 per cent) in this category. The majority of respondents (56.6 per cent) showed agreement, indicating that ethical standards are duly observed. </w:t>
      </w:r>
      <w:r w:rsidR="009B04C6">
        <w:rPr>
          <w:rFonts w:ascii="Times New Roman" w:eastAsia="SimSun" w:hAnsi="Times New Roman"/>
          <w:sz w:val="24"/>
          <w:szCs w:val="24"/>
        </w:rPr>
        <w:t xml:space="preserve">The mean shows that </w:t>
      </w:r>
      <w:r w:rsidR="009B04C6" w:rsidRPr="003B3CA6">
        <w:rPr>
          <w:rFonts w:ascii="Times New Roman" w:eastAsia="SimSun" w:hAnsi="Times New Roman"/>
          <w:sz w:val="24"/>
          <w:szCs w:val="24"/>
        </w:rPr>
        <w:t>respondents believe that ethical standards are duly observed in the presentation of financial reporting procedures at their university.</w:t>
      </w:r>
      <w:r w:rsidR="009B04C6">
        <w:rPr>
          <w:rFonts w:ascii="Times New Roman" w:eastAsia="SimSun" w:hAnsi="Times New Roman"/>
          <w:sz w:val="24"/>
          <w:szCs w:val="24"/>
        </w:rPr>
        <w:t xml:space="preserve"> </w:t>
      </w:r>
      <w:r w:rsidR="009B04C6" w:rsidRPr="003B3CA6">
        <w:rPr>
          <w:rFonts w:ascii="Times New Roman" w:eastAsia="SimSun" w:hAnsi="Times New Roman"/>
          <w:sz w:val="24"/>
          <w:szCs w:val="24"/>
        </w:rPr>
        <w:t>The relatively low standard deviation of 0.719 indicates that respondents generally strongly agree with this statement, with little variation in responses.</w:t>
      </w:r>
      <w:r w:rsidR="009B04C6">
        <w:rPr>
          <w:rFonts w:ascii="Times New Roman" w:eastAsia="SimSun" w:hAnsi="Times New Roman"/>
          <w:sz w:val="24"/>
          <w:szCs w:val="24"/>
        </w:rPr>
        <w:t xml:space="preserve"> </w:t>
      </w:r>
      <w:r w:rsidR="009B04C6" w:rsidRPr="008B1465">
        <w:rPr>
          <w:rFonts w:ascii="Times New Roman" w:eastAsia="SimSun" w:hAnsi="Times New Roman"/>
          <w:sz w:val="24"/>
          <w:szCs w:val="24"/>
        </w:rPr>
        <w:t xml:space="preserve">Moving to the third row, the survey asked participants about the compliance of the quality of disclosure practice for financial reporting with financial reporting standards. In this case, 4 participants strongly disagreed, 14 disagreed, 68 were indifferent, 190 agreed, and 88 strongly agreed. The highest percentage (52.2 per cent) fell under the category of agreement, suggesting that the quality of disclosure practice aligns with financial reporting standards. </w:t>
      </w:r>
    </w:p>
    <w:p w14:paraId="797817A8" w14:textId="77777777" w:rsidR="007871B8" w:rsidRDefault="007871B8" w:rsidP="009B04C6">
      <w:pPr>
        <w:autoSpaceDE w:val="0"/>
        <w:autoSpaceDN w:val="0"/>
        <w:adjustRightInd w:val="0"/>
        <w:spacing w:before="0" w:beforeAutospacing="0" w:after="0" w:line="360" w:lineRule="auto"/>
        <w:jc w:val="both"/>
        <w:rPr>
          <w:rFonts w:ascii="Times New Roman" w:eastAsia="SimSun" w:hAnsi="Times New Roman"/>
          <w:sz w:val="24"/>
          <w:szCs w:val="24"/>
        </w:rPr>
      </w:pPr>
    </w:p>
    <w:p w14:paraId="46C9D1D2" w14:textId="6EBD9132" w:rsidR="009B04C6" w:rsidRPr="008B1465" w:rsidRDefault="009B04C6" w:rsidP="009B04C6">
      <w:pPr>
        <w:autoSpaceDE w:val="0"/>
        <w:autoSpaceDN w:val="0"/>
        <w:adjustRightInd w:val="0"/>
        <w:spacing w:before="0" w:beforeAutospacing="0" w:after="0" w:line="360" w:lineRule="auto"/>
        <w:jc w:val="both"/>
        <w:rPr>
          <w:rFonts w:ascii="Times New Roman" w:eastAsia="SimSun" w:hAnsi="Times New Roman"/>
          <w:sz w:val="24"/>
          <w:szCs w:val="24"/>
        </w:rPr>
      </w:pPr>
      <w:r w:rsidRPr="008654B4">
        <w:rPr>
          <w:rFonts w:ascii="Times New Roman" w:eastAsia="SimSun" w:hAnsi="Times New Roman"/>
          <w:sz w:val="24"/>
          <w:szCs w:val="24"/>
        </w:rPr>
        <w:t>On average, respondents believe that the quality of disclosure practice for financial reporting at their university is compliant with financial reporting standards.</w:t>
      </w:r>
      <w:r>
        <w:rPr>
          <w:rFonts w:ascii="Times New Roman" w:eastAsia="SimSun" w:hAnsi="Times New Roman"/>
          <w:sz w:val="24"/>
          <w:szCs w:val="24"/>
        </w:rPr>
        <w:t xml:space="preserve"> </w:t>
      </w:r>
      <w:r w:rsidRPr="008654B4">
        <w:rPr>
          <w:rFonts w:ascii="Times New Roman" w:eastAsia="SimSun" w:hAnsi="Times New Roman"/>
          <w:sz w:val="24"/>
          <w:szCs w:val="24"/>
        </w:rPr>
        <w:t>The standard deviation of 0.825 suggests some variability in responses, with most respondents agreeing, but with some variation in the strength of agreement.</w:t>
      </w:r>
      <w:r>
        <w:rPr>
          <w:rFonts w:ascii="Times New Roman" w:eastAsia="SimSun" w:hAnsi="Times New Roman"/>
          <w:sz w:val="24"/>
          <w:szCs w:val="24"/>
        </w:rPr>
        <w:t xml:space="preserve"> </w:t>
      </w:r>
      <w:r w:rsidRPr="008B1465">
        <w:rPr>
          <w:rFonts w:ascii="Times New Roman" w:eastAsia="SimSun" w:hAnsi="Times New Roman"/>
          <w:sz w:val="24"/>
          <w:szCs w:val="24"/>
        </w:rPr>
        <w:t>The fourth row explores the impact of disclosing internal control reports on the auditory role. Here, 4 respondents strongly disagreed, 10 disagreed, 76 were indifferent, 198 agreed, and 76 strongly agreed. Both agreement categories (54.4 per cent and 20.9 per cent) had similar percentages, indicating that the disclosure of internal control reports has a positive impact on the auditory role.</w:t>
      </w:r>
      <w:r>
        <w:rPr>
          <w:rFonts w:ascii="Times New Roman" w:eastAsia="SimSun" w:hAnsi="Times New Roman"/>
          <w:sz w:val="24"/>
          <w:szCs w:val="24"/>
        </w:rPr>
        <w:t xml:space="preserve"> </w:t>
      </w:r>
      <w:r w:rsidRPr="008654B4">
        <w:rPr>
          <w:rFonts w:ascii="Times New Roman" w:eastAsia="SimSun" w:hAnsi="Times New Roman"/>
          <w:sz w:val="24"/>
          <w:szCs w:val="24"/>
        </w:rPr>
        <w:t>On average, respondents believe that the disclosure of internal control reports increases the auditory (audit-related) role.</w:t>
      </w:r>
      <w:r>
        <w:rPr>
          <w:rFonts w:ascii="Times New Roman" w:eastAsia="SimSun" w:hAnsi="Times New Roman"/>
          <w:sz w:val="24"/>
          <w:szCs w:val="24"/>
        </w:rPr>
        <w:t xml:space="preserve"> </w:t>
      </w:r>
      <w:r w:rsidRPr="008654B4">
        <w:rPr>
          <w:rFonts w:ascii="Times New Roman" w:eastAsia="SimSun" w:hAnsi="Times New Roman"/>
          <w:sz w:val="24"/>
          <w:szCs w:val="24"/>
        </w:rPr>
        <w:t xml:space="preserve">The standard deviation </w:t>
      </w:r>
      <w:r>
        <w:rPr>
          <w:rFonts w:ascii="Times New Roman" w:eastAsia="SimSun" w:hAnsi="Times New Roman"/>
          <w:sz w:val="24"/>
          <w:szCs w:val="24"/>
        </w:rPr>
        <w:t>is</w:t>
      </w:r>
      <w:r w:rsidRPr="008654B4">
        <w:rPr>
          <w:rFonts w:ascii="Times New Roman" w:eastAsia="SimSun" w:hAnsi="Times New Roman"/>
          <w:sz w:val="24"/>
          <w:szCs w:val="24"/>
        </w:rPr>
        <w:t xml:space="preserve"> 0.788</w:t>
      </w:r>
      <w:r>
        <w:rPr>
          <w:rFonts w:ascii="Times New Roman" w:eastAsia="SimSun" w:hAnsi="Times New Roman"/>
          <w:sz w:val="24"/>
          <w:szCs w:val="24"/>
        </w:rPr>
        <w:t>, indicating</w:t>
      </w:r>
      <w:r w:rsidRPr="008654B4">
        <w:rPr>
          <w:rFonts w:ascii="Times New Roman" w:eastAsia="SimSun" w:hAnsi="Times New Roman"/>
          <w:sz w:val="24"/>
          <w:szCs w:val="24"/>
        </w:rPr>
        <w:t xml:space="preserve"> some variability in responses, with most respondents agreeing but with some variation in the strength of agreement.</w:t>
      </w:r>
    </w:p>
    <w:p w14:paraId="47834400" w14:textId="77777777" w:rsidR="009B04C6" w:rsidRPr="008B1465" w:rsidRDefault="009B04C6" w:rsidP="009B04C6">
      <w:pPr>
        <w:autoSpaceDE w:val="0"/>
        <w:autoSpaceDN w:val="0"/>
        <w:adjustRightInd w:val="0"/>
        <w:spacing w:before="0" w:beforeAutospacing="0" w:after="0" w:line="360" w:lineRule="auto"/>
        <w:rPr>
          <w:rFonts w:ascii="Times New Roman" w:eastAsia="SimSun" w:hAnsi="Times New Roman"/>
          <w:sz w:val="24"/>
          <w:szCs w:val="24"/>
        </w:rPr>
      </w:pPr>
    </w:p>
    <w:p w14:paraId="65650396" w14:textId="77777777" w:rsidR="00BE0255" w:rsidRDefault="009B04C6" w:rsidP="009B04C6">
      <w:pPr>
        <w:autoSpaceDE w:val="0"/>
        <w:autoSpaceDN w:val="0"/>
        <w:adjustRightInd w:val="0"/>
        <w:spacing w:before="0" w:beforeAutospacing="0" w:after="0" w:line="360" w:lineRule="auto"/>
        <w:jc w:val="both"/>
        <w:rPr>
          <w:rFonts w:ascii="Times New Roman" w:eastAsia="SimSun" w:hAnsi="Times New Roman"/>
          <w:sz w:val="24"/>
          <w:szCs w:val="24"/>
        </w:rPr>
      </w:pPr>
      <w:r w:rsidRPr="008B1465">
        <w:rPr>
          <w:rFonts w:ascii="Times New Roman" w:eastAsia="SimSun" w:hAnsi="Times New Roman"/>
          <w:sz w:val="24"/>
          <w:szCs w:val="24"/>
        </w:rPr>
        <w:t xml:space="preserve">The fifth row delves into the relationship between recommendations and advice for potential improvement in financial reports and the quality of financial reporting. Out of the 364 participants, 6 strongly disagreed, 10 disagreed, 46 were indifferent, 226 agreed, and 76 strongly agreed. The majority of respondents (62.1 per cent) agreed that the existence of recommendations and advice contributes to improving the quality of financial reporting. </w:t>
      </w:r>
      <w:r w:rsidRPr="00EA2A6B">
        <w:rPr>
          <w:rFonts w:ascii="Times New Roman" w:eastAsia="SimSun" w:hAnsi="Times New Roman"/>
          <w:sz w:val="24"/>
          <w:szCs w:val="24"/>
        </w:rPr>
        <w:t>On average, respondents believe that the existence of recommendations and advice about potential improvement in financial reports leads to an improvement in the quality of reporting.</w:t>
      </w:r>
      <w:r>
        <w:rPr>
          <w:rFonts w:ascii="Times New Roman" w:eastAsia="SimSun" w:hAnsi="Times New Roman"/>
          <w:sz w:val="24"/>
          <w:szCs w:val="24"/>
        </w:rPr>
        <w:t xml:space="preserve"> </w:t>
      </w:r>
    </w:p>
    <w:p w14:paraId="21F60D2A" w14:textId="77777777" w:rsidR="00BE0255" w:rsidRDefault="00BE0255" w:rsidP="009B04C6">
      <w:pPr>
        <w:autoSpaceDE w:val="0"/>
        <w:autoSpaceDN w:val="0"/>
        <w:adjustRightInd w:val="0"/>
        <w:spacing w:before="0" w:beforeAutospacing="0" w:after="0" w:line="360" w:lineRule="auto"/>
        <w:jc w:val="both"/>
        <w:rPr>
          <w:rFonts w:ascii="Times New Roman" w:eastAsia="SimSun" w:hAnsi="Times New Roman"/>
          <w:sz w:val="24"/>
          <w:szCs w:val="24"/>
        </w:rPr>
      </w:pPr>
    </w:p>
    <w:p w14:paraId="6BDCC5C9" w14:textId="36C48093" w:rsidR="00234521" w:rsidRPr="009B04C6" w:rsidRDefault="009B04C6" w:rsidP="009B04C6">
      <w:pPr>
        <w:autoSpaceDE w:val="0"/>
        <w:autoSpaceDN w:val="0"/>
        <w:adjustRightInd w:val="0"/>
        <w:spacing w:before="0" w:beforeAutospacing="0" w:after="0" w:line="360" w:lineRule="auto"/>
        <w:jc w:val="both"/>
        <w:rPr>
          <w:rFonts w:ascii="Times New Roman" w:eastAsia="SimSun" w:hAnsi="Times New Roman"/>
          <w:sz w:val="24"/>
          <w:szCs w:val="24"/>
        </w:rPr>
      </w:pPr>
      <w:r w:rsidRPr="00EA2A6B">
        <w:rPr>
          <w:rFonts w:ascii="Times New Roman" w:eastAsia="SimSun" w:hAnsi="Times New Roman"/>
          <w:sz w:val="24"/>
          <w:szCs w:val="24"/>
        </w:rPr>
        <w:t>The standard deviation of 0.771 suggests some variability in responses, with most respondents agreeing but with some variation in the strength of agreement.</w:t>
      </w:r>
      <w:r w:rsidR="007871B8">
        <w:rPr>
          <w:rFonts w:ascii="Times New Roman" w:eastAsia="SimSun" w:hAnsi="Times New Roman"/>
          <w:sz w:val="24"/>
          <w:szCs w:val="24"/>
        </w:rPr>
        <w:t xml:space="preserve"> </w:t>
      </w:r>
      <w:r w:rsidRPr="008B1465">
        <w:rPr>
          <w:rFonts w:ascii="Times New Roman" w:eastAsia="SimSun" w:hAnsi="Times New Roman"/>
          <w:sz w:val="24"/>
          <w:szCs w:val="24"/>
        </w:rPr>
        <w:t xml:space="preserve">Lastly, the sixth row addresses the effect of clear determination of responsibilities and authorities among departments on the quality of financial reporting. Four participants strongly disagreed, 2 disagreed, 44 were indifferent, 224 agreed, and 90 strongly agreed. The highest percentage (61.5) per cent falls under the category of agreement, suggesting that a clear determination of responsibilities and authorities leads to improvements in the quality of financial reporting. It can be inferred that the survey results indicate that the majority of respondents expressed agreement or strong agreement across various aspects of financial reporting within the university. </w:t>
      </w:r>
      <w:r>
        <w:rPr>
          <w:rFonts w:ascii="Times New Roman" w:eastAsia="SimSun" w:hAnsi="Times New Roman"/>
          <w:sz w:val="24"/>
          <w:szCs w:val="24"/>
        </w:rPr>
        <w:t xml:space="preserve">This is further buttressed by the result of the mean. On average, </w:t>
      </w:r>
      <w:r w:rsidRPr="00683EF7">
        <w:rPr>
          <w:rFonts w:ascii="Times New Roman" w:eastAsia="SimSun" w:hAnsi="Times New Roman"/>
          <w:sz w:val="24"/>
          <w:szCs w:val="24"/>
        </w:rPr>
        <w:t>respondents believe that a clear determination of responsibilities and authorities among departments leads to improvements in the quality of financial reporting.</w:t>
      </w:r>
      <w:r>
        <w:rPr>
          <w:rFonts w:ascii="Times New Roman" w:eastAsia="SimSun" w:hAnsi="Times New Roman"/>
          <w:sz w:val="24"/>
          <w:szCs w:val="24"/>
        </w:rPr>
        <w:t xml:space="preserve"> </w:t>
      </w:r>
      <w:r w:rsidRPr="00683EF7">
        <w:rPr>
          <w:rFonts w:ascii="Times New Roman" w:eastAsia="SimSun" w:hAnsi="Times New Roman"/>
          <w:sz w:val="24"/>
          <w:szCs w:val="24"/>
        </w:rPr>
        <w:t>The standard deviation of 0.695 indicates some variability in responses, with most respondents strongly agreeing with this statement.</w:t>
      </w:r>
      <w:r w:rsidR="00563C23">
        <w:rPr>
          <w:rFonts w:ascii="Times New Roman" w:eastAsia="SimSun" w:hAnsi="Times New Roman"/>
          <w:sz w:val="24"/>
          <w:szCs w:val="24"/>
        </w:rPr>
        <w:t xml:space="preserve"> </w:t>
      </w:r>
      <w:r w:rsidRPr="008B1465">
        <w:rPr>
          <w:rFonts w:ascii="Times New Roman" w:eastAsia="SimSun" w:hAnsi="Times New Roman"/>
          <w:sz w:val="24"/>
          <w:szCs w:val="24"/>
        </w:rPr>
        <w:t>This suggests a positive perception regarding the ethical guidelines, observance of ethical standards, compliance with financial reporting standards, the impact of internal control reports, the influence of recommendations and advice, and the importance of clear determination of responsibilities and authorities in enhancing the quality of financial reporting.</w:t>
      </w:r>
    </w:p>
    <w:p w14:paraId="394AFC93" w14:textId="01379162" w:rsidR="00F77691" w:rsidRPr="00F77691" w:rsidRDefault="00F77691" w:rsidP="00E71888">
      <w:pPr>
        <w:pStyle w:val="Caption"/>
        <w:keepNext/>
        <w:jc w:val="center"/>
        <w:rPr>
          <w:rFonts w:ascii="Times New Roman" w:hAnsi="Times New Roman"/>
          <w:color w:val="000000" w:themeColor="text1"/>
          <w:sz w:val="24"/>
          <w:szCs w:val="24"/>
        </w:rPr>
      </w:pPr>
      <w:bookmarkStart w:id="118" w:name="_Toc145952341"/>
      <w:r w:rsidRPr="00BC2B65">
        <w:rPr>
          <w:rFonts w:ascii="Times New Roman" w:hAnsi="Times New Roman"/>
          <w:i w:val="0"/>
          <w:color w:val="000000" w:themeColor="text1"/>
          <w:sz w:val="24"/>
          <w:szCs w:val="24"/>
        </w:rPr>
        <w:t xml:space="preserve">Table </w:t>
      </w:r>
      <w:r w:rsidR="000F6857" w:rsidRPr="00BC2B65">
        <w:rPr>
          <w:rFonts w:ascii="Times New Roman" w:hAnsi="Times New Roman"/>
          <w:i w:val="0"/>
          <w:color w:val="000000" w:themeColor="text1"/>
          <w:sz w:val="24"/>
          <w:szCs w:val="24"/>
        </w:rPr>
        <w:fldChar w:fldCharType="begin"/>
      </w:r>
      <w:r w:rsidR="000F6857" w:rsidRPr="00BC2B65">
        <w:rPr>
          <w:rFonts w:ascii="Times New Roman" w:hAnsi="Times New Roman"/>
          <w:i w:val="0"/>
          <w:color w:val="000000" w:themeColor="text1"/>
          <w:sz w:val="24"/>
          <w:szCs w:val="24"/>
        </w:rPr>
        <w:instrText xml:space="preserve"> STYLEREF 1 \s </w:instrText>
      </w:r>
      <w:r w:rsidR="000F6857" w:rsidRPr="00BC2B65">
        <w:rPr>
          <w:rFonts w:ascii="Times New Roman" w:hAnsi="Times New Roman"/>
          <w:i w:val="0"/>
          <w:color w:val="000000" w:themeColor="text1"/>
          <w:sz w:val="24"/>
          <w:szCs w:val="24"/>
        </w:rPr>
        <w:fldChar w:fldCharType="separate"/>
      </w:r>
      <w:r w:rsidR="007B5846" w:rsidRPr="00BC2B65">
        <w:rPr>
          <w:rFonts w:ascii="Times New Roman" w:hAnsi="Times New Roman"/>
          <w:i w:val="0"/>
          <w:noProof/>
          <w:color w:val="000000" w:themeColor="text1"/>
          <w:sz w:val="24"/>
          <w:szCs w:val="24"/>
        </w:rPr>
        <w:t>4</w:t>
      </w:r>
      <w:r w:rsidR="000F6857" w:rsidRPr="00BC2B65">
        <w:rPr>
          <w:rFonts w:ascii="Times New Roman" w:hAnsi="Times New Roman"/>
          <w:i w:val="0"/>
          <w:color w:val="000000" w:themeColor="text1"/>
          <w:sz w:val="24"/>
          <w:szCs w:val="24"/>
        </w:rPr>
        <w:fldChar w:fldCharType="end"/>
      </w:r>
      <w:r w:rsidR="000F6857" w:rsidRPr="00BC2B65">
        <w:rPr>
          <w:rFonts w:ascii="Times New Roman" w:hAnsi="Times New Roman"/>
          <w:i w:val="0"/>
          <w:color w:val="000000" w:themeColor="text1"/>
          <w:sz w:val="24"/>
          <w:szCs w:val="24"/>
        </w:rPr>
        <w:t>.</w:t>
      </w:r>
      <w:r w:rsidR="000F6857" w:rsidRPr="00BC2B65">
        <w:rPr>
          <w:rFonts w:ascii="Times New Roman" w:hAnsi="Times New Roman"/>
          <w:i w:val="0"/>
          <w:color w:val="000000" w:themeColor="text1"/>
          <w:sz w:val="24"/>
          <w:szCs w:val="24"/>
        </w:rPr>
        <w:fldChar w:fldCharType="begin"/>
      </w:r>
      <w:r w:rsidR="000F6857" w:rsidRPr="00BC2B65">
        <w:rPr>
          <w:rFonts w:ascii="Times New Roman" w:hAnsi="Times New Roman"/>
          <w:i w:val="0"/>
          <w:color w:val="000000" w:themeColor="text1"/>
          <w:sz w:val="24"/>
          <w:szCs w:val="24"/>
        </w:rPr>
        <w:instrText xml:space="preserve"> SEQ Table \* ARABIC \s 1 </w:instrText>
      </w:r>
      <w:r w:rsidR="000F6857" w:rsidRPr="00BC2B65">
        <w:rPr>
          <w:rFonts w:ascii="Times New Roman" w:hAnsi="Times New Roman"/>
          <w:i w:val="0"/>
          <w:color w:val="000000" w:themeColor="text1"/>
          <w:sz w:val="24"/>
          <w:szCs w:val="24"/>
        </w:rPr>
        <w:fldChar w:fldCharType="separate"/>
      </w:r>
      <w:r w:rsidR="007B5846" w:rsidRPr="00BC2B65">
        <w:rPr>
          <w:rFonts w:ascii="Times New Roman" w:hAnsi="Times New Roman"/>
          <w:i w:val="0"/>
          <w:noProof/>
          <w:color w:val="000000" w:themeColor="text1"/>
          <w:sz w:val="24"/>
          <w:szCs w:val="24"/>
        </w:rPr>
        <w:t>8</w:t>
      </w:r>
      <w:r w:rsidR="000F6857" w:rsidRPr="00BC2B65">
        <w:rPr>
          <w:rFonts w:ascii="Times New Roman" w:hAnsi="Times New Roman"/>
          <w:i w:val="0"/>
          <w:color w:val="000000" w:themeColor="text1"/>
          <w:sz w:val="24"/>
          <w:szCs w:val="24"/>
        </w:rPr>
        <w:fldChar w:fldCharType="end"/>
      </w:r>
      <w:r w:rsidRPr="00BC2B65">
        <w:rPr>
          <w:rFonts w:ascii="Times New Roman" w:hAnsi="Times New Roman"/>
          <w:i w:val="0"/>
          <w:color w:val="000000" w:themeColor="text1"/>
          <w:sz w:val="24"/>
          <w:szCs w:val="24"/>
        </w:rPr>
        <w:t>:</w:t>
      </w:r>
      <w:r w:rsidRPr="00F77691">
        <w:rPr>
          <w:rFonts w:ascii="Times New Roman" w:hAnsi="Times New Roman"/>
          <w:i w:val="0"/>
          <w:iCs w:val="0"/>
          <w:color w:val="000000" w:themeColor="text1"/>
          <w:sz w:val="24"/>
          <w:szCs w:val="24"/>
        </w:rPr>
        <w:t xml:space="preserve"> Descriptive Analysis of Respondents’ Information on Procurement Practices</w:t>
      </w:r>
      <w:bookmarkEnd w:id="118"/>
    </w:p>
    <w:tbl>
      <w:tblPr>
        <w:tblW w:w="5026" w:type="pct"/>
        <w:tblInd w:w="-5" w:type="dxa"/>
        <w:tblLayout w:type="fixed"/>
        <w:tblCellMar>
          <w:left w:w="0" w:type="dxa"/>
          <w:right w:w="0" w:type="dxa"/>
        </w:tblCellMar>
        <w:tblLook w:val="0000" w:firstRow="0" w:lastRow="0" w:firstColumn="0" w:lastColumn="0" w:noHBand="0" w:noVBand="0"/>
      </w:tblPr>
      <w:tblGrid>
        <w:gridCol w:w="441"/>
        <w:gridCol w:w="2906"/>
        <w:gridCol w:w="360"/>
        <w:gridCol w:w="529"/>
        <w:gridCol w:w="352"/>
        <w:gridCol w:w="527"/>
        <w:gridCol w:w="438"/>
        <w:gridCol w:w="617"/>
        <w:gridCol w:w="438"/>
        <w:gridCol w:w="615"/>
        <w:gridCol w:w="438"/>
        <w:gridCol w:w="617"/>
        <w:gridCol w:w="551"/>
        <w:gridCol w:w="580"/>
      </w:tblGrid>
      <w:tr w:rsidR="00072188" w:rsidRPr="008B1465" w14:paraId="687F29F5" w14:textId="053C7DB9" w:rsidTr="00065F24">
        <w:trPr>
          <w:cantSplit/>
          <w:trHeight w:val="313"/>
        </w:trPr>
        <w:tc>
          <w:tcPr>
            <w:tcW w:w="234" w:type="pct"/>
            <w:tcBorders>
              <w:top w:val="thinThickSmallGap" w:sz="24" w:space="0" w:color="auto"/>
              <w:bottom w:val="thinThickSmallGap" w:sz="24" w:space="0" w:color="auto"/>
            </w:tcBorders>
            <w:shd w:val="clear" w:color="auto" w:fill="auto"/>
          </w:tcPr>
          <w:p w14:paraId="7E6A3426" w14:textId="77777777" w:rsidR="00072188" w:rsidRPr="008B1465" w:rsidRDefault="00072188" w:rsidP="00072188">
            <w:pPr>
              <w:autoSpaceDE w:val="0"/>
              <w:autoSpaceDN w:val="0"/>
              <w:adjustRightInd w:val="0"/>
              <w:spacing w:before="0" w:beforeAutospacing="0" w:after="0" w:line="240" w:lineRule="auto"/>
              <w:jc w:val="center"/>
              <w:rPr>
                <w:rFonts w:ascii="Times New Roman" w:hAnsi="Times New Roman"/>
                <w:b/>
                <w:bCs/>
              </w:rPr>
            </w:pPr>
            <w:bookmarkStart w:id="119" w:name="_Hlk137235387"/>
            <w:r w:rsidRPr="008B1465">
              <w:rPr>
                <w:rFonts w:ascii="Times New Roman" w:hAnsi="Times New Roman"/>
                <w:b/>
                <w:bCs/>
              </w:rPr>
              <w:t>S/N</w:t>
            </w:r>
          </w:p>
        </w:tc>
        <w:tc>
          <w:tcPr>
            <w:tcW w:w="1544" w:type="pct"/>
            <w:tcBorders>
              <w:top w:val="thinThickSmallGap" w:sz="24" w:space="0" w:color="auto"/>
              <w:bottom w:val="thinThickSmallGap" w:sz="24" w:space="0" w:color="auto"/>
            </w:tcBorders>
            <w:shd w:val="clear" w:color="auto" w:fill="auto"/>
            <w:vAlign w:val="bottom"/>
          </w:tcPr>
          <w:p w14:paraId="4B5F8BF7" w14:textId="77777777" w:rsidR="00072188" w:rsidRPr="008B1465" w:rsidRDefault="00072188" w:rsidP="00072188">
            <w:pPr>
              <w:autoSpaceDE w:val="0"/>
              <w:autoSpaceDN w:val="0"/>
              <w:adjustRightInd w:val="0"/>
              <w:spacing w:before="0" w:beforeAutospacing="0" w:after="0" w:line="240" w:lineRule="auto"/>
              <w:jc w:val="center"/>
              <w:rPr>
                <w:rFonts w:ascii="Times New Roman" w:hAnsi="Times New Roman"/>
                <w:b/>
                <w:bCs/>
              </w:rPr>
            </w:pPr>
            <w:r w:rsidRPr="008B1465">
              <w:rPr>
                <w:rFonts w:ascii="Times New Roman" w:hAnsi="Times New Roman"/>
                <w:b/>
                <w:bCs/>
              </w:rPr>
              <w:t>Items</w:t>
            </w:r>
          </w:p>
        </w:tc>
        <w:tc>
          <w:tcPr>
            <w:tcW w:w="472" w:type="pct"/>
            <w:gridSpan w:val="2"/>
            <w:tcBorders>
              <w:top w:val="thinThickSmallGap" w:sz="24" w:space="0" w:color="auto"/>
              <w:bottom w:val="thinThickSmallGap" w:sz="24" w:space="0" w:color="auto"/>
            </w:tcBorders>
            <w:shd w:val="clear" w:color="auto" w:fill="auto"/>
            <w:vAlign w:val="bottom"/>
          </w:tcPr>
          <w:p w14:paraId="2B896DCE" w14:textId="781568ED" w:rsidR="00072188" w:rsidRPr="008B1465" w:rsidRDefault="00072188" w:rsidP="00072188">
            <w:pPr>
              <w:autoSpaceDE w:val="0"/>
              <w:autoSpaceDN w:val="0"/>
              <w:adjustRightInd w:val="0"/>
              <w:spacing w:before="0" w:beforeAutospacing="0" w:after="0" w:line="240" w:lineRule="auto"/>
              <w:ind w:left="60" w:right="60"/>
              <w:jc w:val="center"/>
              <w:rPr>
                <w:rFonts w:ascii="Times New Roman" w:hAnsi="Times New Roman"/>
                <w:b/>
                <w:bCs/>
              </w:rPr>
            </w:pPr>
            <w:r w:rsidRPr="008B1465">
              <w:rPr>
                <w:rFonts w:ascii="Times New Roman" w:hAnsi="Times New Roman"/>
                <w:b/>
                <w:bCs/>
              </w:rPr>
              <w:t>SD (%)</w:t>
            </w:r>
          </w:p>
        </w:tc>
        <w:tc>
          <w:tcPr>
            <w:tcW w:w="467" w:type="pct"/>
            <w:gridSpan w:val="2"/>
            <w:tcBorders>
              <w:top w:val="thinThickSmallGap" w:sz="24" w:space="0" w:color="auto"/>
              <w:bottom w:val="thinThickSmallGap" w:sz="24" w:space="0" w:color="auto"/>
            </w:tcBorders>
            <w:shd w:val="clear" w:color="auto" w:fill="auto"/>
            <w:vAlign w:val="bottom"/>
          </w:tcPr>
          <w:p w14:paraId="524640F7" w14:textId="510DABE8" w:rsidR="00072188" w:rsidRPr="008B1465" w:rsidRDefault="00072188" w:rsidP="00072188">
            <w:pPr>
              <w:autoSpaceDE w:val="0"/>
              <w:autoSpaceDN w:val="0"/>
              <w:adjustRightInd w:val="0"/>
              <w:spacing w:before="0" w:beforeAutospacing="0" w:after="0" w:line="240" w:lineRule="auto"/>
              <w:ind w:left="60" w:right="60"/>
              <w:jc w:val="center"/>
              <w:rPr>
                <w:rFonts w:ascii="Times New Roman" w:hAnsi="Times New Roman"/>
                <w:b/>
                <w:bCs/>
              </w:rPr>
            </w:pPr>
            <w:r w:rsidRPr="008B1465">
              <w:rPr>
                <w:rFonts w:ascii="Times New Roman" w:hAnsi="Times New Roman"/>
                <w:b/>
                <w:bCs/>
              </w:rPr>
              <w:t>D (%)</w:t>
            </w:r>
          </w:p>
        </w:tc>
        <w:tc>
          <w:tcPr>
            <w:tcW w:w="561" w:type="pct"/>
            <w:gridSpan w:val="2"/>
            <w:tcBorders>
              <w:top w:val="thinThickSmallGap" w:sz="24" w:space="0" w:color="auto"/>
              <w:bottom w:val="thinThickSmallGap" w:sz="24" w:space="0" w:color="auto"/>
            </w:tcBorders>
            <w:shd w:val="clear" w:color="auto" w:fill="auto"/>
            <w:vAlign w:val="bottom"/>
          </w:tcPr>
          <w:p w14:paraId="6C37285B" w14:textId="5C3EF97D" w:rsidR="00072188" w:rsidRPr="008B1465" w:rsidRDefault="00072188" w:rsidP="00072188">
            <w:pPr>
              <w:autoSpaceDE w:val="0"/>
              <w:autoSpaceDN w:val="0"/>
              <w:adjustRightInd w:val="0"/>
              <w:spacing w:before="0" w:beforeAutospacing="0" w:after="0" w:line="240" w:lineRule="auto"/>
              <w:ind w:left="60" w:right="60"/>
              <w:jc w:val="center"/>
              <w:rPr>
                <w:rFonts w:ascii="Times New Roman" w:hAnsi="Times New Roman"/>
                <w:b/>
                <w:bCs/>
              </w:rPr>
            </w:pPr>
            <w:r w:rsidRPr="008B1465">
              <w:rPr>
                <w:rFonts w:ascii="Times New Roman" w:hAnsi="Times New Roman"/>
                <w:b/>
                <w:bCs/>
              </w:rPr>
              <w:t>I (%)</w:t>
            </w:r>
          </w:p>
        </w:tc>
        <w:tc>
          <w:tcPr>
            <w:tcW w:w="560" w:type="pct"/>
            <w:gridSpan w:val="2"/>
            <w:tcBorders>
              <w:top w:val="thinThickSmallGap" w:sz="24" w:space="0" w:color="auto"/>
              <w:bottom w:val="thinThickSmallGap" w:sz="24" w:space="0" w:color="auto"/>
            </w:tcBorders>
            <w:shd w:val="clear" w:color="auto" w:fill="auto"/>
            <w:vAlign w:val="bottom"/>
          </w:tcPr>
          <w:p w14:paraId="1B142917" w14:textId="32199E44" w:rsidR="00072188" w:rsidRPr="008B1465" w:rsidRDefault="00072188" w:rsidP="00072188">
            <w:pPr>
              <w:autoSpaceDE w:val="0"/>
              <w:autoSpaceDN w:val="0"/>
              <w:adjustRightInd w:val="0"/>
              <w:spacing w:before="0" w:beforeAutospacing="0" w:after="0" w:line="240" w:lineRule="auto"/>
              <w:ind w:left="60" w:right="60"/>
              <w:jc w:val="center"/>
              <w:rPr>
                <w:rFonts w:ascii="Times New Roman" w:hAnsi="Times New Roman"/>
                <w:b/>
                <w:bCs/>
              </w:rPr>
            </w:pPr>
            <w:r w:rsidRPr="008B1465">
              <w:rPr>
                <w:rFonts w:ascii="Times New Roman" w:hAnsi="Times New Roman"/>
                <w:b/>
                <w:bCs/>
              </w:rPr>
              <w:t>A (%)</w:t>
            </w:r>
          </w:p>
        </w:tc>
        <w:tc>
          <w:tcPr>
            <w:tcW w:w="561" w:type="pct"/>
            <w:gridSpan w:val="2"/>
            <w:tcBorders>
              <w:top w:val="thinThickSmallGap" w:sz="24" w:space="0" w:color="auto"/>
              <w:bottom w:val="thinThickSmallGap" w:sz="24" w:space="0" w:color="auto"/>
            </w:tcBorders>
            <w:shd w:val="clear" w:color="auto" w:fill="auto"/>
            <w:vAlign w:val="bottom"/>
          </w:tcPr>
          <w:p w14:paraId="6F791EE9" w14:textId="5A1414E0" w:rsidR="00072188" w:rsidRPr="008B1465" w:rsidRDefault="00072188" w:rsidP="00072188">
            <w:pPr>
              <w:autoSpaceDE w:val="0"/>
              <w:autoSpaceDN w:val="0"/>
              <w:adjustRightInd w:val="0"/>
              <w:spacing w:before="0" w:beforeAutospacing="0" w:after="0" w:line="240" w:lineRule="auto"/>
              <w:ind w:left="60" w:right="60"/>
              <w:jc w:val="center"/>
              <w:rPr>
                <w:rFonts w:ascii="Times New Roman" w:hAnsi="Times New Roman"/>
                <w:b/>
                <w:bCs/>
              </w:rPr>
            </w:pPr>
            <w:r w:rsidRPr="008B1465">
              <w:rPr>
                <w:rFonts w:ascii="Times New Roman" w:hAnsi="Times New Roman"/>
                <w:b/>
                <w:bCs/>
              </w:rPr>
              <w:t>SA (%)</w:t>
            </w:r>
          </w:p>
        </w:tc>
        <w:tc>
          <w:tcPr>
            <w:tcW w:w="293" w:type="pct"/>
            <w:tcBorders>
              <w:top w:val="thinThickSmallGap" w:sz="24" w:space="0" w:color="auto"/>
              <w:bottom w:val="thinThickSmallGap" w:sz="24" w:space="0" w:color="auto"/>
            </w:tcBorders>
            <w:shd w:val="clear" w:color="auto" w:fill="auto"/>
            <w:vAlign w:val="bottom"/>
          </w:tcPr>
          <w:p w14:paraId="14A3BC65" w14:textId="36C67B3C" w:rsidR="00072188" w:rsidRPr="008B1465" w:rsidRDefault="00072188" w:rsidP="00072188">
            <w:pPr>
              <w:autoSpaceDE w:val="0"/>
              <w:autoSpaceDN w:val="0"/>
              <w:adjustRightInd w:val="0"/>
              <w:spacing w:before="0" w:beforeAutospacing="0" w:after="0" w:line="240" w:lineRule="auto"/>
              <w:ind w:left="60" w:right="60"/>
              <w:jc w:val="center"/>
              <w:rPr>
                <w:rFonts w:ascii="Times New Roman" w:hAnsi="Times New Roman"/>
                <w:b/>
                <w:bCs/>
              </w:rPr>
            </w:pPr>
            <w:r w:rsidRPr="00AA1F8B">
              <w:rPr>
                <w:rFonts w:ascii="Times New Roman" w:eastAsia="Calibri" w:hAnsi="Times New Roman"/>
                <w:b/>
                <w:bCs/>
                <w:sz w:val="28"/>
                <w:szCs w:val="28"/>
              </w:rPr>
              <w:t xml:space="preserve">  </w:t>
            </w:r>
            <m:oMath>
              <m:acc>
                <m:accPr>
                  <m:chr m:val="̅"/>
                  <m:ctrlPr>
                    <w:rPr>
                      <w:rFonts w:ascii="Cambria Math" w:eastAsia="Calibri" w:hAnsi="Cambria Math"/>
                      <w:b/>
                      <w:bCs/>
                      <w:i/>
                      <w:sz w:val="28"/>
                      <w:szCs w:val="28"/>
                    </w:rPr>
                  </m:ctrlPr>
                </m:accPr>
                <m:e>
                  <m:r>
                    <m:rPr>
                      <m:sty m:val="bi"/>
                    </m:rPr>
                    <w:rPr>
                      <w:rFonts w:ascii="Cambria Math" w:eastAsia="Calibri" w:hAnsi="Cambria Math"/>
                      <w:sz w:val="28"/>
                      <w:szCs w:val="28"/>
                    </w:rPr>
                    <m:t>x</m:t>
                  </m:r>
                </m:e>
              </m:acc>
            </m:oMath>
          </w:p>
        </w:tc>
        <w:tc>
          <w:tcPr>
            <w:tcW w:w="308" w:type="pct"/>
            <w:tcBorders>
              <w:top w:val="thinThickSmallGap" w:sz="24" w:space="0" w:color="auto"/>
              <w:bottom w:val="thinThickSmallGap" w:sz="24" w:space="0" w:color="auto"/>
            </w:tcBorders>
            <w:shd w:val="clear" w:color="auto" w:fill="auto"/>
            <w:vAlign w:val="bottom"/>
          </w:tcPr>
          <w:p w14:paraId="7CAFD7DA" w14:textId="54C8E84A" w:rsidR="00072188" w:rsidRPr="008B1465" w:rsidRDefault="00072188" w:rsidP="00072188">
            <w:pPr>
              <w:autoSpaceDE w:val="0"/>
              <w:autoSpaceDN w:val="0"/>
              <w:adjustRightInd w:val="0"/>
              <w:spacing w:before="0" w:beforeAutospacing="0" w:after="0" w:line="240" w:lineRule="auto"/>
              <w:ind w:left="60" w:right="60"/>
              <w:jc w:val="center"/>
              <w:rPr>
                <w:rFonts w:ascii="Times New Roman" w:hAnsi="Times New Roman"/>
                <w:b/>
                <w:bCs/>
              </w:rPr>
            </w:pPr>
            <w:r>
              <w:rPr>
                <w:rFonts w:ascii="Times New Roman" w:eastAsia="Calibri" w:hAnsi="Times New Roman"/>
                <w:b/>
                <w:bCs/>
              </w:rPr>
              <w:t>S</w:t>
            </w:r>
            <w:r w:rsidR="00957384">
              <w:rPr>
                <w:rFonts w:ascii="Times New Roman" w:eastAsia="Calibri" w:hAnsi="Times New Roman"/>
                <w:b/>
                <w:bCs/>
              </w:rPr>
              <w:t>T</w:t>
            </w:r>
            <w:r>
              <w:rPr>
                <w:rFonts w:ascii="Times New Roman" w:eastAsia="Calibri" w:hAnsi="Times New Roman"/>
                <w:b/>
                <w:bCs/>
              </w:rPr>
              <w:t xml:space="preserve">D </w:t>
            </w:r>
          </w:p>
        </w:tc>
      </w:tr>
      <w:tr w:rsidR="0026125E" w:rsidRPr="008B1465" w14:paraId="719E7F76" w14:textId="77777777" w:rsidTr="00065F24">
        <w:trPr>
          <w:cantSplit/>
          <w:trHeight w:val="754"/>
        </w:trPr>
        <w:tc>
          <w:tcPr>
            <w:tcW w:w="234" w:type="pct"/>
            <w:tcBorders>
              <w:top w:val="thinThickSmallGap" w:sz="24" w:space="0" w:color="auto"/>
            </w:tcBorders>
            <w:shd w:val="clear" w:color="auto" w:fill="auto"/>
          </w:tcPr>
          <w:p w14:paraId="71798FD7" w14:textId="77777777" w:rsidR="0026125E" w:rsidRPr="008B1465" w:rsidRDefault="0026125E" w:rsidP="0026125E">
            <w:pPr>
              <w:pStyle w:val="ListParagraph"/>
              <w:numPr>
                <w:ilvl w:val="0"/>
                <w:numId w:val="29"/>
              </w:numPr>
              <w:autoSpaceDE w:val="0"/>
              <w:autoSpaceDN w:val="0"/>
              <w:adjustRightInd w:val="0"/>
              <w:spacing w:before="0" w:beforeAutospacing="0" w:after="0" w:line="240" w:lineRule="auto"/>
              <w:ind w:right="60"/>
              <w:jc w:val="center"/>
              <w:rPr>
                <w:rFonts w:ascii="Times New Roman" w:hAnsi="Times New Roman"/>
                <w:sz w:val="18"/>
                <w:szCs w:val="18"/>
              </w:rPr>
            </w:pPr>
          </w:p>
        </w:tc>
        <w:tc>
          <w:tcPr>
            <w:tcW w:w="1544" w:type="pct"/>
            <w:tcBorders>
              <w:top w:val="thinThickSmallGap" w:sz="24" w:space="0" w:color="auto"/>
            </w:tcBorders>
            <w:shd w:val="clear" w:color="auto" w:fill="auto"/>
          </w:tcPr>
          <w:p w14:paraId="5F902443" w14:textId="77777777"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There are a sufficient number of qualified staff to undertake procurement required under the proposed project</w:t>
            </w:r>
          </w:p>
        </w:tc>
        <w:tc>
          <w:tcPr>
            <w:tcW w:w="191" w:type="pct"/>
            <w:tcBorders>
              <w:top w:val="thinThickSmallGap" w:sz="24" w:space="0" w:color="auto"/>
            </w:tcBorders>
            <w:shd w:val="clear" w:color="auto" w:fill="auto"/>
          </w:tcPr>
          <w:p w14:paraId="37CC139A"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2</w:t>
            </w:r>
          </w:p>
        </w:tc>
        <w:tc>
          <w:tcPr>
            <w:tcW w:w="281" w:type="pct"/>
            <w:tcBorders>
              <w:top w:val="thinThickSmallGap" w:sz="24" w:space="0" w:color="auto"/>
            </w:tcBorders>
            <w:shd w:val="clear" w:color="auto" w:fill="auto"/>
          </w:tcPr>
          <w:p w14:paraId="2B18DF0D" w14:textId="71E349A7"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(.5)</w:t>
            </w:r>
          </w:p>
        </w:tc>
        <w:tc>
          <w:tcPr>
            <w:tcW w:w="187" w:type="pct"/>
            <w:tcBorders>
              <w:top w:val="thinThickSmallGap" w:sz="24" w:space="0" w:color="auto"/>
            </w:tcBorders>
            <w:shd w:val="clear" w:color="auto" w:fill="auto"/>
          </w:tcPr>
          <w:p w14:paraId="7431C2F9"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24</w:t>
            </w:r>
          </w:p>
        </w:tc>
        <w:tc>
          <w:tcPr>
            <w:tcW w:w="280" w:type="pct"/>
            <w:tcBorders>
              <w:top w:val="thinThickSmallGap" w:sz="24" w:space="0" w:color="auto"/>
            </w:tcBorders>
            <w:shd w:val="clear" w:color="auto" w:fill="auto"/>
          </w:tcPr>
          <w:p w14:paraId="3411AEB6" w14:textId="3793DEE0"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(6.6)</w:t>
            </w:r>
          </w:p>
        </w:tc>
        <w:tc>
          <w:tcPr>
            <w:tcW w:w="233" w:type="pct"/>
            <w:tcBorders>
              <w:top w:val="thinThickSmallGap" w:sz="24" w:space="0" w:color="auto"/>
            </w:tcBorders>
            <w:shd w:val="clear" w:color="auto" w:fill="auto"/>
          </w:tcPr>
          <w:p w14:paraId="25685775"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126</w:t>
            </w:r>
          </w:p>
        </w:tc>
        <w:tc>
          <w:tcPr>
            <w:tcW w:w="328" w:type="pct"/>
            <w:tcBorders>
              <w:top w:val="thinThickSmallGap" w:sz="24" w:space="0" w:color="auto"/>
            </w:tcBorders>
            <w:shd w:val="clear" w:color="auto" w:fill="auto"/>
          </w:tcPr>
          <w:p w14:paraId="2EEFE717" w14:textId="052B3202"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(34.6)</w:t>
            </w:r>
          </w:p>
        </w:tc>
        <w:tc>
          <w:tcPr>
            <w:tcW w:w="233" w:type="pct"/>
            <w:tcBorders>
              <w:top w:val="thinThickSmallGap" w:sz="24" w:space="0" w:color="auto"/>
            </w:tcBorders>
            <w:shd w:val="clear" w:color="auto" w:fill="auto"/>
          </w:tcPr>
          <w:p w14:paraId="4481310D"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158</w:t>
            </w:r>
          </w:p>
        </w:tc>
        <w:tc>
          <w:tcPr>
            <w:tcW w:w="327" w:type="pct"/>
            <w:tcBorders>
              <w:top w:val="thinThickSmallGap" w:sz="24" w:space="0" w:color="auto"/>
            </w:tcBorders>
            <w:shd w:val="clear" w:color="auto" w:fill="auto"/>
          </w:tcPr>
          <w:p w14:paraId="2B439571" w14:textId="77839F5C"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(43.4)</w:t>
            </w:r>
          </w:p>
        </w:tc>
        <w:tc>
          <w:tcPr>
            <w:tcW w:w="233" w:type="pct"/>
            <w:tcBorders>
              <w:top w:val="thinThickSmallGap" w:sz="24" w:space="0" w:color="auto"/>
            </w:tcBorders>
            <w:shd w:val="clear" w:color="auto" w:fill="auto"/>
          </w:tcPr>
          <w:p w14:paraId="5AC8E219"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54</w:t>
            </w:r>
          </w:p>
        </w:tc>
        <w:tc>
          <w:tcPr>
            <w:tcW w:w="328" w:type="pct"/>
            <w:tcBorders>
              <w:top w:val="thinThickSmallGap" w:sz="24" w:space="0" w:color="auto"/>
            </w:tcBorders>
            <w:shd w:val="clear" w:color="auto" w:fill="auto"/>
          </w:tcPr>
          <w:p w14:paraId="6796AEF3" w14:textId="5DA299ED"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(14.8)</w:t>
            </w:r>
          </w:p>
        </w:tc>
        <w:tc>
          <w:tcPr>
            <w:tcW w:w="293" w:type="pct"/>
            <w:tcBorders>
              <w:top w:val="thinThickSmallGap" w:sz="24" w:space="0" w:color="auto"/>
            </w:tcBorders>
            <w:shd w:val="clear" w:color="auto" w:fill="auto"/>
          </w:tcPr>
          <w:p w14:paraId="1AC28043" w14:textId="4447132E" w:rsidR="0026125E" w:rsidRPr="00A71921"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A71921">
              <w:rPr>
                <w:rFonts w:ascii="Times New Roman" w:hAnsi="Times New Roman"/>
                <w:color w:val="010205"/>
                <w:sz w:val="18"/>
                <w:szCs w:val="18"/>
              </w:rPr>
              <w:t>3.65</w:t>
            </w:r>
          </w:p>
        </w:tc>
        <w:tc>
          <w:tcPr>
            <w:tcW w:w="308" w:type="pct"/>
            <w:tcBorders>
              <w:top w:val="thinThickSmallGap" w:sz="24" w:space="0" w:color="auto"/>
            </w:tcBorders>
            <w:shd w:val="clear" w:color="auto" w:fill="auto"/>
          </w:tcPr>
          <w:p w14:paraId="32BF57F7" w14:textId="208DACF3" w:rsidR="0026125E" w:rsidRPr="00A71921"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A71921">
              <w:rPr>
                <w:rFonts w:ascii="Times New Roman" w:hAnsi="Times New Roman"/>
                <w:color w:val="010205"/>
                <w:sz w:val="18"/>
                <w:szCs w:val="18"/>
              </w:rPr>
              <w:t>.831</w:t>
            </w:r>
          </w:p>
        </w:tc>
      </w:tr>
      <w:tr w:rsidR="0026125E" w:rsidRPr="008B1465" w14:paraId="0A380428" w14:textId="77777777" w:rsidTr="00065F24">
        <w:trPr>
          <w:cantSplit/>
          <w:trHeight w:val="542"/>
        </w:trPr>
        <w:tc>
          <w:tcPr>
            <w:tcW w:w="234" w:type="pct"/>
            <w:shd w:val="clear" w:color="auto" w:fill="auto"/>
          </w:tcPr>
          <w:p w14:paraId="688CBED0" w14:textId="77777777" w:rsidR="0026125E" w:rsidRPr="008B1465" w:rsidRDefault="0026125E" w:rsidP="0026125E">
            <w:pPr>
              <w:pStyle w:val="ListParagraph"/>
              <w:numPr>
                <w:ilvl w:val="0"/>
                <w:numId w:val="29"/>
              </w:numPr>
              <w:autoSpaceDE w:val="0"/>
              <w:autoSpaceDN w:val="0"/>
              <w:adjustRightInd w:val="0"/>
              <w:spacing w:before="0" w:beforeAutospacing="0" w:after="0" w:line="240" w:lineRule="auto"/>
              <w:ind w:right="60"/>
              <w:jc w:val="center"/>
              <w:rPr>
                <w:rFonts w:ascii="Times New Roman" w:hAnsi="Times New Roman"/>
                <w:sz w:val="18"/>
                <w:szCs w:val="18"/>
              </w:rPr>
            </w:pPr>
          </w:p>
        </w:tc>
        <w:tc>
          <w:tcPr>
            <w:tcW w:w="1544" w:type="pct"/>
            <w:shd w:val="clear" w:color="auto" w:fill="auto"/>
          </w:tcPr>
          <w:p w14:paraId="7A810F98" w14:textId="77777777"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There is a systematic process to identify procurement requirements at my university</w:t>
            </w:r>
          </w:p>
        </w:tc>
        <w:tc>
          <w:tcPr>
            <w:tcW w:w="191" w:type="pct"/>
            <w:shd w:val="clear" w:color="auto" w:fill="auto"/>
          </w:tcPr>
          <w:p w14:paraId="444038D9"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0</w:t>
            </w:r>
          </w:p>
        </w:tc>
        <w:tc>
          <w:tcPr>
            <w:tcW w:w="281" w:type="pct"/>
            <w:shd w:val="clear" w:color="auto" w:fill="auto"/>
          </w:tcPr>
          <w:p w14:paraId="6ED1B5C5" w14:textId="3A458C86"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(.0)</w:t>
            </w:r>
          </w:p>
        </w:tc>
        <w:tc>
          <w:tcPr>
            <w:tcW w:w="187" w:type="pct"/>
            <w:shd w:val="clear" w:color="auto" w:fill="auto"/>
          </w:tcPr>
          <w:p w14:paraId="7E3737B4"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36</w:t>
            </w:r>
          </w:p>
        </w:tc>
        <w:tc>
          <w:tcPr>
            <w:tcW w:w="280" w:type="pct"/>
            <w:shd w:val="clear" w:color="auto" w:fill="auto"/>
          </w:tcPr>
          <w:p w14:paraId="2760FF62" w14:textId="7E64645B"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(9.9)</w:t>
            </w:r>
          </w:p>
        </w:tc>
        <w:tc>
          <w:tcPr>
            <w:tcW w:w="233" w:type="pct"/>
            <w:shd w:val="clear" w:color="auto" w:fill="auto"/>
          </w:tcPr>
          <w:p w14:paraId="4F322A58"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64</w:t>
            </w:r>
          </w:p>
        </w:tc>
        <w:tc>
          <w:tcPr>
            <w:tcW w:w="328" w:type="pct"/>
            <w:shd w:val="clear" w:color="auto" w:fill="auto"/>
          </w:tcPr>
          <w:p w14:paraId="528F4058" w14:textId="1B6ECFEB"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(17.6)</w:t>
            </w:r>
          </w:p>
        </w:tc>
        <w:tc>
          <w:tcPr>
            <w:tcW w:w="233" w:type="pct"/>
            <w:shd w:val="clear" w:color="auto" w:fill="auto"/>
          </w:tcPr>
          <w:p w14:paraId="5CA449A8"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216</w:t>
            </w:r>
          </w:p>
        </w:tc>
        <w:tc>
          <w:tcPr>
            <w:tcW w:w="327" w:type="pct"/>
            <w:shd w:val="clear" w:color="auto" w:fill="auto"/>
          </w:tcPr>
          <w:p w14:paraId="25AA9C22" w14:textId="61C902F7"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(59.3)</w:t>
            </w:r>
          </w:p>
        </w:tc>
        <w:tc>
          <w:tcPr>
            <w:tcW w:w="233" w:type="pct"/>
            <w:shd w:val="clear" w:color="auto" w:fill="auto"/>
          </w:tcPr>
          <w:p w14:paraId="1D347F9F"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48</w:t>
            </w:r>
          </w:p>
        </w:tc>
        <w:tc>
          <w:tcPr>
            <w:tcW w:w="328" w:type="pct"/>
            <w:shd w:val="clear" w:color="auto" w:fill="auto"/>
          </w:tcPr>
          <w:p w14:paraId="0210C43E" w14:textId="2660762E"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(13.2)</w:t>
            </w:r>
          </w:p>
        </w:tc>
        <w:tc>
          <w:tcPr>
            <w:tcW w:w="293" w:type="pct"/>
            <w:shd w:val="clear" w:color="auto" w:fill="auto"/>
          </w:tcPr>
          <w:p w14:paraId="58452AF4" w14:textId="4472B129" w:rsidR="0026125E" w:rsidRPr="00A71921"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A71921">
              <w:rPr>
                <w:rFonts w:ascii="Times New Roman" w:hAnsi="Times New Roman"/>
                <w:color w:val="010205"/>
                <w:sz w:val="18"/>
                <w:szCs w:val="18"/>
              </w:rPr>
              <w:t>3.76</w:t>
            </w:r>
          </w:p>
        </w:tc>
        <w:tc>
          <w:tcPr>
            <w:tcW w:w="308" w:type="pct"/>
            <w:shd w:val="clear" w:color="auto" w:fill="auto"/>
          </w:tcPr>
          <w:p w14:paraId="708DC7D4" w14:textId="3CD938D5" w:rsidR="0026125E" w:rsidRPr="00A71921"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A71921">
              <w:rPr>
                <w:rFonts w:ascii="Times New Roman" w:hAnsi="Times New Roman"/>
                <w:color w:val="010205"/>
                <w:sz w:val="18"/>
                <w:szCs w:val="18"/>
              </w:rPr>
              <w:t>.804</w:t>
            </w:r>
          </w:p>
        </w:tc>
      </w:tr>
      <w:tr w:rsidR="0026125E" w:rsidRPr="008B1465" w14:paraId="1B15E09E" w14:textId="77777777" w:rsidTr="00072188">
        <w:trPr>
          <w:cantSplit/>
          <w:trHeight w:val="542"/>
        </w:trPr>
        <w:tc>
          <w:tcPr>
            <w:tcW w:w="234" w:type="pct"/>
            <w:shd w:val="clear" w:color="auto" w:fill="auto"/>
          </w:tcPr>
          <w:p w14:paraId="22043AFD" w14:textId="77777777" w:rsidR="0026125E" w:rsidRPr="008B1465" w:rsidRDefault="0026125E" w:rsidP="0026125E">
            <w:pPr>
              <w:pStyle w:val="ListParagraph"/>
              <w:numPr>
                <w:ilvl w:val="0"/>
                <w:numId w:val="29"/>
              </w:numPr>
              <w:autoSpaceDE w:val="0"/>
              <w:autoSpaceDN w:val="0"/>
              <w:adjustRightInd w:val="0"/>
              <w:spacing w:before="0" w:beforeAutospacing="0" w:after="0" w:line="240" w:lineRule="auto"/>
              <w:ind w:right="60"/>
              <w:jc w:val="center"/>
              <w:rPr>
                <w:rFonts w:ascii="Times New Roman" w:hAnsi="Times New Roman"/>
                <w:sz w:val="18"/>
                <w:szCs w:val="18"/>
              </w:rPr>
            </w:pPr>
          </w:p>
        </w:tc>
        <w:tc>
          <w:tcPr>
            <w:tcW w:w="1544" w:type="pct"/>
            <w:shd w:val="clear" w:color="auto" w:fill="auto"/>
          </w:tcPr>
          <w:p w14:paraId="1757C831" w14:textId="77777777"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Procurement department registers and tracks warranty and latent defects liability periods</w:t>
            </w:r>
          </w:p>
        </w:tc>
        <w:tc>
          <w:tcPr>
            <w:tcW w:w="191" w:type="pct"/>
            <w:shd w:val="clear" w:color="auto" w:fill="auto"/>
          </w:tcPr>
          <w:p w14:paraId="1DA7AFD5"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4</w:t>
            </w:r>
          </w:p>
        </w:tc>
        <w:tc>
          <w:tcPr>
            <w:tcW w:w="281" w:type="pct"/>
            <w:shd w:val="clear" w:color="auto" w:fill="auto"/>
          </w:tcPr>
          <w:p w14:paraId="4511426A" w14:textId="192CC38E"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(1.1)</w:t>
            </w:r>
          </w:p>
        </w:tc>
        <w:tc>
          <w:tcPr>
            <w:tcW w:w="187" w:type="pct"/>
            <w:shd w:val="clear" w:color="auto" w:fill="auto"/>
          </w:tcPr>
          <w:p w14:paraId="422DB3A6"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36</w:t>
            </w:r>
          </w:p>
        </w:tc>
        <w:tc>
          <w:tcPr>
            <w:tcW w:w="280" w:type="pct"/>
            <w:shd w:val="clear" w:color="auto" w:fill="auto"/>
          </w:tcPr>
          <w:p w14:paraId="6E51CAA8" w14:textId="1C6233A8"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(9.9)</w:t>
            </w:r>
          </w:p>
        </w:tc>
        <w:tc>
          <w:tcPr>
            <w:tcW w:w="233" w:type="pct"/>
            <w:shd w:val="clear" w:color="auto" w:fill="auto"/>
          </w:tcPr>
          <w:p w14:paraId="52D889B0"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100</w:t>
            </w:r>
          </w:p>
        </w:tc>
        <w:tc>
          <w:tcPr>
            <w:tcW w:w="328" w:type="pct"/>
            <w:shd w:val="clear" w:color="auto" w:fill="auto"/>
          </w:tcPr>
          <w:p w14:paraId="58270C1D" w14:textId="4ACFA80D"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(27.5)</w:t>
            </w:r>
          </w:p>
        </w:tc>
        <w:tc>
          <w:tcPr>
            <w:tcW w:w="233" w:type="pct"/>
            <w:shd w:val="clear" w:color="auto" w:fill="auto"/>
          </w:tcPr>
          <w:p w14:paraId="6D0892F1"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172</w:t>
            </w:r>
          </w:p>
        </w:tc>
        <w:tc>
          <w:tcPr>
            <w:tcW w:w="327" w:type="pct"/>
            <w:shd w:val="clear" w:color="auto" w:fill="auto"/>
          </w:tcPr>
          <w:p w14:paraId="7CFA22A8" w14:textId="68997276"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(47.3)</w:t>
            </w:r>
          </w:p>
        </w:tc>
        <w:tc>
          <w:tcPr>
            <w:tcW w:w="233" w:type="pct"/>
            <w:shd w:val="clear" w:color="auto" w:fill="auto"/>
          </w:tcPr>
          <w:p w14:paraId="231071A8"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52</w:t>
            </w:r>
          </w:p>
        </w:tc>
        <w:tc>
          <w:tcPr>
            <w:tcW w:w="328" w:type="pct"/>
            <w:shd w:val="clear" w:color="auto" w:fill="auto"/>
          </w:tcPr>
          <w:p w14:paraId="48E4FFCA" w14:textId="4C925F57"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(14.3)</w:t>
            </w:r>
          </w:p>
        </w:tc>
        <w:tc>
          <w:tcPr>
            <w:tcW w:w="293" w:type="pct"/>
            <w:shd w:val="clear" w:color="auto" w:fill="auto"/>
          </w:tcPr>
          <w:p w14:paraId="1435C659" w14:textId="09EC5C81" w:rsidR="0026125E" w:rsidRPr="00A71921"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A71921">
              <w:rPr>
                <w:rFonts w:ascii="Times New Roman" w:hAnsi="Times New Roman"/>
                <w:color w:val="010205"/>
                <w:sz w:val="18"/>
                <w:szCs w:val="18"/>
              </w:rPr>
              <w:t>3.64</w:t>
            </w:r>
          </w:p>
        </w:tc>
        <w:tc>
          <w:tcPr>
            <w:tcW w:w="308" w:type="pct"/>
            <w:shd w:val="clear" w:color="auto" w:fill="auto"/>
          </w:tcPr>
          <w:p w14:paraId="6E06EF43" w14:textId="2835DF35" w:rsidR="0026125E" w:rsidRPr="00A71921"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A71921">
              <w:rPr>
                <w:rFonts w:ascii="Times New Roman" w:hAnsi="Times New Roman"/>
                <w:color w:val="010205"/>
                <w:sz w:val="18"/>
                <w:szCs w:val="18"/>
              </w:rPr>
              <w:t>.885</w:t>
            </w:r>
          </w:p>
        </w:tc>
      </w:tr>
      <w:tr w:rsidR="0026125E" w:rsidRPr="008B1465" w14:paraId="12F9A009" w14:textId="77777777" w:rsidTr="00072188">
        <w:trPr>
          <w:cantSplit/>
          <w:trHeight w:val="818"/>
        </w:trPr>
        <w:tc>
          <w:tcPr>
            <w:tcW w:w="234" w:type="pct"/>
            <w:shd w:val="clear" w:color="auto" w:fill="auto"/>
          </w:tcPr>
          <w:p w14:paraId="3156C9DE" w14:textId="77777777" w:rsidR="0026125E" w:rsidRPr="008B1465" w:rsidRDefault="0026125E" w:rsidP="0026125E">
            <w:pPr>
              <w:pStyle w:val="ListParagraph"/>
              <w:numPr>
                <w:ilvl w:val="0"/>
                <w:numId w:val="29"/>
              </w:numPr>
              <w:autoSpaceDE w:val="0"/>
              <w:autoSpaceDN w:val="0"/>
              <w:adjustRightInd w:val="0"/>
              <w:spacing w:before="0" w:beforeAutospacing="0" w:after="0" w:line="240" w:lineRule="auto"/>
              <w:ind w:right="60"/>
              <w:jc w:val="center"/>
              <w:rPr>
                <w:rFonts w:ascii="Times New Roman" w:hAnsi="Times New Roman"/>
                <w:sz w:val="18"/>
                <w:szCs w:val="18"/>
              </w:rPr>
            </w:pPr>
          </w:p>
        </w:tc>
        <w:tc>
          <w:tcPr>
            <w:tcW w:w="1544" w:type="pct"/>
            <w:shd w:val="clear" w:color="auto" w:fill="auto"/>
          </w:tcPr>
          <w:p w14:paraId="698B1387" w14:textId="77777777"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There is a standard statement of ethics and those involved in procurement are required to formally be committed</w:t>
            </w:r>
          </w:p>
        </w:tc>
        <w:tc>
          <w:tcPr>
            <w:tcW w:w="191" w:type="pct"/>
            <w:shd w:val="clear" w:color="auto" w:fill="auto"/>
          </w:tcPr>
          <w:p w14:paraId="1778FFA2"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2</w:t>
            </w:r>
          </w:p>
        </w:tc>
        <w:tc>
          <w:tcPr>
            <w:tcW w:w="281" w:type="pct"/>
            <w:shd w:val="clear" w:color="auto" w:fill="auto"/>
          </w:tcPr>
          <w:p w14:paraId="17F3984F" w14:textId="4E2A4878"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(.5)</w:t>
            </w:r>
          </w:p>
        </w:tc>
        <w:tc>
          <w:tcPr>
            <w:tcW w:w="187" w:type="pct"/>
            <w:shd w:val="clear" w:color="auto" w:fill="auto"/>
          </w:tcPr>
          <w:p w14:paraId="7726D9D9"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16</w:t>
            </w:r>
          </w:p>
        </w:tc>
        <w:tc>
          <w:tcPr>
            <w:tcW w:w="280" w:type="pct"/>
            <w:shd w:val="clear" w:color="auto" w:fill="auto"/>
          </w:tcPr>
          <w:p w14:paraId="28806127" w14:textId="0901929D"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(4.4)</w:t>
            </w:r>
          </w:p>
        </w:tc>
        <w:tc>
          <w:tcPr>
            <w:tcW w:w="233" w:type="pct"/>
            <w:shd w:val="clear" w:color="auto" w:fill="auto"/>
          </w:tcPr>
          <w:p w14:paraId="601BF0CE"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60</w:t>
            </w:r>
          </w:p>
        </w:tc>
        <w:tc>
          <w:tcPr>
            <w:tcW w:w="328" w:type="pct"/>
            <w:shd w:val="clear" w:color="auto" w:fill="auto"/>
          </w:tcPr>
          <w:p w14:paraId="2AF1EE4C" w14:textId="159D338F"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(16.5)</w:t>
            </w:r>
          </w:p>
        </w:tc>
        <w:tc>
          <w:tcPr>
            <w:tcW w:w="233" w:type="pct"/>
            <w:shd w:val="clear" w:color="auto" w:fill="auto"/>
          </w:tcPr>
          <w:p w14:paraId="1E4F9CD3"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228</w:t>
            </w:r>
          </w:p>
        </w:tc>
        <w:tc>
          <w:tcPr>
            <w:tcW w:w="327" w:type="pct"/>
            <w:shd w:val="clear" w:color="auto" w:fill="auto"/>
          </w:tcPr>
          <w:p w14:paraId="6F3FFB81" w14:textId="0F77237F"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(62.6)</w:t>
            </w:r>
          </w:p>
        </w:tc>
        <w:tc>
          <w:tcPr>
            <w:tcW w:w="233" w:type="pct"/>
            <w:shd w:val="clear" w:color="auto" w:fill="auto"/>
          </w:tcPr>
          <w:p w14:paraId="04A06E31"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58</w:t>
            </w:r>
          </w:p>
        </w:tc>
        <w:tc>
          <w:tcPr>
            <w:tcW w:w="328" w:type="pct"/>
            <w:shd w:val="clear" w:color="auto" w:fill="auto"/>
          </w:tcPr>
          <w:p w14:paraId="19AFF7B0" w14:textId="4FCB7D4A"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(15.9)</w:t>
            </w:r>
          </w:p>
        </w:tc>
        <w:tc>
          <w:tcPr>
            <w:tcW w:w="293" w:type="pct"/>
            <w:shd w:val="clear" w:color="auto" w:fill="auto"/>
          </w:tcPr>
          <w:p w14:paraId="0EBDE306" w14:textId="3CEF2B96" w:rsidR="0026125E" w:rsidRPr="00A71921"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A71921">
              <w:rPr>
                <w:rFonts w:ascii="Times New Roman" w:hAnsi="Times New Roman"/>
                <w:color w:val="010205"/>
                <w:sz w:val="18"/>
                <w:szCs w:val="18"/>
              </w:rPr>
              <w:t>3.89</w:t>
            </w:r>
          </w:p>
        </w:tc>
        <w:tc>
          <w:tcPr>
            <w:tcW w:w="308" w:type="pct"/>
            <w:shd w:val="clear" w:color="auto" w:fill="auto"/>
          </w:tcPr>
          <w:p w14:paraId="25BB069E" w14:textId="342B5E59" w:rsidR="0026125E" w:rsidRPr="00A71921"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A71921">
              <w:rPr>
                <w:rFonts w:ascii="Times New Roman" w:hAnsi="Times New Roman"/>
                <w:color w:val="010205"/>
                <w:sz w:val="18"/>
                <w:szCs w:val="18"/>
              </w:rPr>
              <w:t>.734</w:t>
            </w:r>
          </w:p>
        </w:tc>
      </w:tr>
      <w:tr w:rsidR="0026125E" w:rsidRPr="008B1465" w14:paraId="7591CE3B" w14:textId="77777777" w:rsidTr="00072188">
        <w:trPr>
          <w:cantSplit/>
          <w:trHeight w:val="809"/>
        </w:trPr>
        <w:tc>
          <w:tcPr>
            <w:tcW w:w="234" w:type="pct"/>
            <w:shd w:val="clear" w:color="auto" w:fill="auto"/>
          </w:tcPr>
          <w:p w14:paraId="0D7D3B6F" w14:textId="77777777" w:rsidR="0026125E" w:rsidRPr="008B1465" w:rsidRDefault="0026125E" w:rsidP="0026125E">
            <w:pPr>
              <w:pStyle w:val="ListParagraph"/>
              <w:numPr>
                <w:ilvl w:val="0"/>
                <w:numId w:val="29"/>
              </w:numPr>
              <w:autoSpaceDE w:val="0"/>
              <w:autoSpaceDN w:val="0"/>
              <w:adjustRightInd w:val="0"/>
              <w:spacing w:before="0" w:beforeAutospacing="0" w:after="0" w:line="240" w:lineRule="auto"/>
              <w:ind w:right="60"/>
              <w:jc w:val="center"/>
              <w:rPr>
                <w:rFonts w:ascii="Times New Roman" w:hAnsi="Times New Roman"/>
                <w:sz w:val="18"/>
                <w:szCs w:val="18"/>
              </w:rPr>
            </w:pPr>
          </w:p>
        </w:tc>
        <w:tc>
          <w:tcPr>
            <w:tcW w:w="1544" w:type="pct"/>
            <w:shd w:val="clear" w:color="auto" w:fill="auto"/>
          </w:tcPr>
          <w:p w14:paraId="185DD3B7" w14:textId="77777777"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Those involved in procurement are required to declare any potential conflict of interest and remove such from the procurement process</w:t>
            </w:r>
          </w:p>
        </w:tc>
        <w:tc>
          <w:tcPr>
            <w:tcW w:w="191" w:type="pct"/>
            <w:shd w:val="clear" w:color="auto" w:fill="auto"/>
          </w:tcPr>
          <w:p w14:paraId="628FC468"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0</w:t>
            </w:r>
          </w:p>
        </w:tc>
        <w:tc>
          <w:tcPr>
            <w:tcW w:w="281" w:type="pct"/>
            <w:shd w:val="clear" w:color="auto" w:fill="auto"/>
          </w:tcPr>
          <w:p w14:paraId="406EBB13" w14:textId="5612EAF6"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(.0)</w:t>
            </w:r>
          </w:p>
        </w:tc>
        <w:tc>
          <w:tcPr>
            <w:tcW w:w="187" w:type="pct"/>
            <w:shd w:val="clear" w:color="auto" w:fill="auto"/>
          </w:tcPr>
          <w:p w14:paraId="730B93F4"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18</w:t>
            </w:r>
          </w:p>
        </w:tc>
        <w:tc>
          <w:tcPr>
            <w:tcW w:w="280" w:type="pct"/>
            <w:shd w:val="clear" w:color="auto" w:fill="auto"/>
          </w:tcPr>
          <w:p w14:paraId="1E37DF7E" w14:textId="53DAB93F"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(4.9)</w:t>
            </w:r>
          </w:p>
        </w:tc>
        <w:tc>
          <w:tcPr>
            <w:tcW w:w="233" w:type="pct"/>
            <w:shd w:val="clear" w:color="auto" w:fill="auto"/>
          </w:tcPr>
          <w:p w14:paraId="6085B552"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94</w:t>
            </w:r>
          </w:p>
        </w:tc>
        <w:tc>
          <w:tcPr>
            <w:tcW w:w="328" w:type="pct"/>
            <w:shd w:val="clear" w:color="auto" w:fill="auto"/>
          </w:tcPr>
          <w:p w14:paraId="0489EEBF" w14:textId="27992AC3"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(25.8)</w:t>
            </w:r>
          </w:p>
        </w:tc>
        <w:tc>
          <w:tcPr>
            <w:tcW w:w="233" w:type="pct"/>
            <w:shd w:val="clear" w:color="auto" w:fill="auto"/>
          </w:tcPr>
          <w:p w14:paraId="3A98D4B4"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162</w:t>
            </w:r>
          </w:p>
        </w:tc>
        <w:tc>
          <w:tcPr>
            <w:tcW w:w="327" w:type="pct"/>
            <w:shd w:val="clear" w:color="auto" w:fill="auto"/>
          </w:tcPr>
          <w:p w14:paraId="1424C387" w14:textId="3E9C5BB6"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(44.5)</w:t>
            </w:r>
          </w:p>
        </w:tc>
        <w:tc>
          <w:tcPr>
            <w:tcW w:w="233" w:type="pct"/>
            <w:shd w:val="clear" w:color="auto" w:fill="auto"/>
          </w:tcPr>
          <w:p w14:paraId="616DC61E"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90</w:t>
            </w:r>
          </w:p>
        </w:tc>
        <w:tc>
          <w:tcPr>
            <w:tcW w:w="328" w:type="pct"/>
            <w:shd w:val="clear" w:color="auto" w:fill="auto"/>
          </w:tcPr>
          <w:p w14:paraId="4B564FF4" w14:textId="44C4DFD3"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(24.7)</w:t>
            </w:r>
          </w:p>
        </w:tc>
        <w:tc>
          <w:tcPr>
            <w:tcW w:w="293" w:type="pct"/>
            <w:shd w:val="clear" w:color="auto" w:fill="auto"/>
          </w:tcPr>
          <w:p w14:paraId="4946226D" w14:textId="6F191678" w:rsidR="0026125E" w:rsidRPr="00A71921"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A71921">
              <w:rPr>
                <w:rFonts w:ascii="Times New Roman" w:hAnsi="Times New Roman"/>
                <w:color w:val="010205"/>
                <w:sz w:val="18"/>
                <w:szCs w:val="18"/>
              </w:rPr>
              <w:t>3.89</w:t>
            </w:r>
          </w:p>
        </w:tc>
        <w:tc>
          <w:tcPr>
            <w:tcW w:w="308" w:type="pct"/>
            <w:shd w:val="clear" w:color="auto" w:fill="auto"/>
          </w:tcPr>
          <w:p w14:paraId="22A380D2" w14:textId="37E6E122" w:rsidR="0026125E" w:rsidRPr="00A71921"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A71921">
              <w:rPr>
                <w:rFonts w:ascii="Times New Roman" w:hAnsi="Times New Roman"/>
                <w:color w:val="010205"/>
                <w:sz w:val="18"/>
                <w:szCs w:val="18"/>
              </w:rPr>
              <w:t>.833</w:t>
            </w:r>
          </w:p>
        </w:tc>
      </w:tr>
      <w:tr w:rsidR="0026125E" w:rsidRPr="008B1465" w14:paraId="1CC8B913" w14:textId="77777777" w:rsidTr="00072188">
        <w:trPr>
          <w:cantSplit/>
          <w:trHeight w:val="726"/>
        </w:trPr>
        <w:tc>
          <w:tcPr>
            <w:tcW w:w="234" w:type="pct"/>
            <w:shd w:val="clear" w:color="auto" w:fill="auto"/>
          </w:tcPr>
          <w:p w14:paraId="75A19462" w14:textId="77777777" w:rsidR="0026125E" w:rsidRPr="008B1465" w:rsidRDefault="0026125E" w:rsidP="0026125E">
            <w:pPr>
              <w:pStyle w:val="ListParagraph"/>
              <w:numPr>
                <w:ilvl w:val="0"/>
                <w:numId w:val="29"/>
              </w:numPr>
              <w:autoSpaceDE w:val="0"/>
              <w:autoSpaceDN w:val="0"/>
              <w:adjustRightInd w:val="0"/>
              <w:spacing w:before="0" w:beforeAutospacing="0" w:after="0" w:line="240" w:lineRule="auto"/>
              <w:ind w:right="60"/>
              <w:jc w:val="center"/>
              <w:rPr>
                <w:rFonts w:ascii="Times New Roman" w:hAnsi="Times New Roman"/>
                <w:sz w:val="18"/>
                <w:szCs w:val="18"/>
              </w:rPr>
            </w:pPr>
          </w:p>
        </w:tc>
        <w:tc>
          <w:tcPr>
            <w:tcW w:w="1544" w:type="pct"/>
            <w:shd w:val="clear" w:color="auto" w:fill="auto"/>
          </w:tcPr>
          <w:p w14:paraId="52C6639E" w14:textId="77777777"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Those who approve procurement transactions have procurement experience and qualifications to that effect</w:t>
            </w:r>
          </w:p>
        </w:tc>
        <w:tc>
          <w:tcPr>
            <w:tcW w:w="191" w:type="pct"/>
            <w:shd w:val="clear" w:color="auto" w:fill="auto"/>
          </w:tcPr>
          <w:p w14:paraId="1FE89385"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0</w:t>
            </w:r>
          </w:p>
        </w:tc>
        <w:tc>
          <w:tcPr>
            <w:tcW w:w="281" w:type="pct"/>
            <w:shd w:val="clear" w:color="auto" w:fill="auto"/>
          </w:tcPr>
          <w:p w14:paraId="3870171B" w14:textId="024E10E0"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(.0)</w:t>
            </w:r>
          </w:p>
        </w:tc>
        <w:tc>
          <w:tcPr>
            <w:tcW w:w="187" w:type="pct"/>
            <w:shd w:val="clear" w:color="auto" w:fill="auto"/>
          </w:tcPr>
          <w:p w14:paraId="3F332CB8"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18</w:t>
            </w:r>
          </w:p>
        </w:tc>
        <w:tc>
          <w:tcPr>
            <w:tcW w:w="280" w:type="pct"/>
            <w:shd w:val="clear" w:color="auto" w:fill="auto"/>
          </w:tcPr>
          <w:p w14:paraId="29475461" w14:textId="3F705787"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(4.9)</w:t>
            </w:r>
          </w:p>
        </w:tc>
        <w:tc>
          <w:tcPr>
            <w:tcW w:w="233" w:type="pct"/>
            <w:shd w:val="clear" w:color="auto" w:fill="auto"/>
          </w:tcPr>
          <w:p w14:paraId="307CD64B"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100</w:t>
            </w:r>
          </w:p>
        </w:tc>
        <w:tc>
          <w:tcPr>
            <w:tcW w:w="328" w:type="pct"/>
            <w:shd w:val="clear" w:color="auto" w:fill="auto"/>
          </w:tcPr>
          <w:p w14:paraId="4035D8E8" w14:textId="7D2C4D29"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(27.5)</w:t>
            </w:r>
          </w:p>
        </w:tc>
        <w:tc>
          <w:tcPr>
            <w:tcW w:w="233" w:type="pct"/>
            <w:shd w:val="clear" w:color="auto" w:fill="auto"/>
          </w:tcPr>
          <w:p w14:paraId="6CCF1811"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146</w:t>
            </w:r>
          </w:p>
        </w:tc>
        <w:tc>
          <w:tcPr>
            <w:tcW w:w="327" w:type="pct"/>
            <w:shd w:val="clear" w:color="auto" w:fill="auto"/>
          </w:tcPr>
          <w:p w14:paraId="5FDB3192" w14:textId="523E6458"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(40.1)</w:t>
            </w:r>
          </w:p>
        </w:tc>
        <w:tc>
          <w:tcPr>
            <w:tcW w:w="233" w:type="pct"/>
            <w:shd w:val="clear" w:color="auto" w:fill="auto"/>
          </w:tcPr>
          <w:p w14:paraId="77098F5E"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100</w:t>
            </w:r>
          </w:p>
        </w:tc>
        <w:tc>
          <w:tcPr>
            <w:tcW w:w="328" w:type="pct"/>
            <w:shd w:val="clear" w:color="auto" w:fill="auto"/>
          </w:tcPr>
          <w:p w14:paraId="44CE077A" w14:textId="058E7255"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(27.5)</w:t>
            </w:r>
          </w:p>
        </w:tc>
        <w:tc>
          <w:tcPr>
            <w:tcW w:w="293" w:type="pct"/>
            <w:shd w:val="clear" w:color="auto" w:fill="auto"/>
          </w:tcPr>
          <w:p w14:paraId="2F01B6C0" w14:textId="522AD97F" w:rsidR="0026125E" w:rsidRPr="00A71921"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A71921">
              <w:rPr>
                <w:rFonts w:ascii="Times New Roman" w:hAnsi="Times New Roman"/>
                <w:color w:val="010205"/>
                <w:sz w:val="18"/>
                <w:szCs w:val="18"/>
              </w:rPr>
              <w:t>3.90</w:t>
            </w:r>
          </w:p>
        </w:tc>
        <w:tc>
          <w:tcPr>
            <w:tcW w:w="308" w:type="pct"/>
            <w:shd w:val="clear" w:color="auto" w:fill="auto"/>
          </w:tcPr>
          <w:p w14:paraId="6FCCBF03" w14:textId="41002439" w:rsidR="0026125E" w:rsidRPr="00A71921"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A71921">
              <w:rPr>
                <w:rFonts w:ascii="Times New Roman" w:hAnsi="Times New Roman"/>
                <w:color w:val="010205"/>
                <w:sz w:val="18"/>
                <w:szCs w:val="18"/>
              </w:rPr>
              <w:t>.860</w:t>
            </w:r>
          </w:p>
        </w:tc>
      </w:tr>
      <w:tr w:rsidR="0026125E" w:rsidRPr="008B1465" w14:paraId="404F3FA1" w14:textId="77777777" w:rsidTr="00072188">
        <w:trPr>
          <w:cantSplit/>
          <w:trHeight w:val="1095"/>
        </w:trPr>
        <w:tc>
          <w:tcPr>
            <w:tcW w:w="234" w:type="pct"/>
            <w:tcBorders>
              <w:bottom w:val="thinThickSmallGap" w:sz="24" w:space="0" w:color="auto"/>
            </w:tcBorders>
            <w:shd w:val="clear" w:color="auto" w:fill="auto"/>
          </w:tcPr>
          <w:p w14:paraId="5B70BF6E" w14:textId="77777777" w:rsidR="0026125E" w:rsidRPr="008B1465" w:rsidRDefault="0026125E" w:rsidP="0026125E">
            <w:pPr>
              <w:pStyle w:val="ListParagraph"/>
              <w:numPr>
                <w:ilvl w:val="0"/>
                <w:numId w:val="29"/>
              </w:numPr>
              <w:autoSpaceDE w:val="0"/>
              <w:autoSpaceDN w:val="0"/>
              <w:adjustRightInd w:val="0"/>
              <w:spacing w:before="0" w:beforeAutospacing="0" w:after="0" w:line="240" w:lineRule="auto"/>
              <w:ind w:right="60"/>
              <w:jc w:val="center"/>
              <w:rPr>
                <w:rFonts w:ascii="Times New Roman" w:hAnsi="Times New Roman"/>
                <w:sz w:val="18"/>
                <w:szCs w:val="18"/>
              </w:rPr>
            </w:pPr>
            <w:r w:rsidRPr="008B1465">
              <w:rPr>
                <w:sz w:val="18"/>
                <w:szCs w:val="18"/>
              </w:rPr>
              <w:br w:type="page"/>
            </w:r>
          </w:p>
        </w:tc>
        <w:tc>
          <w:tcPr>
            <w:tcW w:w="1544" w:type="pct"/>
            <w:tcBorders>
              <w:bottom w:val="thinThickSmallGap" w:sz="24" w:space="0" w:color="auto"/>
            </w:tcBorders>
            <w:shd w:val="clear" w:color="auto" w:fill="auto"/>
          </w:tcPr>
          <w:p w14:paraId="0F6CBB47" w14:textId="77777777"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Procurement decisions and disputes are supported by written narratives such as minutes of evaluation, minutes of negotiation, and notices of default / withheld payment.</w:t>
            </w:r>
          </w:p>
        </w:tc>
        <w:tc>
          <w:tcPr>
            <w:tcW w:w="191" w:type="pct"/>
            <w:tcBorders>
              <w:bottom w:val="thinThickSmallGap" w:sz="24" w:space="0" w:color="auto"/>
            </w:tcBorders>
            <w:shd w:val="clear" w:color="auto" w:fill="auto"/>
          </w:tcPr>
          <w:p w14:paraId="59593DE0"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0</w:t>
            </w:r>
          </w:p>
        </w:tc>
        <w:tc>
          <w:tcPr>
            <w:tcW w:w="281" w:type="pct"/>
            <w:tcBorders>
              <w:bottom w:val="thinThickSmallGap" w:sz="24" w:space="0" w:color="auto"/>
            </w:tcBorders>
            <w:shd w:val="clear" w:color="auto" w:fill="auto"/>
          </w:tcPr>
          <w:p w14:paraId="4FA7A539" w14:textId="77777777"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(.0)</w:t>
            </w:r>
          </w:p>
        </w:tc>
        <w:tc>
          <w:tcPr>
            <w:tcW w:w="187" w:type="pct"/>
            <w:tcBorders>
              <w:bottom w:val="thinThickSmallGap" w:sz="24" w:space="0" w:color="auto"/>
            </w:tcBorders>
            <w:shd w:val="clear" w:color="auto" w:fill="auto"/>
          </w:tcPr>
          <w:p w14:paraId="6D7A564B"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18</w:t>
            </w:r>
          </w:p>
        </w:tc>
        <w:tc>
          <w:tcPr>
            <w:tcW w:w="280" w:type="pct"/>
            <w:tcBorders>
              <w:bottom w:val="thinThickSmallGap" w:sz="24" w:space="0" w:color="auto"/>
            </w:tcBorders>
            <w:shd w:val="clear" w:color="auto" w:fill="auto"/>
          </w:tcPr>
          <w:p w14:paraId="094D6C3E" w14:textId="77777777"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(4.9)</w:t>
            </w:r>
          </w:p>
        </w:tc>
        <w:tc>
          <w:tcPr>
            <w:tcW w:w="233" w:type="pct"/>
            <w:tcBorders>
              <w:bottom w:val="thinThickSmallGap" w:sz="24" w:space="0" w:color="auto"/>
            </w:tcBorders>
            <w:shd w:val="clear" w:color="auto" w:fill="auto"/>
          </w:tcPr>
          <w:p w14:paraId="7A3E36B3"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102</w:t>
            </w:r>
          </w:p>
        </w:tc>
        <w:tc>
          <w:tcPr>
            <w:tcW w:w="328" w:type="pct"/>
            <w:tcBorders>
              <w:bottom w:val="thinThickSmallGap" w:sz="24" w:space="0" w:color="auto"/>
            </w:tcBorders>
            <w:shd w:val="clear" w:color="auto" w:fill="auto"/>
          </w:tcPr>
          <w:p w14:paraId="3FC5695D" w14:textId="77777777"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(28.0)</w:t>
            </w:r>
          </w:p>
        </w:tc>
        <w:tc>
          <w:tcPr>
            <w:tcW w:w="233" w:type="pct"/>
            <w:tcBorders>
              <w:bottom w:val="thinThickSmallGap" w:sz="24" w:space="0" w:color="auto"/>
            </w:tcBorders>
            <w:shd w:val="clear" w:color="auto" w:fill="auto"/>
          </w:tcPr>
          <w:p w14:paraId="1367E3D6"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168</w:t>
            </w:r>
          </w:p>
        </w:tc>
        <w:tc>
          <w:tcPr>
            <w:tcW w:w="327" w:type="pct"/>
            <w:tcBorders>
              <w:bottom w:val="thinThickSmallGap" w:sz="24" w:space="0" w:color="auto"/>
            </w:tcBorders>
            <w:shd w:val="clear" w:color="auto" w:fill="auto"/>
          </w:tcPr>
          <w:p w14:paraId="139C546C" w14:textId="77777777"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(46.2)</w:t>
            </w:r>
          </w:p>
        </w:tc>
        <w:tc>
          <w:tcPr>
            <w:tcW w:w="233" w:type="pct"/>
            <w:tcBorders>
              <w:bottom w:val="thinThickSmallGap" w:sz="24" w:space="0" w:color="auto"/>
            </w:tcBorders>
            <w:shd w:val="clear" w:color="auto" w:fill="auto"/>
          </w:tcPr>
          <w:p w14:paraId="6F5F783E" w14:textId="77777777"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76</w:t>
            </w:r>
          </w:p>
        </w:tc>
        <w:tc>
          <w:tcPr>
            <w:tcW w:w="328" w:type="pct"/>
            <w:tcBorders>
              <w:bottom w:val="thinThickSmallGap" w:sz="24" w:space="0" w:color="auto"/>
            </w:tcBorders>
            <w:shd w:val="clear" w:color="auto" w:fill="auto"/>
          </w:tcPr>
          <w:p w14:paraId="3C94C787" w14:textId="5B592287"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(20.9)</w:t>
            </w:r>
          </w:p>
        </w:tc>
        <w:tc>
          <w:tcPr>
            <w:tcW w:w="293" w:type="pct"/>
            <w:tcBorders>
              <w:bottom w:val="thinThickSmallGap" w:sz="24" w:space="0" w:color="auto"/>
            </w:tcBorders>
            <w:shd w:val="clear" w:color="auto" w:fill="auto"/>
          </w:tcPr>
          <w:p w14:paraId="32B75A30" w14:textId="1BAF2438" w:rsidR="0026125E" w:rsidRPr="008B1465" w:rsidRDefault="0026125E" w:rsidP="0026125E">
            <w:pPr>
              <w:autoSpaceDE w:val="0"/>
              <w:autoSpaceDN w:val="0"/>
              <w:adjustRightInd w:val="0"/>
              <w:spacing w:before="0" w:beforeAutospacing="0" w:after="0" w:line="240" w:lineRule="auto"/>
              <w:ind w:left="60" w:right="60"/>
              <w:jc w:val="right"/>
              <w:rPr>
                <w:rFonts w:ascii="Times New Roman" w:hAnsi="Times New Roman"/>
                <w:sz w:val="18"/>
                <w:szCs w:val="18"/>
              </w:rPr>
            </w:pPr>
            <w:r w:rsidRPr="00340236">
              <w:rPr>
                <w:rFonts w:ascii="Arial" w:hAnsi="Arial" w:cs="Arial"/>
                <w:color w:val="010205"/>
                <w:sz w:val="18"/>
                <w:szCs w:val="18"/>
              </w:rPr>
              <w:t>3.65</w:t>
            </w:r>
          </w:p>
        </w:tc>
        <w:tc>
          <w:tcPr>
            <w:tcW w:w="308" w:type="pct"/>
            <w:tcBorders>
              <w:bottom w:val="thinThickSmallGap" w:sz="24" w:space="0" w:color="auto"/>
            </w:tcBorders>
            <w:shd w:val="clear" w:color="auto" w:fill="auto"/>
          </w:tcPr>
          <w:p w14:paraId="3F0BBC9A" w14:textId="7B1A34A7" w:rsidR="0026125E" w:rsidRPr="008B1465" w:rsidRDefault="0026125E" w:rsidP="0026125E">
            <w:pPr>
              <w:autoSpaceDE w:val="0"/>
              <w:autoSpaceDN w:val="0"/>
              <w:adjustRightInd w:val="0"/>
              <w:spacing w:before="0" w:beforeAutospacing="0" w:after="0" w:line="240" w:lineRule="auto"/>
              <w:ind w:left="60" w:right="60"/>
              <w:rPr>
                <w:rFonts w:ascii="Times New Roman" w:hAnsi="Times New Roman"/>
                <w:sz w:val="18"/>
                <w:szCs w:val="18"/>
              </w:rPr>
            </w:pPr>
            <w:r w:rsidRPr="00340236">
              <w:rPr>
                <w:rFonts w:ascii="Arial" w:hAnsi="Arial" w:cs="Arial"/>
                <w:color w:val="010205"/>
                <w:sz w:val="18"/>
                <w:szCs w:val="18"/>
              </w:rPr>
              <w:t>.831</w:t>
            </w:r>
          </w:p>
        </w:tc>
      </w:tr>
    </w:tbl>
    <w:bookmarkEnd w:id="119"/>
    <w:p w14:paraId="3FC6C706" w14:textId="77777777" w:rsidR="00234521" w:rsidRPr="008B1465" w:rsidRDefault="00234521" w:rsidP="00ED7FE7">
      <w:pPr>
        <w:pStyle w:val="NoSpacing"/>
        <w:spacing w:line="360" w:lineRule="auto"/>
        <w:rPr>
          <w:rFonts w:asciiTheme="minorHAnsi" w:hAnsiTheme="minorHAnsi" w:cstheme="minorHAnsi"/>
          <w:b/>
          <w:bCs/>
          <w:sz w:val="18"/>
          <w:szCs w:val="18"/>
        </w:rPr>
      </w:pPr>
      <w:r w:rsidRPr="008B1465">
        <w:rPr>
          <w:rFonts w:ascii="Times New Roman" w:hAnsi="Times New Roman"/>
          <w:b/>
          <w:sz w:val="18"/>
          <w:szCs w:val="18"/>
        </w:rPr>
        <w:t xml:space="preserve">Source: Researcher’s field survey, 2023, SPSS 25.0 </w:t>
      </w:r>
      <w:r w:rsidRPr="008B1465">
        <w:rPr>
          <w:rFonts w:asciiTheme="minorHAnsi" w:hAnsiTheme="minorHAnsi" w:cstheme="minorHAnsi"/>
          <w:b/>
          <w:bCs/>
          <w:sz w:val="18"/>
          <w:szCs w:val="18"/>
        </w:rPr>
        <w:t>Version</w:t>
      </w:r>
    </w:p>
    <w:p w14:paraId="24470145" w14:textId="77777777" w:rsidR="009A29AF" w:rsidRPr="008B1465" w:rsidRDefault="009A29AF" w:rsidP="009A29AF">
      <w:pPr>
        <w:spacing w:line="360" w:lineRule="auto"/>
        <w:jc w:val="both"/>
        <w:rPr>
          <w:rFonts w:ascii="Times New Roman" w:hAnsi="Times New Roman"/>
          <w:sz w:val="24"/>
          <w:szCs w:val="24"/>
        </w:rPr>
      </w:pPr>
      <w:r w:rsidRPr="008B1465">
        <w:rPr>
          <w:rFonts w:ascii="Times New Roman" w:hAnsi="Times New Roman"/>
          <w:sz w:val="24"/>
          <w:szCs w:val="24"/>
        </w:rPr>
        <w:t xml:space="preserve">In the first statement of </w:t>
      </w:r>
      <w:r>
        <w:rPr>
          <w:rFonts w:ascii="Times New Roman" w:hAnsi="Times New Roman"/>
          <w:sz w:val="24"/>
          <w:szCs w:val="24"/>
        </w:rPr>
        <w:t xml:space="preserve">Table 4.8 </w:t>
      </w:r>
      <w:r w:rsidRPr="008B1465">
        <w:rPr>
          <w:rFonts w:ascii="Times New Roman" w:hAnsi="Times New Roman"/>
          <w:sz w:val="24"/>
          <w:szCs w:val="24"/>
        </w:rPr>
        <w:t xml:space="preserve">"The procurement activities of my university aim at achieving value for money," the majority of respondents (54.9 per cent) agreed, while 24.7 per cent strongly agreed. A smaller portion of respondents disagreed (8.8 per cent), and only 1.6 per cent strongly disagreed. </w:t>
      </w:r>
      <w:r w:rsidRPr="00486F63">
        <w:rPr>
          <w:rFonts w:ascii="Times New Roman" w:hAnsi="Times New Roman"/>
          <w:sz w:val="24"/>
          <w:szCs w:val="24"/>
        </w:rPr>
        <w:t>On average, respondents believe that there are a sufficient number of qualified staff to undertake procurement required under the proposed project</w:t>
      </w:r>
      <w:r>
        <w:rPr>
          <w:rFonts w:ascii="Times New Roman" w:hAnsi="Times New Roman"/>
          <w:sz w:val="24"/>
          <w:szCs w:val="24"/>
        </w:rPr>
        <w:t xml:space="preserve">. </w:t>
      </w:r>
      <w:r w:rsidRPr="00486F63">
        <w:rPr>
          <w:rFonts w:ascii="Times New Roman" w:hAnsi="Times New Roman"/>
          <w:sz w:val="24"/>
          <w:szCs w:val="24"/>
        </w:rPr>
        <w:t>The standard deviation of 0.831 suggests some variability in responses, with most respondents agreeing but with some variation in the strength of agreement.</w:t>
      </w:r>
      <w:r>
        <w:rPr>
          <w:rFonts w:ascii="Times New Roman" w:hAnsi="Times New Roman"/>
          <w:sz w:val="24"/>
          <w:szCs w:val="24"/>
        </w:rPr>
        <w:t xml:space="preserve"> </w:t>
      </w:r>
      <w:r w:rsidRPr="008B1465">
        <w:rPr>
          <w:rFonts w:ascii="Times New Roman" w:hAnsi="Times New Roman"/>
          <w:sz w:val="24"/>
          <w:szCs w:val="24"/>
        </w:rPr>
        <w:t>This suggests that a significant proportion of participants perceive the university's procurement activities to be focused on obtaining value for money.</w:t>
      </w:r>
    </w:p>
    <w:p w14:paraId="3EA4C6E1" w14:textId="77777777" w:rsidR="006972C5" w:rsidRDefault="009A29AF" w:rsidP="009A29AF">
      <w:pPr>
        <w:spacing w:line="360" w:lineRule="auto"/>
        <w:jc w:val="both"/>
        <w:rPr>
          <w:rFonts w:ascii="Times New Roman" w:hAnsi="Times New Roman"/>
          <w:sz w:val="24"/>
          <w:szCs w:val="24"/>
        </w:rPr>
      </w:pPr>
      <w:r w:rsidRPr="008B1465">
        <w:rPr>
          <w:rFonts w:ascii="Times New Roman" w:hAnsi="Times New Roman"/>
          <w:sz w:val="24"/>
          <w:szCs w:val="24"/>
        </w:rPr>
        <w:t xml:space="preserve">The second statement, "The procurement activities of the university are in line with the public procurement authority," received mixed responses. While the largest percentage of respondents (46.7 per cent) agreed, 26.4 per cent strongly agreed, and 20.3 per cent were indifferent, a noticeable portion disagreed (4.9 per cent) or strongly disagreed (1.6 per cent). </w:t>
      </w:r>
      <w:r>
        <w:rPr>
          <w:rFonts w:ascii="Times New Roman" w:hAnsi="Times New Roman"/>
          <w:sz w:val="24"/>
          <w:szCs w:val="24"/>
        </w:rPr>
        <w:t>The mean further confirms that</w:t>
      </w:r>
      <w:r w:rsidRPr="00726FF3">
        <w:rPr>
          <w:rFonts w:ascii="Times New Roman" w:hAnsi="Times New Roman"/>
          <w:sz w:val="24"/>
          <w:szCs w:val="24"/>
        </w:rPr>
        <w:t xml:space="preserve"> respondents believe that there is a systematic process to identify procurement requirements at their university.</w:t>
      </w:r>
      <w:r>
        <w:rPr>
          <w:rFonts w:ascii="Times New Roman" w:hAnsi="Times New Roman"/>
          <w:sz w:val="24"/>
          <w:szCs w:val="24"/>
        </w:rPr>
        <w:t xml:space="preserve"> </w:t>
      </w:r>
      <w:r w:rsidRPr="00726FF3">
        <w:rPr>
          <w:rFonts w:ascii="Times New Roman" w:hAnsi="Times New Roman"/>
          <w:sz w:val="24"/>
          <w:szCs w:val="24"/>
        </w:rPr>
        <w:t xml:space="preserve">The standard deviation of 0.804 </w:t>
      </w:r>
      <w:r>
        <w:rPr>
          <w:rFonts w:ascii="Times New Roman" w:hAnsi="Times New Roman"/>
          <w:sz w:val="24"/>
          <w:szCs w:val="24"/>
        </w:rPr>
        <w:t xml:space="preserve">also </w:t>
      </w:r>
      <w:r w:rsidRPr="00726FF3">
        <w:rPr>
          <w:rFonts w:ascii="Times New Roman" w:hAnsi="Times New Roman"/>
          <w:sz w:val="24"/>
          <w:szCs w:val="24"/>
        </w:rPr>
        <w:t>indicates some variability in responses, with most respondents agreeing.</w:t>
      </w:r>
      <w:r>
        <w:rPr>
          <w:rFonts w:ascii="Times New Roman" w:hAnsi="Times New Roman"/>
          <w:sz w:val="24"/>
          <w:szCs w:val="24"/>
        </w:rPr>
        <w:t xml:space="preserve"> </w:t>
      </w:r>
      <w:r w:rsidRPr="008B1465">
        <w:rPr>
          <w:rFonts w:ascii="Times New Roman" w:hAnsi="Times New Roman"/>
          <w:sz w:val="24"/>
          <w:szCs w:val="24"/>
        </w:rPr>
        <w:t xml:space="preserve">This indicates that there might be some ambiguity or lack of clarity regarding the alignment of the university's procurement activities with the public procurement authority. </w:t>
      </w:r>
    </w:p>
    <w:p w14:paraId="3788B258" w14:textId="37EDF38A" w:rsidR="00563C23" w:rsidRDefault="009A29AF" w:rsidP="009A29AF">
      <w:pPr>
        <w:spacing w:line="360" w:lineRule="auto"/>
        <w:jc w:val="both"/>
        <w:rPr>
          <w:rFonts w:ascii="Times New Roman" w:hAnsi="Times New Roman"/>
          <w:sz w:val="24"/>
          <w:szCs w:val="24"/>
        </w:rPr>
      </w:pPr>
      <w:r w:rsidRPr="008B1465">
        <w:rPr>
          <w:rFonts w:ascii="Times New Roman" w:hAnsi="Times New Roman"/>
          <w:sz w:val="24"/>
          <w:szCs w:val="24"/>
        </w:rPr>
        <w:t>Regarding the fairness and transparency of tenderer selection, the third statement, "My university applies fair and transparent rules for the selection of tenderers," received positive feedback from the majority of participants. Nearly half of the respondents (46.2 per cent) agreed, and an additional 26.4 per cent strongly agreed. However, a small proportion disagreed (3.8 per cent) or strongly disagreed (1.6 per cent), suggesting that there might be room for improvement in ensuring fairness and transparency throughout the selection process.</w:t>
      </w:r>
      <w:r>
        <w:rPr>
          <w:rFonts w:ascii="Times New Roman" w:hAnsi="Times New Roman"/>
          <w:sz w:val="24"/>
          <w:szCs w:val="24"/>
        </w:rPr>
        <w:t xml:space="preserve"> This response is further revealed in the mean and standard deviation. </w:t>
      </w:r>
      <w:r w:rsidRPr="001F5B42">
        <w:rPr>
          <w:rFonts w:ascii="Times New Roman" w:hAnsi="Times New Roman"/>
          <w:sz w:val="24"/>
          <w:szCs w:val="24"/>
        </w:rPr>
        <w:t>On average, respondents believe that the procurement department registers and tracks warranty and latent defects liability periods.</w:t>
      </w:r>
      <w:r>
        <w:rPr>
          <w:rFonts w:ascii="Times New Roman" w:hAnsi="Times New Roman"/>
          <w:sz w:val="24"/>
          <w:szCs w:val="24"/>
        </w:rPr>
        <w:t xml:space="preserve"> </w:t>
      </w:r>
      <w:r w:rsidRPr="001F5B42">
        <w:rPr>
          <w:rFonts w:ascii="Times New Roman" w:hAnsi="Times New Roman"/>
          <w:sz w:val="24"/>
          <w:szCs w:val="24"/>
        </w:rPr>
        <w:t>The standard deviation of 0.885 suggests some variability in responses, with most respondents agreeing but with some variation in the strength of agreement.</w:t>
      </w:r>
      <w:r w:rsidRPr="008B1465">
        <w:rPr>
          <w:rFonts w:ascii="Times New Roman" w:hAnsi="Times New Roman"/>
          <w:sz w:val="24"/>
          <w:szCs w:val="24"/>
        </w:rPr>
        <w:t xml:space="preserve"> </w:t>
      </w:r>
    </w:p>
    <w:p w14:paraId="5308746E" w14:textId="2B856537" w:rsidR="009A29AF" w:rsidRPr="008B1465" w:rsidRDefault="009A29AF" w:rsidP="009A29AF">
      <w:pPr>
        <w:spacing w:line="360" w:lineRule="auto"/>
        <w:jc w:val="both"/>
        <w:rPr>
          <w:rFonts w:ascii="Times New Roman" w:hAnsi="Times New Roman"/>
          <w:sz w:val="24"/>
          <w:szCs w:val="24"/>
        </w:rPr>
      </w:pPr>
      <w:r w:rsidRPr="008B1465">
        <w:rPr>
          <w:rFonts w:ascii="Times New Roman" w:hAnsi="Times New Roman"/>
          <w:sz w:val="24"/>
          <w:szCs w:val="24"/>
        </w:rPr>
        <w:t>The fourth statement, "The university's procurement activities are established through a competitive process and negotiation," garnered a similar response pattern. A significant portion of respondents agreed (46.2 per cent), and 23.1 per cent strongly agreed, indicating confidence in the competitive nature of the procurement activities. On the other hand, a small percentage disagreed (8.2 per cent) or strongly disagreed (3.3 per cent), signaling potential areas where the process could be enhanced.</w:t>
      </w:r>
      <w:r>
        <w:rPr>
          <w:rFonts w:ascii="Times New Roman" w:hAnsi="Times New Roman"/>
          <w:sz w:val="24"/>
          <w:szCs w:val="24"/>
        </w:rPr>
        <w:t xml:space="preserve"> </w:t>
      </w:r>
      <w:r w:rsidRPr="00396C0A">
        <w:rPr>
          <w:rFonts w:ascii="Times New Roman" w:hAnsi="Times New Roman"/>
          <w:sz w:val="24"/>
          <w:szCs w:val="24"/>
        </w:rPr>
        <w:t>On average, respondents believe that there is a standard statement of ethics, and those involved in procurement are required to formally commit to it.</w:t>
      </w:r>
      <w:r>
        <w:rPr>
          <w:rFonts w:ascii="Times New Roman" w:hAnsi="Times New Roman"/>
          <w:sz w:val="24"/>
          <w:szCs w:val="24"/>
        </w:rPr>
        <w:t xml:space="preserve"> </w:t>
      </w:r>
      <w:r w:rsidRPr="00396C0A">
        <w:rPr>
          <w:rFonts w:ascii="Times New Roman" w:hAnsi="Times New Roman"/>
          <w:sz w:val="24"/>
          <w:szCs w:val="24"/>
        </w:rPr>
        <w:t xml:space="preserve">The standard deviation </w:t>
      </w:r>
      <w:r>
        <w:rPr>
          <w:rFonts w:ascii="Times New Roman" w:hAnsi="Times New Roman"/>
          <w:sz w:val="24"/>
          <w:szCs w:val="24"/>
        </w:rPr>
        <w:t>is</w:t>
      </w:r>
      <w:r w:rsidRPr="00396C0A">
        <w:rPr>
          <w:rFonts w:ascii="Times New Roman" w:hAnsi="Times New Roman"/>
          <w:sz w:val="24"/>
          <w:szCs w:val="24"/>
        </w:rPr>
        <w:t xml:space="preserve"> 0.734</w:t>
      </w:r>
      <w:r>
        <w:rPr>
          <w:rFonts w:ascii="Times New Roman" w:hAnsi="Times New Roman"/>
          <w:sz w:val="24"/>
          <w:szCs w:val="24"/>
        </w:rPr>
        <w:t>. It</w:t>
      </w:r>
      <w:r w:rsidRPr="00396C0A">
        <w:rPr>
          <w:rFonts w:ascii="Times New Roman" w:hAnsi="Times New Roman"/>
          <w:sz w:val="24"/>
          <w:szCs w:val="24"/>
        </w:rPr>
        <w:t xml:space="preserve"> indicates </w:t>
      </w:r>
      <w:r>
        <w:rPr>
          <w:rFonts w:ascii="Times New Roman" w:hAnsi="Times New Roman"/>
          <w:sz w:val="24"/>
          <w:szCs w:val="24"/>
        </w:rPr>
        <w:t>there are some</w:t>
      </w:r>
      <w:r w:rsidRPr="00396C0A">
        <w:rPr>
          <w:rFonts w:ascii="Times New Roman" w:hAnsi="Times New Roman"/>
          <w:sz w:val="24"/>
          <w:szCs w:val="24"/>
        </w:rPr>
        <w:t xml:space="preserve"> variability in responses, with most respondents agreeing.</w:t>
      </w:r>
    </w:p>
    <w:p w14:paraId="06677AED" w14:textId="77777777" w:rsidR="009A29AF" w:rsidRPr="008B1465" w:rsidRDefault="009A29AF" w:rsidP="009A29AF">
      <w:pPr>
        <w:spacing w:line="360" w:lineRule="auto"/>
        <w:jc w:val="both"/>
        <w:rPr>
          <w:rFonts w:ascii="Times New Roman" w:hAnsi="Times New Roman"/>
          <w:sz w:val="24"/>
          <w:szCs w:val="24"/>
        </w:rPr>
      </w:pPr>
      <w:r w:rsidRPr="008B1465">
        <w:rPr>
          <w:rFonts w:ascii="Times New Roman" w:hAnsi="Times New Roman"/>
          <w:sz w:val="24"/>
          <w:szCs w:val="24"/>
        </w:rPr>
        <w:t>The fifth statement, "My university ensures its budgets are linked with the procurement activities," received the highest agreement ratings. More than half of the participants (57.7 per cent) agreed, and 20.9 per cent strongly agreed, suggesting that the university effectively aligns its budgets with procurement activities. However, there were some respondents who disagreed (2.7 per cent) or strongly disagreed (1.6 per cent), indicating a minority opinion that further attention might be needed in this area.</w:t>
      </w:r>
      <w:r>
        <w:rPr>
          <w:rFonts w:ascii="Times New Roman" w:hAnsi="Times New Roman"/>
          <w:sz w:val="24"/>
          <w:szCs w:val="24"/>
        </w:rPr>
        <w:t xml:space="preserve"> This is further corroborated by the mean and standard deviation. On average</w:t>
      </w:r>
      <w:r w:rsidRPr="00396C0A">
        <w:rPr>
          <w:rFonts w:ascii="Times New Roman" w:hAnsi="Times New Roman"/>
          <w:sz w:val="24"/>
          <w:szCs w:val="24"/>
        </w:rPr>
        <w:t>, respondents believe that those involved in procurement are required to declare any potential conflict of interest and remove such from the procurement process.</w:t>
      </w:r>
      <w:r>
        <w:rPr>
          <w:rFonts w:ascii="Times New Roman" w:hAnsi="Times New Roman"/>
          <w:sz w:val="24"/>
          <w:szCs w:val="24"/>
        </w:rPr>
        <w:t xml:space="preserve"> </w:t>
      </w:r>
      <w:r w:rsidRPr="00396C0A">
        <w:rPr>
          <w:rFonts w:ascii="Times New Roman" w:hAnsi="Times New Roman"/>
          <w:sz w:val="24"/>
          <w:szCs w:val="24"/>
        </w:rPr>
        <w:t>The standard deviation of 0.833 suggests some variability in responses, with most respondents agreeing.</w:t>
      </w:r>
    </w:p>
    <w:p w14:paraId="751B372F" w14:textId="77777777" w:rsidR="006972C5" w:rsidRDefault="009A29AF" w:rsidP="009A29AF">
      <w:pPr>
        <w:spacing w:line="360" w:lineRule="auto"/>
        <w:jc w:val="both"/>
        <w:rPr>
          <w:rFonts w:ascii="Times New Roman" w:hAnsi="Times New Roman"/>
          <w:sz w:val="24"/>
          <w:szCs w:val="24"/>
        </w:rPr>
      </w:pPr>
      <w:r w:rsidRPr="008B1465">
        <w:rPr>
          <w:rFonts w:ascii="Times New Roman" w:hAnsi="Times New Roman"/>
          <w:sz w:val="24"/>
          <w:szCs w:val="24"/>
        </w:rPr>
        <w:t xml:space="preserve">The sixth statement, "There are accountability and transparency in the procurement of goods and services at my university," elicited diverse responses. While a significant proportion agreed (44.0 per cent) or strongly agreed (25.3 per cent) with the presence of accountability and transparency, some respondents expressed disagreement (6.0 per cent) or strong disagreement (2.2 per cent). </w:t>
      </w:r>
      <w:r>
        <w:rPr>
          <w:rFonts w:ascii="Times New Roman" w:hAnsi="Times New Roman"/>
          <w:sz w:val="24"/>
          <w:szCs w:val="24"/>
        </w:rPr>
        <w:t xml:space="preserve">The mean also suggests that the </w:t>
      </w:r>
      <w:r w:rsidRPr="000E588E">
        <w:rPr>
          <w:rFonts w:ascii="Times New Roman" w:hAnsi="Times New Roman"/>
          <w:sz w:val="24"/>
          <w:szCs w:val="24"/>
        </w:rPr>
        <w:t>respondents believe that those who approve procurement transactions have procurement experience and qualifications to that effect.</w:t>
      </w:r>
      <w:r>
        <w:rPr>
          <w:rFonts w:ascii="Times New Roman" w:hAnsi="Times New Roman"/>
          <w:sz w:val="24"/>
          <w:szCs w:val="24"/>
        </w:rPr>
        <w:t xml:space="preserve"> </w:t>
      </w:r>
      <w:r w:rsidRPr="000E588E">
        <w:rPr>
          <w:rFonts w:ascii="Times New Roman" w:hAnsi="Times New Roman"/>
          <w:sz w:val="24"/>
          <w:szCs w:val="24"/>
        </w:rPr>
        <w:t xml:space="preserve">The standard deviation </w:t>
      </w:r>
      <w:r>
        <w:rPr>
          <w:rFonts w:ascii="Times New Roman" w:hAnsi="Times New Roman"/>
          <w:sz w:val="24"/>
          <w:szCs w:val="24"/>
        </w:rPr>
        <w:t>is</w:t>
      </w:r>
      <w:r w:rsidRPr="000E588E">
        <w:rPr>
          <w:rFonts w:ascii="Times New Roman" w:hAnsi="Times New Roman"/>
          <w:sz w:val="24"/>
          <w:szCs w:val="24"/>
        </w:rPr>
        <w:t xml:space="preserve"> 0.860</w:t>
      </w:r>
      <w:r>
        <w:rPr>
          <w:rFonts w:ascii="Times New Roman" w:hAnsi="Times New Roman"/>
          <w:sz w:val="24"/>
          <w:szCs w:val="24"/>
        </w:rPr>
        <w:t xml:space="preserve"> and it</w:t>
      </w:r>
      <w:r w:rsidRPr="000E588E">
        <w:rPr>
          <w:rFonts w:ascii="Times New Roman" w:hAnsi="Times New Roman"/>
          <w:sz w:val="24"/>
          <w:szCs w:val="24"/>
        </w:rPr>
        <w:t xml:space="preserve"> indicates some variability in responses, with </w:t>
      </w:r>
      <w:r>
        <w:rPr>
          <w:rFonts w:ascii="Times New Roman" w:hAnsi="Times New Roman"/>
          <w:sz w:val="24"/>
          <w:szCs w:val="24"/>
        </w:rPr>
        <w:t>majority of the</w:t>
      </w:r>
      <w:r w:rsidRPr="000E588E">
        <w:rPr>
          <w:rFonts w:ascii="Times New Roman" w:hAnsi="Times New Roman"/>
          <w:sz w:val="24"/>
          <w:szCs w:val="24"/>
        </w:rPr>
        <w:t xml:space="preserve"> respondents agreeing.</w:t>
      </w:r>
      <w:r>
        <w:rPr>
          <w:rFonts w:ascii="Times New Roman" w:hAnsi="Times New Roman"/>
          <w:sz w:val="24"/>
          <w:szCs w:val="24"/>
        </w:rPr>
        <w:t xml:space="preserve"> </w:t>
      </w:r>
      <w:r w:rsidRPr="008B1465">
        <w:rPr>
          <w:rFonts w:ascii="Times New Roman" w:hAnsi="Times New Roman"/>
          <w:sz w:val="24"/>
          <w:szCs w:val="24"/>
        </w:rPr>
        <w:t xml:space="preserve">This outcome indicates a need to address any perceived gaps in accountability and transparency within the procurement process. </w:t>
      </w:r>
    </w:p>
    <w:p w14:paraId="4AE39D34" w14:textId="526E8618" w:rsidR="009A29AF" w:rsidRPr="008B1465" w:rsidRDefault="009A29AF" w:rsidP="009A29AF">
      <w:pPr>
        <w:spacing w:line="360" w:lineRule="auto"/>
        <w:jc w:val="both"/>
        <w:rPr>
          <w:rFonts w:ascii="Times New Roman" w:hAnsi="Times New Roman"/>
          <w:sz w:val="24"/>
          <w:szCs w:val="24"/>
        </w:rPr>
      </w:pPr>
      <w:r w:rsidRPr="008B1465">
        <w:rPr>
          <w:rFonts w:ascii="Times New Roman" w:hAnsi="Times New Roman"/>
          <w:sz w:val="24"/>
          <w:szCs w:val="24"/>
        </w:rPr>
        <w:t xml:space="preserve">Lastly, the statement on the appropriate bidding and correct utilization of the limited bidding process received mixed feedback. While a substantial portion agreed (46.2 per cent) or strongly agreed (20.3 per cent) with the appropriateness and correct utilization of limited bidding, a considerable number of respondents expressed indifference (25.8 per cent) or disagreement (7.1 per cent). </w:t>
      </w:r>
      <w:r w:rsidRPr="0043773E">
        <w:rPr>
          <w:rFonts w:ascii="Times New Roman" w:hAnsi="Times New Roman"/>
          <w:sz w:val="24"/>
          <w:szCs w:val="24"/>
        </w:rPr>
        <w:t>On average, respondents believe that procurement decisions and disputes are supported by written narratives such as minutes of evaluation, minutes of negotiation, and notices of default/withheld payment.</w:t>
      </w:r>
      <w:r>
        <w:rPr>
          <w:rFonts w:ascii="Times New Roman" w:hAnsi="Times New Roman"/>
          <w:sz w:val="24"/>
          <w:szCs w:val="24"/>
        </w:rPr>
        <w:t xml:space="preserve"> </w:t>
      </w:r>
      <w:r w:rsidRPr="0043773E">
        <w:rPr>
          <w:rFonts w:ascii="Times New Roman" w:hAnsi="Times New Roman"/>
          <w:sz w:val="24"/>
          <w:szCs w:val="24"/>
        </w:rPr>
        <w:t xml:space="preserve">The standard deviation </w:t>
      </w:r>
      <w:r>
        <w:rPr>
          <w:rFonts w:ascii="Times New Roman" w:hAnsi="Times New Roman"/>
          <w:sz w:val="24"/>
          <w:szCs w:val="24"/>
        </w:rPr>
        <w:t>is</w:t>
      </w:r>
      <w:r w:rsidRPr="0043773E">
        <w:rPr>
          <w:rFonts w:ascii="Times New Roman" w:hAnsi="Times New Roman"/>
          <w:sz w:val="24"/>
          <w:szCs w:val="24"/>
        </w:rPr>
        <w:t xml:space="preserve"> 0.831</w:t>
      </w:r>
      <w:r>
        <w:rPr>
          <w:rFonts w:ascii="Times New Roman" w:hAnsi="Times New Roman"/>
          <w:sz w:val="24"/>
          <w:szCs w:val="24"/>
        </w:rPr>
        <w:t>. This</w:t>
      </w:r>
      <w:r w:rsidRPr="0043773E">
        <w:rPr>
          <w:rFonts w:ascii="Times New Roman" w:hAnsi="Times New Roman"/>
          <w:sz w:val="24"/>
          <w:szCs w:val="24"/>
        </w:rPr>
        <w:t xml:space="preserve"> </w:t>
      </w:r>
      <w:r>
        <w:rPr>
          <w:rFonts w:ascii="Times New Roman" w:hAnsi="Times New Roman"/>
          <w:sz w:val="24"/>
          <w:szCs w:val="24"/>
        </w:rPr>
        <w:t>implies</w:t>
      </w:r>
      <w:r w:rsidRPr="0043773E">
        <w:rPr>
          <w:rFonts w:ascii="Times New Roman" w:hAnsi="Times New Roman"/>
          <w:sz w:val="24"/>
          <w:szCs w:val="24"/>
        </w:rPr>
        <w:t xml:space="preserve"> some variability in responses, with most respondents agreeing but with some variation in the strength of agreement.</w:t>
      </w:r>
    </w:p>
    <w:p w14:paraId="1912BC32" w14:textId="77777777" w:rsidR="009A29AF" w:rsidRPr="008B1465" w:rsidRDefault="009A29AF" w:rsidP="009A29AF">
      <w:pPr>
        <w:spacing w:line="360" w:lineRule="auto"/>
        <w:jc w:val="both"/>
        <w:rPr>
          <w:rFonts w:ascii="Times New Roman" w:hAnsi="Times New Roman"/>
          <w:color w:val="000000" w:themeColor="text1"/>
          <w:sz w:val="24"/>
          <w:szCs w:val="24"/>
        </w:rPr>
      </w:pPr>
      <w:r w:rsidRPr="008B1465">
        <w:rPr>
          <w:rFonts w:ascii="Times New Roman" w:hAnsi="Times New Roman"/>
          <w:sz w:val="24"/>
          <w:szCs w:val="24"/>
        </w:rPr>
        <w:t xml:space="preserve">This outcome suggests the potential for improvement in ensuring clarity and understanding of the limited bidding process. In sum, the survey results provide insights into the perceptions and opinions of the respondents regarding various aspects of the university's procurement activities. The findings highlight areas of strength, such as value for money and budget alignment, as well as areas that may require attention and improvement, such as alignment with the public procurement authority, fairness and transparency in tenderer selection, and accountability and transparency in the procurement process. These results indicate that while the university has made progress in certain areas, there are still areas where the procurement activities can be enhanced to meet the expectations and needs of the participants. </w:t>
      </w:r>
      <w:r w:rsidRPr="008B1465">
        <w:rPr>
          <w:rFonts w:ascii="Times New Roman" w:hAnsi="Times New Roman"/>
          <w:color w:val="000000" w:themeColor="text1"/>
          <w:sz w:val="24"/>
          <w:szCs w:val="24"/>
        </w:rPr>
        <w:t>To address the mixed responses and areas that require improvement, the university could consider taking the following actions: Communication and clarity: The university should ensure clear communication with its stakeholders, particularly regarding the alignment of procurement activities with the public procurement authority.</w:t>
      </w:r>
    </w:p>
    <w:p w14:paraId="7ECA77A4" w14:textId="77777777" w:rsidR="009A29AF" w:rsidRPr="008B1465" w:rsidRDefault="009A29AF" w:rsidP="009A29AF">
      <w:pPr>
        <w:spacing w:line="360" w:lineRule="auto"/>
        <w:jc w:val="both"/>
        <w:rPr>
          <w:rFonts w:ascii="Times New Roman" w:hAnsi="Times New Roman"/>
          <w:color w:val="000000" w:themeColor="text1"/>
          <w:sz w:val="24"/>
          <w:szCs w:val="24"/>
        </w:rPr>
      </w:pPr>
      <w:r w:rsidRPr="008B1465">
        <w:rPr>
          <w:rFonts w:ascii="Times New Roman" w:hAnsi="Times New Roman"/>
          <w:color w:val="000000" w:themeColor="text1"/>
          <w:sz w:val="24"/>
          <w:szCs w:val="24"/>
        </w:rPr>
        <w:t xml:space="preserve">Providing information and clarifying any ambiguities can help increase understanding and alignment. Enhanced transparency: The university could focus on improving transparency throughout the procurement process. This could include providing clear guidelines and rules for tenderer selection, making information on procurement activities readily accessible, and fostering a culture of openness and accountability. Stakeholder involvement: In order to promote fairness and transparency, the university can involve relevant stakeholders, such as faculty, staff, and students, in the procurement process. </w:t>
      </w:r>
    </w:p>
    <w:p w14:paraId="1048340A" w14:textId="7C4804D7" w:rsidR="00EB5D7C" w:rsidRPr="001E35AD" w:rsidRDefault="009A29AF" w:rsidP="00234521">
      <w:pPr>
        <w:spacing w:line="360" w:lineRule="auto"/>
        <w:jc w:val="both"/>
        <w:rPr>
          <w:rFonts w:ascii="Times New Roman" w:hAnsi="Times New Roman"/>
          <w:color w:val="000000" w:themeColor="text1"/>
          <w:sz w:val="24"/>
          <w:szCs w:val="24"/>
        </w:rPr>
      </w:pPr>
      <w:r w:rsidRPr="008B1465">
        <w:rPr>
          <w:rFonts w:ascii="Times New Roman" w:hAnsi="Times New Roman"/>
          <w:color w:val="000000" w:themeColor="text1"/>
          <w:sz w:val="24"/>
          <w:szCs w:val="24"/>
        </w:rPr>
        <w:t>Moreover, this could be done through consultation, feedback mechanisms, or establishing a procurement advisory committee to ensure diverse perspectives and expertise are considered. The university may consider providing training and professional development opportunities for staff involved in procurement activities. This can help ensure a better understanding of competitive processes, negotiation skills, and adherence to fair and transparent practices. Evaluation and feedback: Conducting regular evaluations of the procurement activities and seeking feedback from stakeholders can provide valuable insights for improvement. The university can use this feedback to identify areas of concern and implement appropriate measures to address them. By taking these steps, the university can work towards enhancing the perceived value for money, alignment with public procurement authority, fairness, transparency, accountability, and appropriate bidding in its procurement activities. Continuous improvement and responsiveness to stakeholder feedback will contribute to building trust and confidence in the university's procurement processes.</w:t>
      </w:r>
    </w:p>
    <w:p w14:paraId="4E062E87" w14:textId="10169898" w:rsidR="00F77691" w:rsidRPr="00FF6E89" w:rsidRDefault="00F77691" w:rsidP="00296154">
      <w:pPr>
        <w:pStyle w:val="Caption"/>
        <w:keepNext/>
        <w:jc w:val="center"/>
        <w:rPr>
          <w:rFonts w:ascii="Times New Roman" w:hAnsi="Times New Roman"/>
          <w:color w:val="000000" w:themeColor="text1"/>
          <w:sz w:val="24"/>
          <w:szCs w:val="24"/>
        </w:rPr>
      </w:pPr>
      <w:bookmarkStart w:id="120" w:name="_Toc145952342"/>
      <w:r w:rsidRPr="00BC2B65">
        <w:rPr>
          <w:rFonts w:ascii="Times New Roman" w:hAnsi="Times New Roman"/>
          <w:i w:val="0"/>
          <w:color w:val="000000" w:themeColor="text1"/>
          <w:sz w:val="24"/>
          <w:szCs w:val="24"/>
        </w:rPr>
        <w:t xml:space="preserve">Table </w:t>
      </w:r>
      <w:r w:rsidR="000F6857" w:rsidRPr="00BC2B65">
        <w:rPr>
          <w:rFonts w:ascii="Times New Roman" w:hAnsi="Times New Roman"/>
          <w:i w:val="0"/>
          <w:color w:val="000000" w:themeColor="text1"/>
          <w:sz w:val="24"/>
          <w:szCs w:val="24"/>
        </w:rPr>
        <w:fldChar w:fldCharType="begin"/>
      </w:r>
      <w:r w:rsidR="000F6857" w:rsidRPr="00BC2B65">
        <w:rPr>
          <w:rFonts w:ascii="Times New Roman" w:hAnsi="Times New Roman"/>
          <w:i w:val="0"/>
          <w:color w:val="000000" w:themeColor="text1"/>
          <w:sz w:val="24"/>
          <w:szCs w:val="24"/>
        </w:rPr>
        <w:instrText xml:space="preserve"> STYLEREF 1 \s </w:instrText>
      </w:r>
      <w:r w:rsidR="000F6857" w:rsidRPr="00BC2B65">
        <w:rPr>
          <w:rFonts w:ascii="Times New Roman" w:hAnsi="Times New Roman"/>
          <w:i w:val="0"/>
          <w:color w:val="000000" w:themeColor="text1"/>
          <w:sz w:val="24"/>
          <w:szCs w:val="24"/>
        </w:rPr>
        <w:fldChar w:fldCharType="separate"/>
      </w:r>
      <w:r w:rsidR="007B5846" w:rsidRPr="00BC2B65">
        <w:rPr>
          <w:rFonts w:ascii="Times New Roman" w:hAnsi="Times New Roman"/>
          <w:i w:val="0"/>
          <w:noProof/>
          <w:color w:val="000000" w:themeColor="text1"/>
          <w:sz w:val="24"/>
          <w:szCs w:val="24"/>
        </w:rPr>
        <w:t>4</w:t>
      </w:r>
      <w:r w:rsidR="000F6857" w:rsidRPr="00BC2B65">
        <w:rPr>
          <w:rFonts w:ascii="Times New Roman" w:hAnsi="Times New Roman"/>
          <w:i w:val="0"/>
          <w:color w:val="000000" w:themeColor="text1"/>
          <w:sz w:val="24"/>
          <w:szCs w:val="24"/>
        </w:rPr>
        <w:fldChar w:fldCharType="end"/>
      </w:r>
      <w:r w:rsidR="000F6857" w:rsidRPr="00BC2B65">
        <w:rPr>
          <w:rFonts w:ascii="Times New Roman" w:hAnsi="Times New Roman"/>
          <w:i w:val="0"/>
          <w:color w:val="000000" w:themeColor="text1"/>
          <w:sz w:val="24"/>
          <w:szCs w:val="24"/>
        </w:rPr>
        <w:t>.</w:t>
      </w:r>
      <w:r w:rsidR="000F6857" w:rsidRPr="00BC2B65">
        <w:rPr>
          <w:rFonts w:ascii="Times New Roman" w:hAnsi="Times New Roman"/>
          <w:i w:val="0"/>
          <w:color w:val="000000" w:themeColor="text1"/>
          <w:sz w:val="24"/>
          <w:szCs w:val="24"/>
        </w:rPr>
        <w:fldChar w:fldCharType="begin"/>
      </w:r>
      <w:r w:rsidR="000F6857" w:rsidRPr="00BC2B65">
        <w:rPr>
          <w:rFonts w:ascii="Times New Roman" w:hAnsi="Times New Roman"/>
          <w:i w:val="0"/>
          <w:color w:val="000000" w:themeColor="text1"/>
          <w:sz w:val="24"/>
          <w:szCs w:val="24"/>
        </w:rPr>
        <w:instrText xml:space="preserve"> SEQ Table \* ARABIC \s 1 </w:instrText>
      </w:r>
      <w:r w:rsidR="000F6857" w:rsidRPr="00BC2B65">
        <w:rPr>
          <w:rFonts w:ascii="Times New Roman" w:hAnsi="Times New Roman"/>
          <w:i w:val="0"/>
          <w:color w:val="000000" w:themeColor="text1"/>
          <w:sz w:val="24"/>
          <w:szCs w:val="24"/>
        </w:rPr>
        <w:fldChar w:fldCharType="separate"/>
      </w:r>
      <w:r w:rsidR="007B5846" w:rsidRPr="00BC2B65">
        <w:rPr>
          <w:rFonts w:ascii="Times New Roman" w:hAnsi="Times New Roman"/>
          <w:i w:val="0"/>
          <w:noProof/>
          <w:color w:val="000000" w:themeColor="text1"/>
          <w:sz w:val="24"/>
          <w:szCs w:val="24"/>
        </w:rPr>
        <w:t>9</w:t>
      </w:r>
      <w:r w:rsidR="000F6857" w:rsidRPr="00BC2B65">
        <w:rPr>
          <w:rFonts w:ascii="Times New Roman" w:hAnsi="Times New Roman"/>
          <w:i w:val="0"/>
          <w:color w:val="000000" w:themeColor="text1"/>
          <w:sz w:val="24"/>
          <w:szCs w:val="24"/>
        </w:rPr>
        <w:fldChar w:fldCharType="end"/>
      </w:r>
      <w:r w:rsidRPr="00BC2B65">
        <w:rPr>
          <w:rFonts w:ascii="Times New Roman" w:hAnsi="Times New Roman"/>
          <w:i w:val="0"/>
          <w:color w:val="000000" w:themeColor="text1"/>
          <w:sz w:val="24"/>
          <w:szCs w:val="24"/>
        </w:rPr>
        <w:t>:</w:t>
      </w:r>
      <w:r w:rsidRPr="00FF6E89">
        <w:rPr>
          <w:rFonts w:ascii="Times New Roman" w:hAnsi="Times New Roman"/>
          <w:i w:val="0"/>
          <w:iCs w:val="0"/>
          <w:color w:val="000000" w:themeColor="text1"/>
          <w:sz w:val="24"/>
          <w:szCs w:val="24"/>
        </w:rPr>
        <w:t xml:space="preserve"> Descriptive Analysis of Respondents’ Information on Fund Misappropriation</w:t>
      </w:r>
      <w:bookmarkEnd w:id="120"/>
    </w:p>
    <w:tbl>
      <w:tblPr>
        <w:tblW w:w="4957" w:type="pct"/>
        <w:tblInd w:w="-5" w:type="dxa"/>
        <w:tblCellMar>
          <w:left w:w="0" w:type="dxa"/>
          <w:right w:w="0" w:type="dxa"/>
        </w:tblCellMar>
        <w:tblLook w:val="0000" w:firstRow="0" w:lastRow="0" w:firstColumn="0" w:lastColumn="0" w:noHBand="0" w:noVBand="0"/>
      </w:tblPr>
      <w:tblGrid>
        <w:gridCol w:w="445"/>
        <w:gridCol w:w="2030"/>
        <w:gridCol w:w="449"/>
        <w:gridCol w:w="694"/>
        <w:gridCol w:w="447"/>
        <w:gridCol w:w="694"/>
        <w:gridCol w:w="473"/>
        <w:gridCol w:w="694"/>
        <w:gridCol w:w="473"/>
        <w:gridCol w:w="694"/>
        <w:gridCol w:w="423"/>
        <w:gridCol w:w="574"/>
        <w:gridCol w:w="475"/>
        <w:gridCol w:w="715"/>
      </w:tblGrid>
      <w:tr w:rsidR="00072188" w:rsidRPr="008B1465" w14:paraId="35BB899C" w14:textId="1E296A56" w:rsidTr="00907138">
        <w:trPr>
          <w:cantSplit/>
        </w:trPr>
        <w:tc>
          <w:tcPr>
            <w:tcW w:w="239" w:type="pct"/>
            <w:tcBorders>
              <w:top w:val="thinThickSmallGap" w:sz="24" w:space="0" w:color="auto"/>
              <w:bottom w:val="thinThickSmallGap" w:sz="24" w:space="0" w:color="auto"/>
            </w:tcBorders>
            <w:shd w:val="clear" w:color="auto" w:fill="auto"/>
          </w:tcPr>
          <w:p w14:paraId="47FBCB43" w14:textId="77777777" w:rsidR="00072188" w:rsidRPr="008B1465" w:rsidRDefault="00072188" w:rsidP="00072188">
            <w:pPr>
              <w:autoSpaceDE w:val="0"/>
              <w:autoSpaceDN w:val="0"/>
              <w:adjustRightInd w:val="0"/>
              <w:spacing w:before="0" w:beforeAutospacing="0" w:after="0" w:line="240" w:lineRule="auto"/>
              <w:ind w:right="60"/>
              <w:jc w:val="center"/>
              <w:rPr>
                <w:rFonts w:ascii="Times New Roman" w:hAnsi="Times New Roman"/>
                <w:b/>
                <w:bCs/>
                <w:sz w:val="24"/>
                <w:szCs w:val="24"/>
              </w:rPr>
            </w:pPr>
            <w:r w:rsidRPr="008B1465">
              <w:rPr>
                <w:rFonts w:ascii="Times New Roman" w:hAnsi="Times New Roman"/>
                <w:b/>
                <w:bCs/>
                <w:sz w:val="24"/>
                <w:szCs w:val="24"/>
              </w:rPr>
              <w:t>S/N</w:t>
            </w:r>
          </w:p>
        </w:tc>
        <w:tc>
          <w:tcPr>
            <w:tcW w:w="1094" w:type="pct"/>
            <w:tcBorders>
              <w:top w:val="thinThickSmallGap" w:sz="24" w:space="0" w:color="auto"/>
              <w:bottom w:val="thinThickSmallGap" w:sz="24" w:space="0" w:color="auto"/>
            </w:tcBorders>
            <w:shd w:val="clear" w:color="auto" w:fill="auto"/>
          </w:tcPr>
          <w:p w14:paraId="21B19DC9" w14:textId="77777777" w:rsidR="00072188" w:rsidRPr="008B1465" w:rsidRDefault="00072188" w:rsidP="00072188">
            <w:pPr>
              <w:autoSpaceDE w:val="0"/>
              <w:autoSpaceDN w:val="0"/>
              <w:adjustRightInd w:val="0"/>
              <w:spacing w:before="0" w:beforeAutospacing="0" w:after="0" w:line="240" w:lineRule="auto"/>
              <w:ind w:left="60" w:right="60"/>
              <w:jc w:val="center"/>
              <w:rPr>
                <w:rFonts w:ascii="Times New Roman" w:hAnsi="Times New Roman"/>
                <w:b/>
                <w:bCs/>
                <w:sz w:val="24"/>
                <w:szCs w:val="24"/>
              </w:rPr>
            </w:pPr>
            <w:r w:rsidRPr="008B1465">
              <w:rPr>
                <w:rFonts w:ascii="Times New Roman" w:hAnsi="Times New Roman"/>
                <w:b/>
                <w:bCs/>
                <w:sz w:val="24"/>
                <w:szCs w:val="24"/>
              </w:rPr>
              <w:t>Items</w:t>
            </w:r>
          </w:p>
        </w:tc>
        <w:tc>
          <w:tcPr>
            <w:tcW w:w="616" w:type="pct"/>
            <w:gridSpan w:val="2"/>
            <w:tcBorders>
              <w:top w:val="thinThickSmallGap" w:sz="24" w:space="0" w:color="auto"/>
              <w:bottom w:val="thinThickSmallGap" w:sz="24" w:space="0" w:color="auto"/>
            </w:tcBorders>
            <w:shd w:val="clear" w:color="auto" w:fill="auto"/>
          </w:tcPr>
          <w:p w14:paraId="35FEF6B2" w14:textId="77777777" w:rsidR="00072188" w:rsidRPr="008B1465" w:rsidRDefault="00072188" w:rsidP="00072188">
            <w:pPr>
              <w:autoSpaceDE w:val="0"/>
              <w:autoSpaceDN w:val="0"/>
              <w:adjustRightInd w:val="0"/>
              <w:spacing w:before="0" w:beforeAutospacing="0" w:after="0" w:line="240" w:lineRule="auto"/>
              <w:ind w:right="60"/>
              <w:rPr>
                <w:rFonts w:ascii="Times New Roman" w:hAnsi="Times New Roman"/>
                <w:b/>
                <w:bCs/>
                <w:sz w:val="24"/>
                <w:szCs w:val="24"/>
              </w:rPr>
            </w:pPr>
            <w:r w:rsidRPr="008B1465">
              <w:rPr>
                <w:rFonts w:ascii="Times New Roman" w:hAnsi="Times New Roman"/>
                <w:b/>
                <w:bCs/>
                <w:sz w:val="24"/>
                <w:szCs w:val="24"/>
              </w:rPr>
              <w:t xml:space="preserve">  SD (%)</w:t>
            </w:r>
          </w:p>
        </w:tc>
        <w:tc>
          <w:tcPr>
            <w:tcW w:w="615" w:type="pct"/>
            <w:gridSpan w:val="2"/>
            <w:tcBorders>
              <w:top w:val="thinThickSmallGap" w:sz="24" w:space="0" w:color="auto"/>
              <w:bottom w:val="thinThickSmallGap" w:sz="24" w:space="0" w:color="auto"/>
            </w:tcBorders>
            <w:shd w:val="clear" w:color="auto" w:fill="auto"/>
          </w:tcPr>
          <w:p w14:paraId="114AD9DE" w14:textId="77777777" w:rsidR="00072188" w:rsidRPr="008B1465" w:rsidRDefault="00072188" w:rsidP="00072188">
            <w:pPr>
              <w:autoSpaceDE w:val="0"/>
              <w:autoSpaceDN w:val="0"/>
              <w:adjustRightInd w:val="0"/>
              <w:spacing w:before="0" w:beforeAutospacing="0" w:after="0" w:line="240" w:lineRule="auto"/>
              <w:ind w:right="60"/>
              <w:rPr>
                <w:rFonts w:ascii="Times New Roman" w:hAnsi="Times New Roman"/>
                <w:b/>
                <w:bCs/>
                <w:sz w:val="24"/>
                <w:szCs w:val="24"/>
              </w:rPr>
            </w:pPr>
            <w:r w:rsidRPr="008B1465">
              <w:rPr>
                <w:rFonts w:ascii="Times New Roman" w:hAnsi="Times New Roman"/>
                <w:b/>
                <w:bCs/>
                <w:sz w:val="24"/>
                <w:szCs w:val="24"/>
              </w:rPr>
              <w:t xml:space="preserve">    D (%)</w:t>
            </w:r>
          </w:p>
        </w:tc>
        <w:tc>
          <w:tcPr>
            <w:tcW w:w="629" w:type="pct"/>
            <w:gridSpan w:val="2"/>
            <w:tcBorders>
              <w:top w:val="thinThickSmallGap" w:sz="24" w:space="0" w:color="auto"/>
              <w:bottom w:val="thinThickSmallGap" w:sz="24" w:space="0" w:color="auto"/>
            </w:tcBorders>
            <w:shd w:val="clear" w:color="auto" w:fill="auto"/>
          </w:tcPr>
          <w:p w14:paraId="7F94CCE5" w14:textId="6F6DF7F2" w:rsidR="00072188" w:rsidRPr="008B1465" w:rsidRDefault="00072188" w:rsidP="00072188">
            <w:pPr>
              <w:autoSpaceDE w:val="0"/>
              <w:autoSpaceDN w:val="0"/>
              <w:adjustRightInd w:val="0"/>
              <w:spacing w:before="0" w:beforeAutospacing="0" w:after="0" w:line="240" w:lineRule="auto"/>
              <w:ind w:right="60"/>
              <w:rPr>
                <w:rFonts w:ascii="Times New Roman" w:hAnsi="Times New Roman"/>
                <w:b/>
                <w:bCs/>
                <w:sz w:val="24"/>
                <w:szCs w:val="24"/>
              </w:rPr>
            </w:pPr>
            <w:r w:rsidRPr="008B1465">
              <w:rPr>
                <w:rFonts w:ascii="Times New Roman" w:hAnsi="Times New Roman"/>
                <w:b/>
                <w:bCs/>
                <w:sz w:val="24"/>
                <w:szCs w:val="24"/>
              </w:rPr>
              <w:t xml:space="preserve">    I (%)</w:t>
            </w:r>
          </w:p>
        </w:tc>
        <w:tc>
          <w:tcPr>
            <w:tcW w:w="629" w:type="pct"/>
            <w:gridSpan w:val="2"/>
            <w:tcBorders>
              <w:top w:val="thinThickSmallGap" w:sz="24" w:space="0" w:color="auto"/>
              <w:bottom w:val="thinThickSmallGap" w:sz="24" w:space="0" w:color="auto"/>
            </w:tcBorders>
            <w:shd w:val="clear" w:color="auto" w:fill="auto"/>
          </w:tcPr>
          <w:p w14:paraId="0A8576B0" w14:textId="77777777" w:rsidR="00072188" w:rsidRPr="008B1465" w:rsidRDefault="00072188" w:rsidP="00072188">
            <w:pPr>
              <w:autoSpaceDE w:val="0"/>
              <w:autoSpaceDN w:val="0"/>
              <w:adjustRightInd w:val="0"/>
              <w:spacing w:before="0" w:beforeAutospacing="0" w:after="0" w:line="240" w:lineRule="auto"/>
              <w:ind w:right="60"/>
              <w:rPr>
                <w:rFonts w:ascii="Times New Roman" w:hAnsi="Times New Roman"/>
                <w:b/>
                <w:bCs/>
                <w:sz w:val="24"/>
                <w:szCs w:val="24"/>
              </w:rPr>
            </w:pPr>
            <w:r w:rsidRPr="008B1465">
              <w:rPr>
                <w:rFonts w:ascii="Times New Roman" w:hAnsi="Times New Roman"/>
                <w:b/>
                <w:bCs/>
                <w:sz w:val="24"/>
                <w:szCs w:val="24"/>
              </w:rPr>
              <w:t xml:space="preserve">    A (%)</w:t>
            </w:r>
          </w:p>
        </w:tc>
        <w:tc>
          <w:tcPr>
            <w:tcW w:w="537" w:type="pct"/>
            <w:gridSpan w:val="2"/>
            <w:tcBorders>
              <w:top w:val="thinThickSmallGap" w:sz="24" w:space="0" w:color="auto"/>
              <w:bottom w:val="thinThickSmallGap" w:sz="24" w:space="0" w:color="auto"/>
            </w:tcBorders>
            <w:shd w:val="clear" w:color="auto" w:fill="auto"/>
          </w:tcPr>
          <w:p w14:paraId="3D26FD67" w14:textId="77777777" w:rsidR="00072188" w:rsidRPr="008B1465" w:rsidRDefault="00072188" w:rsidP="00072188">
            <w:pPr>
              <w:autoSpaceDE w:val="0"/>
              <w:autoSpaceDN w:val="0"/>
              <w:adjustRightInd w:val="0"/>
              <w:spacing w:before="0" w:beforeAutospacing="0" w:after="0" w:line="240" w:lineRule="auto"/>
              <w:ind w:right="60"/>
              <w:rPr>
                <w:rFonts w:ascii="Times New Roman" w:hAnsi="Times New Roman"/>
                <w:b/>
                <w:bCs/>
                <w:sz w:val="24"/>
                <w:szCs w:val="24"/>
              </w:rPr>
            </w:pPr>
            <w:r w:rsidRPr="008B1465">
              <w:rPr>
                <w:rFonts w:ascii="Times New Roman" w:hAnsi="Times New Roman"/>
                <w:b/>
                <w:bCs/>
                <w:sz w:val="24"/>
                <w:szCs w:val="24"/>
              </w:rPr>
              <w:t xml:space="preserve">  SA (%)</w:t>
            </w:r>
          </w:p>
        </w:tc>
        <w:tc>
          <w:tcPr>
            <w:tcW w:w="256" w:type="pct"/>
            <w:tcBorders>
              <w:top w:val="thinThickSmallGap" w:sz="24" w:space="0" w:color="auto"/>
              <w:bottom w:val="thinThickSmallGap" w:sz="24" w:space="0" w:color="auto"/>
            </w:tcBorders>
            <w:shd w:val="clear" w:color="auto" w:fill="auto"/>
            <w:vAlign w:val="bottom"/>
          </w:tcPr>
          <w:p w14:paraId="1BD42C7D" w14:textId="14805355" w:rsidR="00072188" w:rsidRPr="008B1465" w:rsidRDefault="00072188" w:rsidP="00072188">
            <w:pPr>
              <w:autoSpaceDE w:val="0"/>
              <w:autoSpaceDN w:val="0"/>
              <w:adjustRightInd w:val="0"/>
              <w:spacing w:before="0" w:beforeAutospacing="0" w:after="0" w:line="240" w:lineRule="auto"/>
              <w:ind w:right="60"/>
              <w:rPr>
                <w:rFonts w:ascii="Times New Roman" w:hAnsi="Times New Roman"/>
                <w:b/>
                <w:bCs/>
                <w:sz w:val="24"/>
                <w:szCs w:val="24"/>
              </w:rPr>
            </w:pPr>
            <w:r w:rsidRPr="00AA1F8B">
              <w:rPr>
                <w:rFonts w:ascii="Times New Roman" w:eastAsia="Calibri" w:hAnsi="Times New Roman"/>
                <w:b/>
                <w:bCs/>
                <w:sz w:val="28"/>
                <w:szCs w:val="28"/>
              </w:rPr>
              <w:t xml:space="preserve">  </w:t>
            </w:r>
            <m:oMath>
              <m:acc>
                <m:accPr>
                  <m:chr m:val="̅"/>
                  <m:ctrlPr>
                    <w:rPr>
                      <w:rFonts w:ascii="Cambria Math" w:eastAsia="Calibri" w:hAnsi="Cambria Math"/>
                      <w:b/>
                      <w:bCs/>
                      <w:i/>
                      <w:sz w:val="28"/>
                      <w:szCs w:val="28"/>
                    </w:rPr>
                  </m:ctrlPr>
                </m:accPr>
                <m:e>
                  <m:r>
                    <m:rPr>
                      <m:sty m:val="bi"/>
                    </m:rPr>
                    <w:rPr>
                      <w:rFonts w:ascii="Cambria Math" w:eastAsia="Calibri" w:hAnsi="Cambria Math"/>
                      <w:sz w:val="28"/>
                      <w:szCs w:val="28"/>
                    </w:rPr>
                    <m:t>x</m:t>
                  </m:r>
                </m:e>
              </m:acc>
            </m:oMath>
          </w:p>
        </w:tc>
        <w:tc>
          <w:tcPr>
            <w:tcW w:w="385" w:type="pct"/>
            <w:tcBorders>
              <w:top w:val="thinThickSmallGap" w:sz="24" w:space="0" w:color="auto"/>
              <w:bottom w:val="thinThickSmallGap" w:sz="24" w:space="0" w:color="auto"/>
            </w:tcBorders>
            <w:shd w:val="clear" w:color="auto" w:fill="auto"/>
            <w:vAlign w:val="bottom"/>
          </w:tcPr>
          <w:p w14:paraId="35E12AA0" w14:textId="54DFA1E2" w:rsidR="00072188" w:rsidRPr="008B1465" w:rsidRDefault="00072188" w:rsidP="00072188">
            <w:pPr>
              <w:autoSpaceDE w:val="0"/>
              <w:autoSpaceDN w:val="0"/>
              <w:adjustRightInd w:val="0"/>
              <w:spacing w:before="0" w:beforeAutospacing="0" w:after="0" w:line="240" w:lineRule="auto"/>
              <w:ind w:right="60"/>
              <w:rPr>
                <w:rFonts w:ascii="Times New Roman" w:hAnsi="Times New Roman"/>
                <w:b/>
                <w:bCs/>
                <w:sz w:val="24"/>
                <w:szCs w:val="24"/>
              </w:rPr>
            </w:pPr>
            <w:r>
              <w:rPr>
                <w:rFonts w:ascii="Times New Roman" w:eastAsia="Calibri" w:hAnsi="Times New Roman"/>
                <w:b/>
                <w:bCs/>
              </w:rPr>
              <w:t xml:space="preserve">  S</w:t>
            </w:r>
            <w:r w:rsidR="00957384">
              <w:rPr>
                <w:rFonts w:ascii="Times New Roman" w:eastAsia="Calibri" w:hAnsi="Times New Roman"/>
                <w:b/>
                <w:bCs/>
              </w:rPr>
              <w:t>T</w:t>
            </w:r>
            <w:r>
              <w:rPr>
                <w:rFonts w:ascii="Times New Roman" w:eastAsia="Calibri" w:hAnsi="Times New Roman"/>
                <w:b/>
                <w:bCs/>
              </w:rPr>
              <w:t xml:space="preserve">D </w:t>
            </w:r>
          </w:p>
        </w:tc>
      </w:tr>
      <w:tr w:rsidR="00F51E9B" w:rsidRPr="008B1465" w14:paraId="518A8089" w14:textId="77777777" w:rsidTr="00907138">
        <w:trPr>
          <w:cantSplit/>
        </w:trPr>
        <w:tc>
          <w:tcPr>
            <w:tcW w:w="239" w:type="pct"/>
            <w:tcBorders>
              <w:top w:val="thinThickSmallGap" w:sz="24" w:space="0" w:color="auto"/>
            </w:tcBorders>
            <w:shd w:val="clear" w:color="auto" w:fill="auto"/>
          </w:tcPr>
          <w:p w14:paraId="769AE31C" w14:textId="77777777" w:rsidR="00F51E9B" w:rsidRPr="008B1465" w:rsidRDefault="00F51E9B" w:rsidP="00F51E9B">
            <w:pPr>
              <w:pStyle w:val="ListParagraph"/>
              <w:numPr>
                <w:ilvl w:val="0"/>
                <w:numId w:val="30"/>
              </w:numPr>
              <w:autoSpaceDE w:val="0"/>
              <w:autoSpaceDN w:val="0"/>
              <w:adjustRightInd w:val="0"/>
              <w:spacing w:before="0" w:beforeAutospacing="0" w:after="0" w:line="240" w:lineRule="auto"/>
              <w:ind w:right="60"/>
              <w:jc w:val="center"/>
              <w:rPr>
                <w:rFonts w:ascii="Times New Roman" w:hAnsi="Times New Roman"/>
                <w:sz w:val="18"/>
                <w:szCs w:val="18"/>
              </w:rPr>
            </w:pPr>
          </w:p>
        </w:tc>
        <w:tc>
          <w:tcPr>
            <w:tcW w:w="1094" w:type="pct"/>
            <w:tcBorders>
              <w:top w:val="thinThickSmallGap" w:sz="24" w:space="0" w:color="auto"/>
            </w:tcBorders>
            <w:shd w:val="clear" w:color="auto" w:fill="auto"/>
          </w:tcPr>
          <w:p w14:paraId="2F07A747"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Cases of fund misappropriation have been reported at my university</w:t>
            </w:r>
          </w:p>
        </w:tc>
        <w:tc>
          <w:tcPr>
            <w:tcW w:w="242" w:type="pct"/>
            <w:tcBorders>
              <w:top w:val="thinThickSmallGap" w:sz="24" w:space="0" w:color="auto"/>
            </w:tcBorders>
            <w:shd w:val="clear" w:color="auto" w:fill="auto"/>
          </w:tcPr>
          <w:p w14:paraId="53A91D3E"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18</w:t>
            </w:r>
          </w:p>
        </w:tc>
        <w:tc>
          <w:tcPr>
            <w:tcW w:w="374" w:type="pct"/>
            <w:tcBorders>
              <w:top w:val="thinThickSmallGap" w:sz="24" w:space="0" w:color="auto"/>
            </w:tcBorders>
            <w:shd w:val="clear" w:color="auto" w:fill="auto"/>
          </w:tcPr>
          <w:p w14:paraId="19D3B42F"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(4.9)</w:t>
            </w:r>
          </w:p>
        </w:tc>
        <w:tc>
          <w:tcPr>
            <w:tcW w:w="241" w:type="pct"/>
            <w:tcBorders>
              <w:top w:val="thinThickSmallGap" w:sz="24" w:space="0" w:color="auto"/>
            </w:tcBorders>
            <w:shd w:val="clear" w:color="auto" w:fill="auto"/>
          </w:tcPr>
          <w:p w14:paraId="69B42EB0"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40</w:t>
            </w:r>
          </w:p>
        </w:tc>
        <w:tc>
          <w:tcPr>
            <w:tcW w:w="374" w:type="pct"/>
            <w:tcBorders>
              <w:top w:val="thinThickSmallGap" w:sz="24" w:space="0" w:color="auto"/>
            </w:tcBorders>
            <w:shd w:val="clear" w:color="auto" w:fill="auto"/>
          </w:tcPr>
          <w:p w14:paraId="406FF7F2"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(11.0)</w:t>
            </w:r>
          </w:p>
        </w:tc>
        <w:tc>
          <w:tcPr>
            <w:tcW w:w="255" w:type="pct"/>
            <w:tcBorders>
              <w:top w:val="thinThickSmallGap" w:sz="24" w:space="0" w:color="auto"/>
            </w:tcBorders>
            <w:shd w:val="clear" w:color="auto" w:fill="auto"/>
          </w:tcPr>
          <w:p w14:paraId="2287C8DF"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156</w:t>
            </w:r>
          </w:p>
        </w:tc>
        <w:tc>
          <w:tcPr>
            <w:tcW w:w="374" w:type="pct"/>
            <w:tcBorders>
              <w:top w:val="thinThickSmallGap" w:sz="24" w:space="0" w:color="auto"/>
            </w:tcBorders>
            <w:shd w:val="clear" w:color="auto" w:fill="auto"/>
          </w:tcPr>
          <w:p w14:paraId="4E31D134"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(42.9)</w:t>
            </w:r>
          </w:p>
        </w:tc>
        <w:tc>
          <w:tcPr>
            <w:tcW w:w="255" w:type="pct"/>
            <w:tcBorders>
              <w:top w:val="thinThickSmallGap" w:sz="24" w:space="0" w:color="auto"/>
            </w:tcBorders>
            <w:shd w:val="clear" w:color="auto" w:fill="auto"/>
          </w:tcPr>
          <w:p w14:paraId="68338896"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120</w:t>
            </w:r>
          </w:p>
        </w:tc>
        <w:tc>
          <w:tcPr>
            <w:tcW w:w="374" w:type="pct"/>
            <w:tcBorders>
              <w:top w:val="thinThickSmallGap" w:sz="24" w:space="0" w:color="auto"/>
            </w:tcBorders>
            <w:shd w:val="clear" w:color="auto" w:fill="auto"/>
          </w:tcPr>
          <w:p w14:paraId="1C0BD463"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(33.0)</w:t>
            </w:r>
          </w:p>
        </w:tc>
        <w:tc>
          <w:tcPr>
            <w:tcW w:w="228" w:type="pct"/>
            <w:tcBorders>
              <w:top w:val="thinThickSmallGap" w:sz="24" w:space="0" w:color="auto"/>
            </w:tcBorders>
            <w:shd w:val="clear" w:color="auto" w:fill="auto"/>
          </w:tcPr>
          <w:p w14:paraId="0CDF910A"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30</w:t>
            </w:r>
          </w:p>
        </w:tc>
        <w:tc>
          <w:tcPr>
            <w:tcW w:w="309" w:type="pct"/>
            <w:tcBorders>
              <w:top w:val="thinThickSmallGap" w:sz="24" w:space="0" w:color="auto"/>
            </w:tcBorders>
            <w:shd w:val="clear" w:color="auto" w:fill="auto"/>
          </w:tcPr>
          <w:p w14:paraId="77CBF383"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(8.2)</w:t>
            </w:r>
          </w:p>
        </w:tc>
        <w:tc>
          <w:tcPr>
            <w:tcW w:w="256" w:type="pct"/>
            <w:tcBorders>
              <w:top w:val="thinThickSmallGap" w:sz="24" w:space="0" w:color="auto"/>
            </w:tcBorders>
            <w:shd w:val="clear" w:color="auto" w:fill="auto"/>
          </w:tcPr>
          <w:p w14:paraId="6649E259" w14:textId="24117F1A" w:rsidR="00F51E9B" w:rsidRPr="003C29B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3C29B5">
              <w:rPr>
                <w:rFonts w:ascii="Times New Roman" w:hAnsi="Times New Roman"/>
                <w:color w:val="010205"/>
                <w:sz w:val="18"/>
                <w:szCs w:val="18"/>
              </w:rPr>
              <w:t>3.49</w:t>
            </w:r>
          </w:p>
        </w:tc>
        <w:tc>
          <w:tcPr>
            <w:tcW w:w="385" w:type="pct"/>
            <w:tcBorders>
              <w:top w:val="thinThickSmallGap" w:sz="24" w:space="0" w:color="auto"/>
            </w:tcBorders>
            <w:shd w:val="clear" w:color="auto" w:fill="auto"/>
          </w:tcPr>
          <w:p w14:paraId="3B7D509E" w14:textId="64443E89" w:rsidR="00F51E9B" w:rsidRPr="003C29B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3C29B5">
              <w:rPr>
                <w:rFonts w:ascii="Times New Roman" w:hAnsi="Times New Roman"/>
                <w:color w:val="010205"/>
                <w:sz w:val="18"/>
                <w:szCs w:val="18"/>
              </w:rPr>
              <w:t>1.059</w:t>
            </w:r>
          </w:p>
        </w:tc>
      </w:tr>
      <w:tr w:rsidR="00F51E9B" w:rsidRPr="008B1465" w14:paraId="1DEA37CF" w14:textId="77777777" w:rsidTr="00907138">
        <w:trPr>
          <w:cantSplit/>
        </w:trPr>
        <w:tc>
          <w:tcPr>
            <w:tcW w:w="239" w:type="pct"/>
            <w:shd w:val="clear" w:color="auto" w:fill="auto"/>
          </w:tcPr>
          <w:p w14:paraId="4971D804" w14:textId="77777777" w:rsidR="00F51E9B" w:rsidRPr="008B1465" w:rsidRDefault="00F51E9B" w:rsidP="00F51E9B">
            <w:pPr>
              <w:pStyle w:val="ListParagraph"/>
              <w:numPr>
                <w:ilvl w:val="0"/>
                <w:numId w:val="30"/>
              </w:numPr>
              <w:autoSpaceDE w:val="0"/>
              <w:autoSpaceDN w:val="0"/>
              <w:adjustRightInd w:val="0"/>
              <w:spacing w:before="0" w:beforeAutospacing="0" w:after="0" w:line="240" w:lineRule="auto"/>
              <w:ind w:right="60"/>
              <w:jc w:val="center"/>
              <w:rPr>
                <w:rFonts w:ascii="Times New Roman" w:hAnsi="Times New Roman"/>
                <w:sz w:val="18"/>
                <w:szCs w:val="18"/>
              </w:rPr>
            </w:pPr>
          </w:p>
        </w:tc>
        <w:tc>
          <w:tcPr>
            <w:tcW w:w="1094" w:type="pct"/>
            <w:shd w:val="clear" w:color="auto" w:fill="auto"/>
          </w:tcPr>
          <w:p w14:paraId="2F78FFE6"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The effects of poor financial management are seen in my university</w:t>
            </w:r>
          </w:p>
        </w:tc>
        <w:tc>
          <w:tcPr>
            <w:tcW w:w="242" w:type="pct"/>
            <w:shd w:val="clear" w:color="auto" w:fill="auto"/>
          </w:tcPr>
          <w:p w14:paraId="4FFDEA5A"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32</w:t>
            </w:r>
          </w:p>
        </w:tc>
        <w:tc>
          <w:tcPr>
            <w:tcW w:w="374" w:type="pct"/>
            <w:shd w:val="clear" w:color="auto" w:fill="auto"/>
          </w:tcPr>
          <w:p w14:paraId="5B1469B1"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(8.8)</w:t>
            </w:r>
          </w:p>
        </w:tc>
        <w:tc>
          <w:tcPr>
            <w:tcW w:w="241" w:type="pct"/>
            <w:shd w:val="clear" w:color="auto" w:fill="auto"/>
          </w:tcPr>
          <w:p w14:paraId="392793D4"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80</w:t>
            </w:r>
          </w:p>
        </w:tc>
        <w:tc>
          <w:tcPr>
            <w:tcW w:w="374" w:type="pct"/>
            <w:shd w:val="clear" w:color="auto" w:fill="auto"/>
          </w:tcPr>
          <w:p w14:paraId="3E5EEE67"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(22.0)</w:t>
            </w:r>
          </w:p>
        </w:tc>
        <w:tc>
          <w:tcPr>
            <w:tcW w:w="255" w:type="pct"/>
            <w:shd w:val="clear" w:color="auto" w:fill="auto"/>
          </w:tcPr>
          <w:p w14:paraId="5AECBCB5"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142</w:t>
            </w:r>
          </w:p>
        </w:tc>
        <w:tc>
          <w:tcPr>
            <w:tcW w:w="374" w:type="pct"/>
            <w:shd w:val="clear" w:color="auto" w:fill="auto"/>
          </w:tcPr>
          <w:p w14:paraId="47105D0C"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(39.0)</w:t>
            </w:r>
          </w:p>
        </w:tc>
        <w:tc>
          <w:tcPr>
            <w:tcW w:w="255" w:type="pct"/>
            <w:shd w:val="clear" w:color="auto" w:fill="auto"/>
          </w:tcPr>
          <w:p w14:paraId="59CE6169"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90</w:t>
            </w:r>
          </w:p>
        </w:tc>
        <w:tc>
          <w:tcPr>
            <w:tcW w:w="374" w:type="pct"/>
            <w:shd w:val="clear" w:color="auto" w:fill="auto"/>
          </w:tcPr>
          <w:p w14:paraId="5D7BE0FE"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(24.7)</w:t>
            </w:r>
          </w:p>
        </w:tc>
        <w:tc>
          <w:tcPr>
            <w:tcW w:w="228" w:type="pct"/>
            <w:shd w:val="clear" w:color="auto" w:fill="auto"/>
          </w:tcPr>
          <w:p w14:paraId="74736708"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20</w:t>
            </w:r>
          </w:p>
        </w:tc>
        <w:tc>
          <w:tcPr>
            <w:tcW w:w="309" w:type="pct"/>
            <w:shd w:val="clear" w:color="auto" w:fill="auto"/>
          </w:tcPr>
          <w:p w14:paraId="0A449A4A"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(5.5)</w:t>
            </w:r>
          </w:p>
        </w:tc>
        <w:tc>
          <w:tcPr>
            <w:tcW w:w="256" w:type="pct"/>
            <w:shd w:val="clear" w:color="auto" w:fill="auto"/>
          </w:tcPr>
          <w:p w14:paraId="04DFD071" w14:textId="4891F702" w:rsidR="00F51E9B" w:rsidRPr="003C29B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3C29B5">
              <w:rPr>
                <w:rFonts w:ascii="Times New Roman" w:hAnsi="Times New Roman"/>
                <w:color w:val="010205"/>
                <w:sz w:val="18"/>
                <w:szCs w:val="18"/>
              </w:rPr>
              <w:t>3.65</w:t>
            </w:r>
          </w:p>
        </w:tc>
        <w:tc>
          <w:tcPr>
            <w:tcW w:w="385" w:type="pct"/>
            <w:shd w:val="clear" w:color="auto" w:fill="auto"/>
          </w:tcPr>
          <w:p w14:paraId="194C4470" w14:textId="67EDFB95" w:rsidR="00F51E9B" w:rsidRPr="003C29B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3C29B5">
              <w:rPr>
                <w:rFonts w:ascii="Times New Roman" w:hAnsi="Times New Roman"/>
                <w:color w:val="010205"/>
                <w:sz w:val="18"/>
                <w:szCs w:val="18"/>
              </w:rPr>
              <w:t>.805</w:t>
            </w:r>
          </w:p>
        </w:tc>
      </w:tr>
      <w:tr w:rsidR="00F51E9B" w:rsidRPr="008B1465" w14:paraId="31490AB0" w14:textId="77777777" w:rsidTr="00072188">
        <w:trPr>
          <w:cantSplit/>
        </w:trPr>
        <w:tc>
          <w:tcPr>
            <w:tcW w:w="239" w:type="pct"/>
            <w:shd w:val="clear" w:color="auto" w:fill="auto"/>
          </w:tcPr>
          <w:p w14:paraId="3D6BBFBD" w14:textId="77777777" w:rsidR="00F51E9B" w:rsidRPr="008B1465" w:rsidRDefault="00F51E9B" w:rsidP="00F51E9B">
            <w:pPr>
              <w:pStyle w:val="ListParagraph"/>
              <w:numPr>
                <w:ilvl w:val="0"/>
                <w:numId w:val="30"/>
              </w:numPr>
              <w:autoSpaceDE w:val="0"/>
              <w:autoSpaceDN w:val="0"/>
              <w:adjustRightInd w:val="0"/>
              <w:spacing w:before="0" w:beforeAutospacing="0" w:after="0" w:line="240" w:lineRule="auto"/>
              <w:ind w:right="60"/>
              <w:jc w:val="center"/>
              <w:rPr>
                <w:rFonts w:ascii="Times New Roman" w:hAnsi="Times New Roman"/>
                <w:sz w:val="18"/>
                <w:szCs w:val="18"/>
              </w:rPr>
            </w:pPr>
          </w:p>
        </w:tc>
        <w:tc>
          <w:tcPr>
            <w:tcW w:w="1094" w:type="pct"/>
            <w:shd w:val="clear" w:color="auto" w:fill="auto"/>
          </w:tcPr>
          <w:p w14:paraId="69A790B2"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Fund misappropriation is a common occurrence in my university</w:t>
            </w:r>
          </w:p>
        </w:tc>
        <w:tc>
          <w:tcPr>
            <w:tcW w:w="242" w:type="pct"/>
            <w:shd w:val="clear" w:color="auto" w:fill="auto"/>
          </w:tcPr>
          <w:p w14:paraId="5C66F11A"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58</w:t>
            </w:r>
          </w:p>
        </w:tc>
        <w:tc>
          <w:tcPr>
            <w:tcW w:w="374" w:type="pct"/>
            <w:shd w:val="clear" w:color="auto" w:fill="auto"/>
          </w:tcPr>
          <w:p w14:paraId="743C569F"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(15.9)</w:t>
            </w:r>
          </w:p>
        </w:tc>
        <w:tc>
          <w:tcPr>
            <w:tcW w:w="241" w:type="pct"/>
            <w:shd w:val="clear" w:color="auto" w:fill="auto"/>
          </w:tcPr>
          <w:p w14:paraId="49D40C58"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78</w:t>
            </w:r>
          </w:p>
        </w:tc>
        <w:tc>
          <w:tcPr>
            <w:tcW w:w="374" w:type="pct"/>
            <w:shd w:val="clear" w:color="auto" w:fill="auto"/>
          </w:tcPr>
          <w:p w14:paraId="66EA6C1A"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(21.4)</w:t>
            </w:r>
          </w:p>
        </w:tc>
        <w:tc>
          <w:tcPr>
            <w:tcW w:w="255" w:type="pct"/>
            <w:shd w:val="clear" w:color="auto" w:fill="auto"/>
          </w:tcPr>
          <w:p w14:paraId="4A41FD02"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124</w:t>
            </w:r>
          </w:p>
        </w:tc>
        <w:tc>
          <w:tcPr>
            <w:tcW w:w="374" w:type="pct"/>
            <w:shd w:val="clear" w:color="auto" w:fill="auto"/>
          </w:tcPr>
          <w:p w14:paraId="60940E37"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(34.1)</w:t>
            </w:r>
          </w:p>
        </w:tc>
        <w:tc>
          <w:tcPr>
            <w:tcW w:w="255" w:type="pct"/>
            <w:shd w:val="clear" w:color="auto" w:fill="auto"/>
          </w:tcPr>
          <w:p w14:paraId="2AF241AD"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76</w:t>
            </w:r>
          </w:p>
        </w:tc>
        <w:tc>
          <w:tcPr>
            <w:tcW w:w="374" w:type="pct"/>
            <w:shd w:val="clear" w:color="auto" w:fill="auto"/>
          </w:tcPr>
          <w:p w14:paraId="2ACE60B1"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(20.9)</w:t>
            </w:r>
          </w:p>
        </w:tc>
        <w:tc>
          <w:tcPr>
            <w:tcW w:w="228" w:type="pct"/>
            <w:shd w:val="clear" w:color="auto" w:fill="auto"/>
          </w:tcPr>
          <w:p w14:paraId="4A602DC8"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28</w:t>
            </w:r>
          </w:p>
        </w:tc>
        <w:tc>
          <w:tcPr>
            <w:tcW w:w="309" w:type="pct"/>
            <w:shd w:val="clear" w:color="auto" w:fill="auto"/>
          </w:tcPr>
          <w:p w14:paraId="66C9366F"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(7.7)</w:t>
            </w:r>
          </w:p>
        </w:tc>
        <w:tc>
          <w:tcPr>
            <w:tcW w:w="256" w:type="pct"/>
            <w:shd w:val="clear" w:color="auto" w:fill="auto"/>
          </w:tcPr>
          <w:p w14:paraId="503A25ED" w14:textId="4196BED8" w:rsidR="00F51E9B" w:rsidRPr="003C29B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3C29B5">
              <w:rPr>
                <w:rFonts w:ascii="Times New Roman" w:hAnsi="Times New Roman"/>
                <w:color w:val="010205"/>
                <w:sz w:val="18"/>
                <w:szCs w:val="18"/>
              </w:rPr>
              <w:t>3.86</w:t>
            </w:r>
          </w:p>
        </w:tc>
        <w:tc>
          <w:tcPr>
            <w:tcW w:w="385" w:type="pct"/>
            <w:shd w:val="clear" w:color="auto" w:fill="auto"/>
          </w:tcPr>
          <w:p w14:paraId="61CDDAA0" w14:textId="3A076A6F" w:rsidR="00F51E9B" w:rsidRPr="003C29B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3C29B5">
              <w:rPr>
                <w:rFonts w:ascii="Times New Roman" w:hAnsi="Times New Roman"/>
                <w:color w:val="010205"/>
                <w:sz w:val="18"/>
                <w:szCs w:val="18"/>
              </w:rPr>
              <w:t>1.040</w:t>
            </w:r>
          </w:p>
        </w:tc>
      </w:tr>
      <w:tr w:rsidR="00F51E9B" w:rsidRPr="008B1465" w14:paraId="224F29F8" w14:textId="77777777" w:rsidTr="00072188">
        <w:trPr>
          <w:cantSplit/>
        </w:trPr>
        <w:tc>
          <w:tcPr>
            <w:tcW w:w="239" w:type="pct"/>
            <w:shd w:val="clear" w:color="auto" w:fill="auto"/>
          </w:tcPr>
          <w:p w14:paraId="5A2BBE41" w14:textId="77777777" w:rsidR="00F51E9B" w:rsidRPr="008B1465" w:rsidRDefault="00F51E9B" w:rsidP="00F51E9B">
            <w:pPr>
              <w:pStyle w:val="ListParagraph"/>
              <w:numPr>
                <w:ilvl w:val="0"/>
                <w:numId w:val="30"/>
              </w:numPr>
              <w:autoSpaceDE w:val="0"/>
              <w:autoSpaceDN w:val="0"/>
              <w:adjustRightInd w:val="0"/>
              <w:spacing w:before="0" w:beforeAutospacing="0" w:after="0" w:line="240" w:lineRule="auto"/>
              <w:ind w:right="60"/>
              <w:jc w:val="center"/>
              <w:rPr>
                <w:rFonts w:ascii="Times New Roman" w:hAnsi="Times New Roman"/>
                <w:sz w:val="18"/>
                <w:szCs w:val="18"/>
              </w:rPr>
            </w:pPr>
          </w:p>
        </w:tc>
        <w:tc>
          <w:tcPr>
            <w:tcW w:w="1094" w:type="pct"/>
            <w:shd w:val="clear" w:color="auto" w:fill="auto"/>
          </w:tcPr>
          <w:p w14:paraId="5B2EA5EB"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In my university, there have been cases of intervention funds being diverted to individual personal accounts.</w:t>
            </w:r>
          </w:p>
        </w:tc>
        <w:tc>
          <w:tcPr>
            <w:tcW w:w="242" w:type="pct"/>
            <w:shd w:val="clear" w:color="auto" w:fill="auto"/>
          </w:tcPr>
          <w:p w14:paraId="27A00E33"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60</w:t>
            </w:r>
          </w:p>
        </w:tc>
        <w:tc>
          <w:tcPr>
            <w:tcW w:w="374" w:type="pct"/>
            <w:shd w:val="clear" w:color="auto" w:fill="auto"/>
          </w:tcPr>
          <w:p w14:paraId="424D8E99"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(16.5)</w:t>
            </w:r>
          </w:p>
        </w:tc>
        <w:tc>
          <w:tcPr>
            <w:tcW w:w="241" w:type="pct"/>
            <w:shd w:val="clear" w:color="auto" w:fill="auto"/>
          </w:tcPr>
          <w:p w14:paraId="346455C8"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72</w:t>
            </w:r>
          </w:p>
        </w:tc>
        <w:tc>
          <w:tcPr>
            <w:tcW w:w="374" w:type="pct"/>
            <w:shd w:val="clear" w:color="auto" w:fill="auto"/>
          </w:tcPr>
          <w:p w14:paraId="083B971A"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(19.8)</w:t>
            </w:r>
          </w:p>
        </w:tc>
        <w:tc>
          <w:tcPr>
            <w:tcW w:w="255" w:type="pct"/>
            <w:shd w:val="clear" w:color="auto" w:fill="auto"/>
          </w:tcPr>
          <w:p w14:paraId="712071D2"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154</w:t>
            </w:r>
          </w:p>
        </w:tc>
        <w:tc>
          <w:tcPr>
            <w:tcW w:w="374" w:type="pct"/>
            <w:shd w:val="clear" w:color="auto" w:fill="auto"/>
          </w:tcPr>
          <w:p w14:paraId="04BB7A08"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(42.3)</w:t>
            </w:r>
          </w:p>
        </w:tc>
        <w:tc>
          <w:tcPr>
            <w:tcW w:w="255" w:type="pct"/>
            <w:shd w:val="clear" w:color="auto" w:fill="auto"/>
          </w:tcPr>
          <w:p w14:paraId="27453862"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58</w:t>
            </w:r>
          </w:p>
        </w:tc>
        <w:tc>
          <w:tcPr>
            <w:tcW w:w="374" w:type="pct"/>
            <w:shd w:val="clear" w:color="auto" w:fill="auto"/>
          </w:tcPr>
          <w:p w14:paraId="2590D946"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(15.9)</w:t>
            </w:r>
          </w:p>
        </w:tc>
        <w:tc>
          <w:tcPr>
            <w:tcW w:w="228" w:type="pct"/>
            <w:shd w:val="clear" w:color="auto" w:fill="auto"/>
          </w:tcPr>
          <w:p w14:paraId="40EC2BD2"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20</w:t>
            </w:r>
          </w:p>
        </w:tc>
        <w:tc>
          <w:tcPr>
            <w:tcW w:w="309" w:type="pct"/>
            <w:shd w:val="clear" w:color="auto" w:fill="auto"/>
          </w:tcPr>
          <w:p w14:paraId="3F59E584"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(5.5)</w:t>
            </w:r>
          </w:p>
        </w:tc>
        <w:tc>
          <w:tcPr>
            <w:tcW w:w="256" w:type="pct"/>
            <w:shd w:val="clear" w:color="auto" w:fill="auto"/>
          </w:tcPr>
          <w:p w14:paraId="76C6C4B4" w14:textId="75FD2F24" w:rsidR="00F51E9B" w:rsidRPr="003C29B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3C29B5">
              <w:rPr>
                <w:rFonts w:ascii="Times New Roman" w:hAnsi="Times New Roman"/>
                <w:color w:val="010205"/>
                <w:sz w:val="18"/>
                <w:szCs w:val="18"/>
              </w:rPr>
              <w:t>3.93</w:t>
            </w:r>
          </w:p>
        </w:tc>
        <w:tc>
          <w:tcPr>
            <w:tcW w:w="385" w:type="pct"/>
            <w:shd w:val="clear" w:color="auto" w:fill="auto"/>
          </w:tcPr>
          <w:p w14:paraId="42751FBB" w14:textId="49AEF198" w:rsidR="00F51E9B" w:rsidRPr="003C29B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3C29B5">
              <w:rPr>
                <w:rFonts w:ascii="Times New Roman" w:hAnsi="Times New Roman"/>
                <w:color w:val="010205"/>
                <w:sz w:val="18"/>
                <w:szCs w:val="18"/>
              </w:rPr>
              <w:t>1.094</w:t>
            </w:r>
          </w:p>
        </w:tc>
      </w:tr>
      <w:tr w:rsidR="00F51E9B" w:rsidRPr="008B1465" w14:paraId="42D464AF" w14:textId="77777777" w:rsidTr="00072188">
        <w:trPr>
          <w:cantSplit/>
        </w:trPr>
        <w:tc>
          <w:tcPr>
            <w:tcW w:w="239" w:type="pct"/>
            <w:shd w:val="clear" w:color="auto" w:fill="auto"/>
          </w:tcPr>
          <w:p w14:paraId="5209CB2F" w14:textId="77777777" w:rsidR="00F51E9B" w:rsidRPr="008B1465" w:rsidRDefault="00F51E9B" w:rsidP="00F51E9B">
            <w:pPr>
              <w:pStyle w:val="ListParagraph"/>
              <w:numPr>
                <w:ilvl w:val="0"/>
                <w:numId w:val="30"/>
              </w:numPr>
              <w:autoSpaceDE w:val="0"/>
              <w:autoSpaceDN w:val="0"/>
              <w:adjustRightInd w:val="0"/>
              <w:spacing w:before="0" w:beforeAutospacing="0" w:after="0" w:line="240" w:lineRule="auto"/>
              <w:ind w:right="60"/>
              <w:jc w:val="center"/>
              <w:rPr>
                <w:rFonts w:ascii="Times New Roman" w:hAnsi="Times New Roman"/>
                <w:sz w:val="18"/>
                <w:szCs w:val="18"/>
              </w:rPr>
            </w:pPr>
          </w:p>
        </w:tc>
        <w:tc>
          <w:tcPr>
            <w:tcW w:w="1094" w:type="pct"/>
            <w:shd w:val="clear" w:color="auto" w:fill="auto"/>
          </w:tcPr>
          <w:p w14:paraId="5CC4BDD6"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There have been reported cases of contract splitting in my university</w:t>
            </w:r>
          </w:p>
        </w:tc>
        <w:tc>
          <w:tcPr>
            <w:tcW w:w="242" w:type="pct"/>
            <w:shd w:val="clear" w:color="auto" w:fill="auto"/>
          </w:tcPr>
          <w:p w14:paraId="02B3ACF0"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42</w:t>
            </w:r>
          </w:p>
        </w:tc>
        <w:tc>
          <w:tcPr>
            <w:tcW w:w="374" w:type="pct"/>
            <w:shd w:val="clear" w:color="auto" w:fill="auto"/>
          </w:tcPr>
          <w:p w14:paraId="41FE1FC5"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(11.5)</w:t>
            </w:r>
          </w:p>
        </w:tc>
        <w:tc>
          <w:tcPr>
            <w:tcW w:w="241" w:type="pct"/>
            <w:shd w:val="clear" w:color="auto" w:fill="auto"/>
          </w:tcPr>
          <w:p w14:paraId="4D15A554"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72</w:t>
            </w:r>
          </w:p>
        </w:tc>
        <w:tc>
          <w:tcPr>
            <w:tcW w:w="374" w:type="pct"/>
            <w:shd w:val="clear" w:color="auto" w:fill="auto"/>
          </w:tcPr>
          <w:p w14:paraId="52747369"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(19.8)</w:t>
            </w:r>
          </w:p>
        </w:tc>
        <w:tc>
          <w:tcPr>
            <w:tcW w:w="255" w:type="pct"/>
            <w:shd w:val="clear" w:color="auto" w:fill="auto"/>
          </w:tcPr>
          <w:p w14:paraId="587C7290"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160</w:t>
            </w:r>
          </w:p>
        </w:tc>
        <w:tc>
          <w:tcPr>
            <w:tcW w:w="374" w:type="pct"/>
            <w:shd w:val="clear" w:color="auto" w:fill="auto"/>
          </w:tcPr>
          <w:p w14:paraId="3943DBF9"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(44.0)</w:t>
            </w:r>
          </w:p>
        </w:tc>
        <w:tc>
          <w:tcPr>
            <w:tcW w:w="255" w:type="pct"/>
            <w:shd w:val="clear" w:color="auto" w:fill="auto"/>
          </w:tcPr>
          <w:p w14:paraId="7B5ABB3E"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68</w:t>
            </w:r>
          </w:p>
        </w:tc>
        <w:tc>
          <w:tcPr>
            <w:tcW w:w="374" w:type="pct"/>
            <w:shd w:val="clear" w:color="auto" w:fill="auto"/>
          </w:tcPr>
          <w:p w14:paraId="62CE26EB"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(18.7)</w:t>
            </w:r>
          </w:p>
        </w:tc>
        <w:tc>
          <w:tcPr>
            <w:tcW w:w="228" w:type="pct"/>
            <w:shd w:val="clear" w:color="auto" w:fill="auto"/>
          </w:tcPr>
          <w:p w14:paraId="19B7E6B5"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22</w:t>
            </w:r>
          </w:p>
        </w:tc>
        <w:tc>
          <w:tcPr>
            <w:tcW w:w="309" w:type="pct"/>
            <w:shd w:val="clear" w:color="auto" w:fill="auto"/>
          </w:tcPr>
          <w:p w14:paraId="3F1A5F5B"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(6.0)</w:t>
            </w:r>
          </w:p>
        </w:tc>
        <w:tc>
          <w:tcPr>
            <w:tcW w:w="256" w:type="pct"/>
            <w:shd w:val="clear" w:color="auto" w:fill="auto"/>
          </w:tcPr>
          <w:p w14:paraId="71C90956" w14:textId="11E6EA5B" w:rsidR="00F51E9B" w:rsidRPr="003C29B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3C29B5">
              <w:rPr>
                <w:rFonts w:ascii="Times New Roman" w:hAnsi="Times New Roman"/>
                <w:color w:val="010205"/>
                <w:sz w:val="18"/>
                <w:szCs w:val="18"/>
              </w:rPr>
              <w:t>4.25</w:t>
            </w:r>
          </w:p>
        </w:tc>
        <w:tc>
          <w:tcPr>
            <w:tcW w:w="385" w:type="pct"/>
            <w:shd w:val="clear" w:color="auto" w:fill="auto"/>
          </w:tcPr>
          <w:p w14:paraId="48781BEE" w14:textId="7F6604D2" w:rsidR="00F51E9B" w:rsidRPr="003C29B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3C29B5">
              <w:rPr>
                <w:rFonts w:ascii="Times New Roman" w:hAnsi="Times New Roman"/>
                <w:color w:val="010205"/>
                <w:sz w:val="18"/>
                <w:szCs w:val="18"/>
              </w:rPr>
              <w:t>.719</w:t>
            </w:r>
          </w:p>
        </w:tc>
      </w:tr>
      <w:tr w:rsidR="00F51E9B" w:rsidRPr="008B1465" w14:paraId="53C34B48" w14:textId="77777777" w:rsidTr="00072188">
        <w:trPr>
          <w:cantSplit/>
        </w:trPr>
        <w:tc>
          <w:tcPr>
            <w:tcW w:w="239" w:type="pct"/>
            <w:shd w:val="clear" w:color="auto" w:fill="auto"/>
          </w:tcPr>
          <w:p w14:paraId="692764A4" w14:textId="77777777" w:rsidR="00F51E9B" w:rsidRPr="008B1465" w:rsidRDefault="00F51E9B" w:rsidP="00F51E9B">
            <w:pPr>
              <w:pStyle w:val="ListParagraph"/>
              <w:numPr>
                <w:ilvl w:val="0"/>
                <w:numId w:val="30"/>
              </w:numPr>
              <w:autoSpaceDE w:val="0"/>
              <w:autoSpaceDN w:val="0"/>
              <w:adjustRightInd w:val="0"/>
              <w:spacing w:before="0" w:beforeAutospacing="0" w:after="0" w:line="240" w:lineRule="auto"/>
              <w:ind w:right="60"/>
              <w:jc w:val="center"/>
              <w:rPr>
                <w:rFonts w:ascii="Times New Roman" w:hAnsi="Times New Roman"/>
                <w:sz w:val="18"/>
                <w:szCs w:val="18"/>
              </w:rPr>
            </w:pPr>
          </w:p>
        </w:tc>
        <w:tc>
          <w:tcPr>
            <w:tcW w:w="1094" w:type="pct"/>
            <w:shd w:val="clear" w:color="auto" w:fill="auto"/>
          </w:tcPr>
          <w:p w14:paraId="274CC3F7"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My university has received reports of embezzlement by some employees</w:t>
            </w:r>
          </w:p>
        </w:tc>
        <w:tc>
          <w:tcPr>
            <w:tcW w:w="242" w:type="pct"/>
            <w:shd w:val="clear" w:color="auto" w:fill="auto"/>
          </w:tcPr>
          <w:p w14:paraId="4706B325"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42</w:t>
            </w:r>
          </w:p>
        </w:tc>
        <w:tc>
          <w:tcPr>
            <w:tcW w:w="374" w:type="pct"/>
            <w:shd w:val="clear" w:color="auto" w:fill="auto"/>
          </w:tcPr>
          <w:p w14:paraId="6713792B"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(11.5)</w:t>
            </w:r>
          </w:p>
        </w:tc>
        <w:tc>
          <w:tcPr>
            <w:tcW w:w="241" w:type="pct"/>
            <w:shd w:val="clear" w:color="auto" w:fill="auto"/>
          </w:tcPr>
          <w:p w14:paraId="711C4195"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64</w:t>
            </w:r>
          </w:p>
        </w:tc>
        <w:tc>
          <w:tcPr>
            <w:tcW w:w="374" w:type="pct"/>
            <w:shd w:val="clear" w:color="auto" w:fill="auto"/>
          </w:tcPr>
          <w:p w14:paraId="640CDE99"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(17.6)</w:t>
            </w:r>
          </w:p>
        </w:tc>
        <w:tc>
          <w:tcPr>
            <w:tcW w:w="255" w:type="pct"/>
            <w:shd w:val="clear" w:color="auto" w:fill="auto"/>
          </w:tcPr>
          <w:p w14:paraId="5CC47BF5"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154</w:t>
            </w:r>
          </w:p>
        </w:tc>
        <w:tc>
          <w:tcPr>
            <w:tcW w:w="374" w:type="pct"/>
            <w:shd w:val="clear" w:color="auto" w:fill="auto"/>
          </w:tcPr>
          <w:p w14:paraId="78D440D0"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(42.3)</w:t>
            </w:r>
          </w:p>
        </w:tc>
        <w:tc>
          <w:tcPr>
            <w:tcW w:w="255" w:type="pct"/>
            <w:shd w:val="clear" w:color="auto" w:fill="auto"/>
          </w:tcPr>
          <w:p w14:paraId="01C77177"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88</w:t>
            </w:r>
          </w:p>
        </w:tc>
        <w:tc>
          <w:tcPr>
            <w:tcW w:w="374" w:type="pct"/>
            <w:shd w:val="clear" w:color="auto" w:fill="auto"/>
          </w:tcPr>
          <w:p w14:paraId="5B58861F"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(24.2)</w:t>
            </w:r>
          </w:p>
        </w:tc>
        <w:tc>
          <w:tcPr>
            <w:tcW w:w="228" w:type="pct"/>
            <w:shd w:val="clear" w:color="auto" w:fill="auto"/>
          </w:tcPr>
          <w:p w14:paraId="6E1E2D53"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16</w:t>
            </w:r>
          </w:p>
        </w:tc>
        <w:tc>
          <w:tcPr>
            <w:tcW w:w="309" w:type="pct"/>
            <w:shd w:val="clear" w:color="auto" w:fill="auto"/>
          </w:tcPr>
          <w:p w14:paraId="16BDC6BC"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(4.4)</w:t>
            </w:r>
          </w:p>
        </w:tc>
        <w:tc>
          <w:tcPr>
            <w:tcW w:w="256" w:type="pct"/>
            <w:shd w:val="clear" w:color="auto" w:fill="auto"/>
          </w:tcPr>
          <w:p w14:paraId="097DDE43" w14:textId="67BA1461" w:rsidR="00F51E9B" w:rsidRPr="003C29B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3C29B5">
              <w:rPr>
                <w:rFonts w:ascii="Times New Roman" w:hAnsi="Times New Roman"/>
                <w:color w:val="010205"/>
                <w:sz w:val="18"/>
                <w:szCs w:val="18"/>
              </w:rPr>
              <w:t>4.25</w:t>
            </w:r>
          </w:p>
        </w:tc>
        <w:tc>
          <w:tcPr>
            <w:tcW w:w="385" w:type="pct"/>
            <w:shd w:val="clear" w:color="auto" w:fill="auto"/>
          </w:tcPr>
          <w:p w14:paraId="3CC45A26" w14:textId="44728657" w:rsidR="00F51E9B" w:rsidRPr="003C29B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3C29B5">
              <w:rPr>
                <w:rFonts w:ascii="Times New Roman" w:hAnsi="Times New Roman"/>
                <w:color w:val="010205"/>
                <w:sz w:val="18"/>
                <w:szCs w:val="18"/>
              </w:rPr>
              <w:t>.859</w:t>
            </w:r>
          </w:p>
        </w:tc>
      </w:tr>
      <w:tr w:rsidR="00F51E9B" w:rsidRPr="008B1465" w14:paraId="442E3E51" w14:textId="77777777" w:rsidTr="00072188">
        <w:trPr>
          <w:cantSplit/>
        </w:trPr>
        <w:tc>
          <w:tcPr>
            <w:tcW w:w="239" w:type="pct"/>
            <w:tcBorders>
              <w:bottom w:val="thinThickSmallGap" w:sz="24" w:space="0" w:color="auto"/>
            </w:tcBorders>
            <w:shd w:val="clear" w:color="auto" w:fill="auto"/>
          </w:tcPr>
          <w:p w14:paraId="062BDD14" w14:textId="77777777" w:rsidR="00F51E9B" w:rsidRPr="008B1465" w:rsidRDefault="00F51E9B" w:rsidP="00F51E9B">
            <w:pPr>
              <w:pStyle w:val="ListParagraph"/>
              <w:numPr>
                <w:ilvl w:val="0"/>
                <w:numId w:val="30"/>
              </w:numPr>
              <w:autoSpaceDE w:val="0"/>
              <w:autoSpaceDN w:val="0"/>
              <w:adjustRightInd w:val="0"/>
              <w:spacing w:before="0" w:beforeAutospacing="0" w:after="0" w:line="240" w:lineRule="auto"/>
              <w:ind w:right="60"/>
              <w:jc w:val="center"/>
              <w:rPr>
                <w:rFonts w:ascii="Times New Roman" w:hAnsi="Times New Roman"/>
                <w:sz w:val="18"/>
                <w:szCs w:val="18"/>
              </w:rPr>
            </w:pPr>
          </w:p>
        </w:tc>
        <w:tc>
          <w:tcPr>
            <w:tcW w:w="1094" w:type="pct"/>
            <w:tcBorders>
              <w:bottom w:val="thinThickSmallGap" w:sz="24" w:space="0" w:color="auto"/>
            </w:tcBorders>
            <w:shd w:val="clear" w:color="auto" w:fill="auto"/>
          </w:tcPr>
          <w:p w14:paraId="5BCD0C86"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Some employees have been accused of engaging in unauthorized spending</w:t>
            </w:r>
          </w:p>
        </w:tc>
        <w:tc>
          <w:tcPr>
            <w:tcW w:w="242" w:type="pct"/>
            <w:tcBorders>
              <w:bottom w:val="thinThickSmallGap" w:sz="24" w:space="0" w:color="auto"/>
            </w:tcBorders>
            <w:shd w:val="clear" w:color="auto" w:fill="auto"/>
          </w:tcPr>
          <w:p w14:paraId="64665CB9"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34</w:t>
            </w:r>
          </w:p>
        </w:tc>
        <w:tc>
          <w:tcPr>
            <w:tcW w:w="374" w:type="pct"/>
            <w:tcBorders>
              <w:bottom w:val="thinThickSmallGap" w:sz="24" w:space="0" w:color="auto"/>
            </w:tcBorders>
            <w:shd w:val="clear" w:color="auto" w:fill="auto"/>
          </w:tcPr>
          <w:p w14:paraId="46002290"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(9.3)</w:t>
            </w:r>
          </w:p>
        </w:tc>
        <w:tc>
          <w:tcPr>
            <w:tcW w:w="241" w:type="pct"/>
            <w:tcBorders>
              <w:bottom w:val="thinThickSmallGap" w:sz="24" w:space="0" w:color="auto"/>
            </w:tcBorders>
            <w:shd w:val="clear" w:color="auto" w:fill="auto"/>
          </w:tcPr>
          <w:p w14:paraId="0E3AC3BC"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44</w:t>
            </w:r>
          </w:p>
        </w:tc>
        <w:tc>
          <w:tcPr>
            <w:tcW w:w="374" w:type="pct"/>
            <w:tcBorders>
              <w:bottom w:val="thinThickSmallGap" w:sz="24" w:space="0" w:color="auto"/>
            </w:tcBorders>
            <w:shd w:val="clear" w:color="auto" w:fill="auto"/>
          </w:tcPr>
          <w:p w14:paraId="7F73B977"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(12.1)</w:t>
            </w:r>
          </w:p>
        </w:tc>
        <w:tc>
          <w:tcPr>
            <w:tcW w:w="255" w:type="pct"/>
            <w:tcBorders>
              <w:bottom w:val="thinThickSmallGap" w:sz="24" w:space="0" w:color="auto"/>
            </w:tcBorders>
            <w:shd w:val="clear" w:color="auto" w:fill="auto"/>
          </w:tcPr>
          <w:p w14:paraId="159F16F3"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154</w:t>
            </w:r>
          </w:p>
        </w:tc>
        <w:tc>
          <w:tcPr>
            <w:tcW w:w="374" w:type="pct"/>
            <w:tcBorders>
              <w:bottom w:val="thinThickSmallGap" w:sz="24" w:space="0" w:color="auto"/>
            </w:tcBorders>
            <w:shd w:val="clear" w:color="auto" w:fill="auto"/>
          </w:tcPr>
          <w:p w14:paraId="1340208D"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(42.3)</w:t>
            </w:r>
          </w:p>
        </w:tc>
        <w:tc>
          <w:tcPr>
            <w:tcW w:w="255" w:type="pct"/>
            <w:tcBorders>
              <w:bottom w:val="thinThickSmallGap" w:sz="24" w:space="0" w:color="auto"/>
            </w:tcBorders>
            <w:shd w:val="clear" w:color="auto" w:fill="auto"/>
          </w:tcPr>
          <w:p w14:paraId="1E2D8483"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100</w:t>
            </w:r>
          </w:p>
        </w:tc>
        <w:tc>
          <w:tcPr>
            <w:tcW w:w="374" w:type="pct"/>
            <w:tcBorders>
              <w:bottom w:val="thinThickSmallGap" w:sz="24" w:space="0" w:color="auto"/>
            </w:tcBorders>
            <w:shd w:val="clear" w:color="auto" w:fill="auto"/>
          </w:tcPr>
          <w:p w14:paraId="53414D69"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(27.5)</w:t>
            </w:r>
          </w:p>
        </w:tc>
        <w:tc>
          <w:tcPr>
            <w:tcW w:w="228" w:type="pct"/>
            <w:tcBorders>
              <w:bottom w:val="thinThickSmallGap" w:sz="24" w:space="0" w:color="auto"/>
            </w:tcBorders>
            <w:shd w:val="clear" w:color="auto" w:fill="auto"/>
          </w:tcPr>
          <w:p w14:paraId="0B439B5A" w14:textId="77777777" w:rsidR="00F51E9B" w:rsidRPr="008B146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8B1465">
              <w:rPr>
                <w:rFonts w:ascii="Times New Roman" w:hAnsi="Times New Roman"/>
                <w:sz w:val="18"/>
                <w:szCs w:val="18"/>
              </w:rPr>
              <w:t>32</w:t>
            </w:r>
          </w:p>
        </w:tc>
        <w:tc>
          <w:tcPr>
            <w:tcW w:w="309" w:type="pct"/>
            <w:tcBorders>
              <w:bottom w:val="thinThickSmallGap" w:sz="24" w:space="0" w:color="auto"/>
            </w:tcBorders>
            <w:shd w:val="clear" w:color="auto" w:fill="auto"/>
          </w:tcPr>
          <w:p w14:paraId="3BAB75E1" w14:textId="77777777" w:rsidR="00F51E9B" w:rsidRPr="008B146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8B1465">
              <w:rPr>
                <w:rFonts w:ascii="Times New Roman" w:hAnsi="Times New Roman"/>
                <w:sz w:val="18"/>
                <w:szCs w:val="18"/>
              </w:rPr>
              <w:t>(8.8)</w:t>
            </w:r>
          </w:p>
        </w:tc>
        <w:tc>
          <w:tcPr>
            <w:tcW w:w="256" w:type="pct"/>
            <w:tcBorders>
              <w:bottom w:val="thinThickSmallGap" w:sz="24" w:space="0" w:color="auto"/>
            </w:tcBorders>
            <w:shd w:val="clear" w:color="auto" w:fill="auto"/>
          </w:tcPr>
          <w:p w14:paraId="3BD61CB1" w14:textId="105870DB" w:rsidR="00F51E9B" w:rsidRPr="003C29B5" w:rsidRDefault="00F51E9B" w:rsidP="00F51E9B">
            <w:pPr>
              <w:autoSpaceDE w:val="0"/>
              <w:autoSpaceDN w:val="0"/>
              <w:adjustRightInd w:val="0"/>
              <w:spacing w:before="0" w:beforeAutospacing="0" w:after="0" w:line="240" w:lineRule="auto"/>
              <w:ind w:left="60" w:right="60"/>
              <w:jc w:val="right"/>
              <w:rPr>
                <w:rFonts w:ascii="Times New Roman" w:hAnsi="Times New Roman"/>
                <w:sz w:val="18"/>
                <w:szCs w:val="18"/>
              </w:rPr>
            </w:pPr>
            <w:r w:rsidRPr="003C29B5">
              <w:rPr>
                <w:rFonts w:ascii="Times New Roman" w:hAnsi="Times New Roman"/>
                <w:color w:val="010205"/>
                <w:sz w:val="18"/>
                <w:szCs w:val="18"/>
              </w:rPr>
              <w:t>4.42</w:t>
            </w:r>
          </w:p>
        </w:tc>
        <w:tc>
          <w:tcPr>
            <w:tcW w:w="385" w:type="pct"/>
            <w:tcBorders>
              <w:bottom w:val="thinThickSmallGap" w:sz="24" w:space="0" w:color="auto"/>
            </w:tcBorders>
            <w:shd w:val="clear" w:color="auto" w:fill="auto"/>
          </w:tcPr>
          <w:p w14:paraId="201797FB" w14:textId="6E35D7C4" w:rsidR="00F51E9B" w:rsidRPr="003C29B5" w:rsidRDefault="00F51E9B" w:rsidP="00F51E9B">
            <w:pPr>
              <w:autoSpaceDE w:val="0"/>
              <w:autoSpaceDN w:val="0"/>
              <w:adjustRightInd w:val="0"/>
              <w:spacing w:before="0" w:beforeAutospacing="0" w:after="0" w:line="240" w:lineRule="auto"/>
              <w:ind w:left="60" w:right="60"/>
              <w:rPr>
                <w:rFonts w:ascii="Times New Roman" w:hAnsi="Times New Roman"/>
                <w:sz w:val="18"/>
                <w:szCs w:val="18"/>
              </w:rPr>
            </w:pPr>
            <w:r w:rsidRPr="003C29B5">
              <w:rPr>
                <w:rFonts w:ascii="Times New Roman" w:hAnsi="Times New Roman"/>
                <w:color w:val="010205"/>
                <w:sz w:val="18"/>
                <w:szCs w:val="18"/>
              </w:rPr>
              <w:t>.861</w:t>
            </w:r>
          </w:p>
        </w:tc>
      </w:tr>
    </w:tbl>
    <w:p w14:paraId="69CA8248" w14:textId="77777777" w:rsidR="00EB5D7C" w:rsidRPr="008B1465" w:rsidRDefault="00EB5D7C" w:rsidP="00ED7FE7">
      <w:pPr>
        <w:pStyle w:val="NoSpacing"/>
        <w:spacing w:line="360" w:lineRule="auto"/>
        <w:rPr>
          <w:rFonts w:asciiTheme="minorHAnsi" w:hAnsiTheme="minorHAnsi" w:cstheme="minorHAnsi"/>
          <w:b/>
          <w:bCs/>
          <w:sz w:val="18"/>
          <w:szCs w:val="18"/>
        </w:rPr>
      </w:pPr>
      <w:r w:rsidRPr="008B1465">
        <w:rPr>
          <w:rFonts w:ascii="Times New Roman" w:hAnsi="Times New Roman"/>
          <w:b/>
          <w:sz w:val="18"/>
          <w:szCs w:val="18"/>
        </w:rPr>
        <w:t xml:space="preserve">Source: Researcher’s field survey, 2023, SPSS 25.0 </w:t>
      </w:r>
      <w:r w:rsidRPr="008B1465">
        <w:rPr>
          <w:rFonts w:asciiTheme="minorHAnsi" w:hAnsiTheme="minorHAnsi" w:cstheme="minorHAnsi"/>
          <w:b/>
          <w:bCs/>
          <w:sz w:val="18"/>
          <w:szCs w:val="18"/>
        </w:rPr>
        <w:t>Version</w:t>
      </w:r>
    </w:p>
    <w:p w14:paraId="20A82FA5" w14:textId="4331C3B9" w:rsidR="009A29AF" w:rsidRPr="008B1465" w:rsidRDefault="009A29AF" w:rsidP="009A29AF">
      <w:pPr>
        <w:spacing w:after="100" w:afterAutospacing="1" w:line="360" w:lineRule="auto"/>
        <w:jc w:val="both"/>
        <w:rPr>
          <w:rFonts w:ascii="Times New Roman" w:hAnsi="Times New Roman"/>
          <w:color w:val="000000"/>
          <w:sz w:val="24"/>
          <w:szCs w:val="24"/>
        </w:rPr>
      </w:pPr>
      <w:r w:rsidRPr="008B1465">
        <w:rPr>
          <w:rFonts w:ascii="Times New Roman" w:hAnsi="Times New Roman"/>
          <w:color w:val="000000"/>
          <w:sz w:val="24"/>
          <w:szCs w:val="24"/>
        </w:rPr>
        <w:t xml:space="preserve">In the first item in Table 4.9, which addresses fund misappropriation, 4.9 per cent strongly disagree, 11.0 per cent disagree, 42.9 per cent are indifferent, 33.0 per cent agree, and 8.2 per cent strongly agree. This suggests that a significant proportion of respondents (41.1 per cent) either agree or strongly agree that cases of fund misappropriation have been reported at the university. </w:t>
      </w:r>
      <w:r>
        <w:rPr>
          <w:rFonts w:ascii="Times New Roman" w:hAnsi="Times New Roman"/>
          <w:color w:val="000000"/>
          <w:sz w:val="24"/>
          <w:szCs w:val="24"/>
        </w:rPr>
        <w:t xml:space="preserve">The mean shows that </w:t>
      </w:r>
      <w:r w:rsidRPr="00614DB5">
        <w:rPr>
          <w:rFonts w:ascii="Times New Roman" w:hAnsi="Times New Roman"/>
          <w:color w:val="000000"/>
          <w:sz w:val="24"/>
          <w:szCs w:val="24"/>
        </w:rPr>
        <w:t>respondents believe that cases of fund misappropriation have been reported at their university.</w:t>
      </w:r>
      <w:r>
        <w:rPr>
          <w:rFonts w:ascii="Times New Roman" w:hAnsi="Times New Roman"/>
          <w:color w:val="000000"/>
          <w:sz w:val="24"/>
          <w:szCs w:val="24"/>
        </w:rPr>
        <w:t xml:space="preserve"> </w:t>
      </w:r>
      <w:r w:rsidRPr="00614DB5">
        <w:rPr>
          <w:rFonts w:ascii="Times New Roman" w:hAnsi="Times New Roman"/>
          <w:color w:val="000000"/>
          <w:sz w:val="24"/>
          <w:szCs w:val="24"/>
        </w:rPr>
        <w:t>The relatively high standard deviation of 1.059 suggests significant variability in responses, indicating that some respondents strongly agree with this statement, while others may not agree as strongly.</w:t>
      </w:r>
      <w:r>
        <w:rPr>
          <w:rFonts w:ascii="Times New Roman" w:hAnsi="Times New Roman"/>
          <w:color w:val="000000"/>
          <w:sz w:val="24"/>
          <w:szCs w:val="24"/>
        </w:rPr>
        <w:t xml:space="preserve"> </w:t>
      </w:r>
      <w:r w:rsidRPr="008B1465">
        <w:rPr>
          <w:rFonts w:ascii="Times New Roman" w:hAnsi="Times New Roman"/>
          <w:color w:val="000000"/>
          <w:sz w:val="24"/>
          <w:szCs w:val="24"/>
        </w:rPr>
        <w:t xml:space="preserve">The second item focuses on the effects of poor financial management. Here, 8.8 per cent strongly disagree, 22.0 per cent disagree, 39.0 per cent are indifferent, 24.7 per cent agree, and 5.5 per cent strongly agree. The results indicate that a majority of respondents (30.2 per cent) either agree or strongly agree that the effects of poor financial management are visible at the university. </w:t>
      </w:r>
      <w:r w:rsidRPr="00591716">
        <w:rPr>
          <w:rFonts w:ascii="Times New Roman" w:hAnsi="Times New Roman"/>
          <w:color w:val="000000"/>
          <w:sz w:val="24"/>
          <w:szCs w:val="24"/>
        </w:rPr>
        <w:t>On average, respondents believe that the effects of poor financial management are visible in their university.</w:t>
      </w:r>
      <w:r>
        <w:rPr>
          <w:rFonts w:ascii="Times New Roman" w:hAnsi="Times New Roman"/>
          <w:color w:val="000000"/>
          <w:sz w:val="24"/>
          <w:szCs w:val="24"/>
        </w:rPr>
        <w:t xml:space="preserve"> </w:t>
      </w:r>
      <w:r w:rsidRPr="00591716">
        <w:rPr>
          <w:rFonts w:ascii="Times New Roman" w:hAnsi="Times New Roman"/>
          <w:color w:val="000000"/>
          <w:sz w:val="24"/>
          <w:szCs w:val="24"/>
        </w:rPr>
        <w:t>The standard deviation of 0.805 indicates that respondents tend to agree with this statement, with relatively little variation in responses.</w:t>
      </w:r>
      <w:r>
        <w:rPr>
          <w:rFonts w:ascii="Times New Roman" w:hAnsi="Times New Roman"/>
          <w:color w:val="000000"/>
          <w:sz w:val="24"/>
          <w:szCs w:val="24"/>
        </w:rPr>
        <w:t xml:space="preserve"> </w:t>
      </w:r>
      <w:r w:rsidRPr="008B1465">
        <w:rPr>
          <w:rFonts w:ascii="Times New Roman" w:hAnsi="Times New Roman"/>
          <w:color w:val="000000"/>
          <w:sz w:val="24"/>
          <w:szCs w:val="24"/>
        </w:rPr>
        <w:t>Moving on to the third item, which examines the frequency of fund misappropriation, 15.9 per cent strongly disagree, 21.4 per cent disagree, 34.1 per cent are indifferent, 20.9 per cent agree, and 7.7 per cent strongly agree. This implies that a considerable portion of respondents (28.6 per cent) either agree or strongly agree that fund misappropriation is a common occurrence at the university.</w:t>
      </w:r>
      <w:r>
        <w:rPr>
          <w:rFonts w:ascii="Times New Roman" w:hAnsi="Times New Roman"/>
          <w:color w:val="000000"/>
          <w:sz w:val="24"/>
          <w:szCs w:val="24"/>
        </w:rPr>
        <w:t xml:space="preserve"> </w:t>
      </w:r>
      <w:r w:rsidRPr="00591716">
        <w:rPr>
          <w:rFonts w:ascii="Times New Roman" w:hAnsi="Times New Roman"/>
          <w:color w:val="000000"/>
          <w:sz w:val="24"/>
          <w:szCs w:val="24"/>
        </w:rPr>
        <w:t>On average, respondents believe that fund misappropriation is a common occurrence at their university.</w:t>
      </w:r>
      <w:r>
        <w:rPr>
          <w:rFonts w:ascii="Times New Roman" w:hAnsi="Times New Roman"/>
          <w:color w:val="000000"/>
          <w:sz w:val="24"/>
          <w:szCs w:val="24"/>
        </w:rPr>
        <w:t xml:space="preserve"> </w:t>
      </w:r>
      <w:r w:rsidRPr="00591716">
        <w:rPr>
          <w:rFonts w:ascii="Times New Roman" w:hAnsi="Times New Roman"/>
          <w:color w:val="000000"/>
          <w:sz w:val="24"/>
          <w:szCs w:val="24"/>
        </w:rPr>
        <w:t>The relatively high standard deviation of 1.040 suggests variability in responses, with some respondents strongly agree</w:t>
      </w:r>
      <w:r w:rsidR="00893F66">
        <w:rPr>
          <w:rFonts w:ascii="Times New Roman" w:hAnsi="Times New Roman"/>
          <w:color w:val="000000"/>
          <w:sz w:val="24"/>
          <w:szCs w:val="24"/>
        </w:rPr>
        <w:t>d</w:t>
      </w:r>
      <w:r w:rsidRPr="00591716">
        <w:rPr>
          <w:rFonts w:ascii="Times New Roman" w:hAnsi="Times New Roman"/>
          <w:color w:val="000000"/>
          <w:sz w:val="24"/>
          <w:szCs w:val="24"/>
        </w:rPr>
        <w:t xml:space="preserve"> while others may not agree as strongly.</w:t>
      </w:r>
      <w:r w:rsidRPr="008B1465">
        <w:rPr>
          <w:rFonts w:ascii="Times New Roman" w:hAnsi="Times New Roman"/>
          <w:color w:val="000000"/>
          <w:sz w:val="24"/>
          <w:szCs w:val="24"/>
        </w:rPr>
        <w:t xml:space="preserve"> The fourth item focuses on intervention funds being diverted to personal accounts. Here, 16.5 per cent strongly disagree, 19.8 per cent disagree, 42.3 per cent are indifferent, 15.9 per cent agree, and 5.5 per cent strongly agree. This indicates that a notable proportion of respondents (21.4 per cent) either agree or strongly agree that cases of intervention funds being diverted to individual personal accounts have been reported at the university.</w:t>
      </w:r>
      <w:r>
        <w:rPr>
          <w:rFonts w:ascii="Times New Roman" w:hAnsi="Times New Roman"/>
          <w:color w:val="000000"/>
          <w:sz w:val="24"/>
          <w:szCs w:val="24"/>
        </w:rPr>
        <w:t xml:space="preserve"> The average result shows that </w:t>
      </w:r>
      <w:r w:rsidRPr="00591716">
        <w:rPr>
          <w:rFonts w:ascii="Times New Roman" w:hAnsi="Times New Roman"/>
          <w:color w:val="000000"/>
          <w:sz w:val="24"/>
          <w:szCs w:val="24"/>
        </w:rPr>
        <w:t>respondents believe that there have been cases of intervention funds being diverted to individual personal accounts at their university.</w:t>
      </w:r>
      <w:r>
        <w:rPr>
          <w:rFonts w:ascii="Times New Roman" w:hAnsi="Times New Roman"/>
          <w:color w:val="000000"/>
          <w:sz w:val="24"/>
          <w:szCs w:val="24"/>
        </w:rPr>
        <w:t xml:space="preserve"> </w:t>
      </w:r>
      <w:r w:rsidRPr="00591716">
        <w:rPr>
          <w:rFonts w:ascii="Times New Roman" w:hAnsi="Times New Roman"/>
          <w:color w:val="000000"/>
          <w:sz w:val="24"/>
          <w:szCs w:val="24"/>
        </w:rPr>
        <w:t>The standard deviation of 1.094 suggests some variability in responses, with some respondents strongly agree while others may not agree as strongly.</w:t>
      </w:r>
      <w:r w:rsidRPr="008B1465">
        <w:rPr>
          <w:rFonts w:ascii="Times New Roman" w:hAnsi="Times New Roman"/>
          <w:color w:val="000000"/>
          <w:sz w:val="24"/>
          <w:szCs w:val="24"/>
        </w:rPr>
        <w:t xml:space="preserve"> In the fifth item, which addresses contract splitting, 11.5 per cent strongly disagree, 19.8 per cent disagree, 44.0 per cent are indifferent, 18.7 per cent agree, and 6.0 per cent strongly agree. The results suggest that a significant number of respondents (24.7 per cent) either agree or strongly agree that there have been reported cases of contract splitting at the university.</w:t>
      </w:r>
      <w:r>
        <w:rPr>
          <w:rFonts w:ascii="Times New Roman" w:hAnsi="Times New Roman"/>
          <w:color w:val="000000"/>
          <w:sz w:val="24"/>
          <w:szCs w:val="24"/>
        </w:rPr>
        <w:t xml:space="preserve"> </w:t>
      </w:r>
      <w:r w:rsidRPr="006C6804">
        <w:rPr>
          <w:rFonts w:ascii="Times New Roman" w:hAnsi="Times New Roman"/>
          <w:color w:val="000000"/>
          <w:sz w:val="24"/>
          <w:szCs w:val="24"/>
        </w:rPr>
        <w:t>On average, respondents believe that there have been reported cases of contract splitting at their university.</w:t>
      </w:r>
      <w:r>
        <w:rPr>
          <w:rFonts w:ascii="Times New Roman" w:hAnsi="Times New Roman"/>
          <w:color w:val="000000"/>
          <w:sz w:val="24"/>
          <w:szCs w:val="24"/>
        </w:rPr>
        <w:t xml:space="preserve"> </w:t>
      </w:r>
      <w:r w:rsidRPr="006C6804">
        <w:rPr>
          <w:rFonts w:ascii="Times New Roman" w:hAnsi="Times New Roman"/>
          <w:color w:val="000000"/>
          <w:sz w:val="24"/>
          <w:szCs w:val="24"/>
        </w:rPr>
        <w:t>The relatively low standard deviation of 0.719 indicates that respondents generally strongly agree with this statement, with little variation in responses.</w:t>
      </w:r>
      <w:r>
        <w:rPr>
          <w:rFonts w:ascii="Times New Roman" w:hAnsi="Times New Roman"/>
          <w:color w:val="000000"/>
          <w:sz w:val="24"/>
          <w:szCs w:val="24"/>
        </w:rPr>
        <w:t xml:space="preserve"> T</w:t>
      </w:r>
      <w:r w:rsidRPr="008B1465">
        <w:rPr>
          <w:rFonts w:ascii="Times New Roman" w:hAnsi="Times New Roman"/>
          <w:color w:val="000000"/>
          <w:sz w:val="24"/>
          <w:szCs w:val="24"/>
        </w:rPr>
        <w:t>he sixth item pertains to embezzlement by university employees. Here, 11.5 per cent strongly disagree, 17.6 per cent disagree, 42.3 per cent are indifferent, 24.2 per cent agree, and 4.4 per cent strongly agree.</w:t>
      </w:r>
      <w:r>
        <w:rPr>
          <w:rFonts w:ascii="Times New Roman" w:hAnsi="Times New Roman"/>
          <w:color w:val="000000"/>
          <w:sz w:val="24"/>
          <w:szCs w:val="24"/>
        </w:rPr>
        <w:t xml:space="preserve"> The mean of the responses show</w:t>
      </w:r>
      <w:r w:rsidRPr="006C6804">
        <w:rPr>
          <w:rFonts w:ascii="Times New Roman" w:hAnsi="Times New Roman"/>
          <w:color w:val="000000"/>
          <w:sz w:val="24"/>
          <w:szCs w:val="24"/>
        </w:rPr>
        <w:t xml:space="preserve"> that</w:t>
      </w:r>
      <w:r>
        <w:rPr>
          <w:rFonts w:ascii="Times New Roman" w:hAnsi="Times New Roman"/>
          <w:color w:val="000000"/>
          <w:sz w:val="24"/>
          <w:szCs w:val="24"/>
        </w:rPr>
        <w:t xml:space="preserve"> majority of respondents </w:t>
      </w:r>
      <w:r w:rsidRPr="007C55C1">
        <w:rPr>
          <w:rFonts w:ascii="Times New Roman" w:hAnsi="Times New Roman"/>
          <w:color w:val="000000"/>
          <w:sz w:val="24"/>
          <w:szCs w:val="24"/>
        </w:rPr>
        <w:t>believe that their university has received reports of embezzlement by some employees.</w:t>
      </w:r>
      <w:r>
        <w:rPr>
          <w:rFonts w:ascii="Times New Roman" w:hAnsi="Times New Roman"/>
          <w:color w:val="000000"/>
          <w:sz w:val="24"/>
          <w:szCs w:val="24"/>
        </w:rPr>
        <w:t xml:space="preserve"> </w:t>
      </w:r>
      <w:r w:rsidRPr="007C55C1">
        <w:rPr>
          <w:rFonts w:ascii="Times New Roman" w:hAnsi="Times New Roman"/>
          <w:color w:val="000000"/>
          <w:sz w:val="24"/>
          <w:szCs w:val="24"/>
        </w:rPr>
        <w:t>The standard deviation of 0.859 suggests that respondents generally agree with this statement, with some variation in the strength of agreement.</w:t>
      </w:r>
      <w:r w:rsidRPr="006C6804">
        <w:rPr>
          <w:rFonts w:ascii="Times New Roman" w:hAnsi="Times New Roman"/>
          <w:color w:val="000000"/>
          <w:sz w:val="24"/>
          <w:szCs w:val="24"/>
        </w:rPr>
        <w:t xml:space="preserve"> </w:t>
      </w:r>
    </w:p>
    <w:p w14:paraId="6F3893D2" w14:textId="77777777" w:rsidR="009A29AF" w:rsidRPr="008B1465" w:rsidRDefault="009A29AF" w:rsidP="009A29AF">
      <w:pPr>
        <w:spacing w:before="0" w:beforeAutospacing="0" w:after="0" w:line="360" w:lineRule="auto"/>
        <w:jc w:val="both"/>
        <w:rPr>
          <w:rFonts w:ascii="Times New Roman" w:hAnsi="Times New Roman"/>
          <w:color w:val="000000"/>
          <w:sz w:val="24"/>
          <w:szCs w:val="24"/>
        </w:rPr>
      </w:pPr>
      <w:r>
        <w:rPr>
          <w:rFonts w:ascii="Times New Roman" w:hAnsi="Times New Roman"/>
          <w:color w:val="000000"/>
          <w:sz w:val="24"/>
          <w:szCs w:val="24"/>
        </w:rPr>
        <w:t>Lastly, the seventh item implies</w:t>
      </w:r>
      <w:r w:rsidRPr="008B1465">
        <w:rPr>
          <w:rFonts w:ascii="Times New Roman" w:hAnsi="Times New Roman"/>
          <w:color w:val="000000"/>
          <w:sz w:val="24"/>
          <w:szCs w:val="24"/>
        </w:rPr>
        <w:t xml:space="preserve"> that a substantial portion of respondents (28.6 per cent) either agree or strongly agree that reports of embezzlement by some employees have been received at the university</w:t>
      </w:r>
      <w:r>
        <w:rPr>
          <w:rFonts w:ascii="Times New Roman" w:hAnsi="Times New Roman"/>
          <w:color w:val="000000"/>
          <w:sz w:val="24"/>
          <w:szCs w:val="24"/>
        </w:rPr>
        <w:t xml:space="preserve">, </w:t>
      </w:r>
      <w:r w:rsidRPr="00F3035D">
        <w:rPr>
          <w:rFonts w:ascii="Times New Roman" w:hAnsi="Times New Roman"/>
          <w:color w:val="000000"/>
          <w:sz w:val="24"/>
          <w:szCs w:val="24"/>
        </w:rPr>
        <w:t>9.3 per cent strongly disagree</w:t>
      </w:r>
      <w:r>
        <w:rPr>
          <w:rFonts w:ascii="Times New Roman" w:hAnsi="Times New Roman"/>
          <w:color w:val="000000"/>
          <w:sz w:val="24"/>
          <w:szCs w:val="24"/>
        </w:rPr>
        <w:t xml:space="preserve"> to this,</w:t>
      </w:r>
      <w:r w:rsidRPr="00F3035D">
        <w:rPr>
          <w:rFonts w:ascii="Times New Roman" w:hAnsi="Times New Roman"/>
          <w:color w:val="000000"/>
          <w:sz w:val="24"/>
          <w:szCs w:val="24"/>
        </w:rPr>
        <w:t xml:space="preserve"> 12.1 per cent disagree while 42.3 per cent are indifferent</w:t>
      </w:r>
      <w:r>
        <w:rPr>
          <w:rFonts w:ascii="Times New Roman" w:hAnsi="Times New Roman"/>
          <w:color w:val="000000"/>
          <w:sz w:val="24"/>
          <w:szCs w:val="24"/>
        </w:rPr>
        <w:t xml:space="preserve">. The mean score reveals that </w:t>
      </w:r>
      <w:r w:rsidRPr="00296C22">
        <w:rPr>
          <w:rFonts w:ascii="Times New Roman" w:hAnsi="Times New Roman"/>
          <w:color w:val="000000"/>
          <w:sz w:val="24"/>
          <w:szCs w:val="24"/>
        </w:rPr>
        <w:t>respondents believe that some employees have been accused of engaging in unauthorized spending at their university.</w:t>
      </w:r>
      <w:r>
        <w:rPr>
          <w:rFonts w:ascii="Times New Roman" w:hAnsi="Times New Roman"/>
          <w:color w:val="000000"/>
          <w:sz w:val="24"/>
          <w:szCs w:val="24"/>
        </w:rPr>
        <w:t xml:space="preserve"> </w:t>
      </w:r>
      <w:r w:rsidRPr="00296C22">
        <w:rPr>
          <w:rFonts w:ascii="Times New Roman" w:hAnsi="Times New Roman"/>
          <w:color w:val="000000"/>
          <w:sz w:val="24"/>
          <w:szCs w:val="24"/>
        </w:rPr>
        <w:t>The standard deviation of 0.861 indicates that respondents generally strongly agree with this statement, with relatively little variation in responses.</w:t>
      </w:r>
      <w:r>
        <w:rPr>
          <w:rFonts w:ascii="Times New Roman" w:hAnsi="Times New Roman"/>
          <w:color w:val="000000"/>
          <w:sz w:val="24"/>
          <w:szCs w:val="24"/>
        </w:rPr>
        <w:t xml:space="preserve"> </w:t>
      </w:r>
      <w:r w:rsidRPr="008B1465">
        <w:rPr>
          <w:rFonts w:ascii="Times New Roman" w:hAnsi="Times New Roman"/>
          <w:color w:val="000000"/>
          <w:sz w:val="24"/>
          <w:szCs w:val="24"/>
        </w:rPr>
        <w:t>Based on the survey responses, there appears to be a significant level of concern and awareness regarding financial mismanagement, fund misappropriation, intervention fund diversion, contract splitting, embezzlement, and unauthorized spending at the university. These results highlight the need for further investigation and action to address these issues and ensure transparent and ethical financial practices within the institution.</w:t>
      </w:r>
    </w:p>
    <w:p w14:paraId="55C0088C" w14:textId="5C3AB77D" w:rsidR="00234521" w:rsidRDefault="00234521" w:rsidP="00234521">
      <w:pPr>
        <w:pStyle w:val="Heading3"/>
      </w:pPr>
      <w:bookmarkStart w:id="121" w:name="_Toc145951125"/>
      <w:r w:rsidRPr="008B1465">
        <w:t>Diagnostic Test</w:t>
      </w:r>
      <w:bookmarkEnd w:id="121"/>
    </w:p>
    <w:p w14:paraId="7204B75E" w14:textId="77777777" w:rsidR="00640938" w:rsidRPr="0000759F" w:rsidRDefault="00640938" w:rsidP="00640938">
      <w:pPr>
        <w:pStyle w:val="Caption"/>
        <w:keepNext/>
        <w:jc w:val="center"/>
        <w:rPr>
          <w:rFonts w:ascii="Times New Roman" w:hAnsi="Times New Roman"/>
          <w:i w:val="0"/>
          <w:iCs w:val="0"/>
          <w:color w:val="000000" w:themeColor="text1"/>
          <w:sz w:val="24"/>
          <w:szCs w:val="24"/>
        </w:rPr>
      </w:pPr>
      <w:bookmarkStart w:id="122" w:name="_Toc145952343"/>
      <w:r w:rsidRPr="0000759F">
        <w:rPr>
          <w:rFonts w:ascii="Times New Roman" w:hAnsi="Times New Roman"/>
          <w:i w:val="0"/>
          <w:iCs w:val="0"/>
          <w:color w:val="000000" w:themeColor="text1"/>
          <w:sz w:val="24"/>
          <w:szCs w:val="24"/>
        </w:rPr>
        <w:t xml:space="preserve">Table </w:t>
      </w:r>
      <w:r>
        <w:rPr>
          <w:rFonts w:ascii="Times New Roman" w:hAnsi="Times New Roman"/>
          <w:i w:val="0"/>
          <w:iCs w:val="0"/>
          <w:color w:val="000000" w:themeColor="text1"/>
          <w:sz w:val="24"/>
          <w:szCs w:val="24"/>
        </w:rPr>
        <w:fldChar w:fldCharType="begin"/>
      </w:r>
      <w:r>
        <w:rPr>
          <w:rFonts w:ascii="Times New Roman" w:hAnsi="Times New Roman"/>
          <w:i w:val="0"/>
          <w:iCs w:val="0"/>
          <w:color w:val="000000" w:themeColor="text1"/>
          <w:sz w:val="24"/>
          <w:szCs w:val="24"/>
        </w:rPr>
        <w:instrText xml:space="preserve"> STYLEREF 1 \s </w:instrText>
      </w:r>
      <w:r>
        <w:rPr>
          <w:rFonts w:ascii="Times New Roman" w:hAnsi="Times New Roman"/>
          <w:i w:val="0"/>
          <w:iCs w:val="0"/>
          <w:color w:val="000000" w:themeColor="text1"/>
          <w:sz w:val="24"/>
          <w:szCs w:val="24"/>
        </w:rPr>
        <w:fldChar w:fldCharType="separate"/>
      </w:r>
      <w:r>
        <w:rPr>
          <w:rFonts w:ascii="Times New Roman" w:hAnsi="Times New Roman"/>
          <w:i w:val="0"/>
          <w:iCs w:val="0"/>
          <w:noProof/>
          <w:color w:val="000000" w:themeColor="text1"/>
          <w:sz w:val="24"/>
          <w:szCs w:val="24"/>
        </w:rPr>
        <w:t>4</w:t>
      </w:r>
      <w:r>
        <w:rPr>
          <w:rFonts w:ascii="Times New Roman" w:hAnsi="Times New Roman"/>
          <w:i w:val="0"/>
          <w:iCs w:val="0"/>
          <w:color w:val="000000" w:themeColor="text1"/>
          <w:sz w:val="24"/>
          <w:szCs w:val="24"/>
        </w:rPr>
        <w:fldChar w:fldCharType="end"/>
      </w:r>
      <w:r>
        <w:rPr>
          <w:rFonts w:ascii="Times New Roman" w:hAnsi="Times New Roman"/>
          <w:i w:val="0"/>
          <w:iCs w:val="0"/>
          <w:color w:val="000000" w:themeColor="text1"/>
          <w:sz w:val="24"/>
          <w:szCs w:val="24"/>
        </w:rPr>
        <w:t>.</w:t>
      </w:r>
      <w:r>
        <w:rPr>
          <w:rFonts w:ascii="Times New Roman" w:hAnsi="Times New Roman"/>
          <w:i w:val="0"/>
          <w:iCs w:val="0"/>
          <w:color w:val="000000" w:themeColor="text1"/>
          <w:sz w:val="24"/>
          <w:szCs w:val="24"/>
        </w:rPr>
        <w:fldChar w:fldCharType="begin"/>
      </w:r>
      <w:r>
        <w:rPr>
          <w:rFonts w:ascii="Times New Roman" w:hAnsi="Times New Roman"/>
          <w:i w:val="0"/>
          <w:iCs w:val="0"/>
          <w:color w:val="000000" w:themeColor="text1"/>
          <w:sz w:val="24"/>
          <w:szCs w:val="24"/>
        </w:rPr>
        <w:instrText xml:space="preserve"> SEQ Table \* ARABIC \s 1 </w:instrText>
      </w:r>
      <w:r>
        <w:rPr>
          <w:rFonts w:ascii="Times New Roman" w:hAnsi="Times New Roman"/>
          <w:i w:val="0"/>
          <w:iCs w:val="0"/>
          <w:color w:val="000000" w:themeColor="text1"/>
          <w:sz w:val="24"/>
          <w:szCs w:val="24"/>
        </w:rPr>
        <w:fldChar w:fldCharType="separate"/>
      </w:r>
      <w:r>
        <w:rPr>
          <w:rFonts w:ascii="Times New Roman" w:hAnsi="Times New Roman"/>
          <w:i w:val="0"/>
          <w:iCs w:val="0"/>
          <w:noProof/>
          <w:color w:val="000000" w:themeColor="text1"/>
          <w:sz w:val="24"/>
          <w:szCs w:val="24"/>
        </w:rPr>
        <w:t>10</w:t>
      </w:r>
      <w:r>
        <w:rPr>
          <w:rFonts w:ascii="Times New Roman" w:hAnsi="Times New Roman"/>
          <w:i w:val="0"/>
          <w:iCs w:val="0"/>
          <w:color w:val="000000" w:themeColor="text1"/>
          <w:sz w:val="24"/>
          <w:szCs w:val="24"/>
        </w:rPr>
        <w:fldChar w:fldCharType="end"/>
      </w:r>
      <w:r w:rsidRPr="0000759F">
        <w:rPr>
          <w:rFonts w:ascii="Times New Roman" w:hAnsi="Times New Roman"/>
          <w:i w:val="0"/>
          <w:iCs w:val="0"/>
          <w:color w:val="000000" w:themeColor="text1"/>
          <w:sz w:val="24"/>
          <w:szCs w:val="24"/>
        </w:rPr>
        <w:t>: Correlation Matrix</w:t>
      </w:r>
      <w:bookmarkEnd w:id="122"/>
    </w:p>
    <w:tbl>
      <w:tblPr>
        <w:tblW w:w="9310" w:type="dxa"/>
        <w:tblInd w:w="-5" w:type="dxa"/>
        <w:tblLayout w:type="fixed"/>
        <w:tblLook w:val="04A0" w:firstRow="1" w:lastRow="0" w:firstColumn="1" w:lastColumn="0" w:noHBand="0" w:noVBand="1"/>
      </w:tblPr>
      <w:tblGrid>
        <w:gridCol w:w="1116"/>
        <w:gridCol w:w="149"/>
        <w:gridCol w:w="948"/>
        <w:gridCol w:w="957"/>
        <w:gridCol w:w="957"/>
        <w:gridCol w:w="1037"/>
        <w:gridCol w:w="1037"/>
        <w:gridCol w:w="1116"/>
        <w:gridCol w:w="877"/>
        <w:gridCol w:w="1116"/>
      </w:tblGrid>
      <w:tr w:rsidR="00640938" w:rsidRPr="008B1465" w14:paraId="76CA0A7E" w14:textId="77777777" w:rsidTr="00F933ED">
        <w:trPr>
          <w:cantSplit/>
          <w:trHeight w:val="19"/>
        </w:trPr>
        <w:tc>
          <w:tcPr>
            <w:tcW w:w="1265" w:type="dxa"/>
            <w:gridSpan w:val="2"/>
            <w:tcBorders>
              <w:top w:val="thinThickSmallGap" w:sz="24" w:space="0" w:color="auto"/>
              <w:bottom w:val="thinThickSmallGap" w:sz="24" w:space="0" w:color="auto"/>
            </w:tcBorders>
          </w:tcPr>
          <w:p w14:paraId="39FB85D0" w14:textId="77777777" w:rsidR="00640938" w:rsidRPr="008B1465" w:rsidRDefault="00640938" w:rsidP="00F933ED">
            <w:pPr>
              <w:spacing w:after="0" w:line="360" w:lineRule="auto"/>
              <w:rPr>
                <w:rFonts w:ascii="Times New Roman" w:hAnsi="Times New Roman"/>
                <w:b/>
                <w:bCs/>
                <w:sz w:val="24"/>
                <w:szCs w:val="24"/>
              </w:rPr>
            </w:pPr>
            <w:r w:rsidRPr="008B1465">
              <w:rPr>
                <w:rFonts w:ascii="Times New Roman" w:hAnsi="Times New Roman"/>
                <w:b/>
                <w:bCs/>
                <w:sz w:val="24"/>
                <w:szCs w:val="24"/>
              </w:rPr>
              <w:t>Variable</w:t>
            </w:r>
            <w:r>
              <w:rPr>
                <w:rFonts w:ascii="Times New Roman" w:hAnsi="Times New Roman"/>
                <w:b/>
                <w:bCs/>
                <w:sz w:val="24"/>
                <w:szCs w:val="24"/>
              </w:rPr>
              <w:t>s</w:t>
            </w:r>
          </w:p>
        </w:tc>
        <w:tc>
          <w:tcPr>
            <w:tcW w:w="948" w:type="dxa"/>
            <w:tcBorders>
              <w:top w:val="thinThickSmallGap" w:sz="24" w:space="0" w:color="auto"/>
              <w:bottom w:val="thinThickSmallGap" w:sz="24" w:space="0" w:color="auto"/>
            </w:tcBorders>
          </w:tcPr>
          <w:p w14:paraId="01494F5D" w14:textId="77777777" w:rsidR="00640938" w:rsidRPr="008B1465" w:rsidRDefault="00640938" w:rsidP="00F933ED">
            <w:pPr>
              <w:pStyle w:val="NoSpacing"/>
              <w:rPr>
                <w:rFonts w:ascii="Times New Roman" w:hAnsi="Times New Roman"/>
                <w:b/>
                <w:bCs/>
                <w:sz w:val="24"/>
                <w:szCs w:val="24"/>
              </w:rPr>
            </w:pPr>
            <w:r w:rsidRPr="008B1465">
              <w:rPr>
                <w:rFonts w:ascii="Times New Roman" w:hAnsi="Times New Roman"/>
                <w:b/>
                <w:bCs/>
                <w:sz w:val="24"/>
                <w:szCs w:val="24"/>
              </w:rPr>
              <w:t>IF</w:t>
            </w:r>
          </w:p>
        </w:tc>
        <w:tc>
          <w:tcPr>
            <w:tcW w:w="957" w:type="dxa"/>
            <w:tcBorders>
              <w:top w:val="thinThickSmallGap" w:sz="24" w:space="0" w:color="auto"/>
              <w:bottom w:val="thinThickSmallGap" w:sz="24" w:space="0" w:color="auto"/>
            </w:tcBorders>
          </w:tcPr>
          <w:p w14:paraId="74764B3E" w14:textId="77777777" w:rsidR="00640938" w:rsidRPr="008B1465" w:rsidRDefault="00640938" w:rsidP="00F933ED">
            <w:pPr>
              <w:pStyle w:val="NoSpacing"/>
              <w:rPr>
                <w:rFonts w:ascii="Times New Roman" w:hAnsi="Times New Roman"/>
                <w:b/>
                <w:bCs/>
                <w:sz w:val="24"/>
                <w:szCs w:val="24"/>
              </w:rPr>
            </w:pPr>
            <w:r w:rsidRPr="008B1465">
              <w:rPr>
                <w:rFonts w:ascii="Times New Roman" w:hAnsi="Times New Roman"/>
                <w:b/>
                <w:bCs/>
                <w:sz w:val="24"/>
                <w:szCs w:val="24"/>
              </w:rPr>
              <w:t>LS</w:t>
            </w:r>
          </w:p>
        </w:tc>
        <w:tc>
          <w:tcPr>
            <w:tcW w:w="957" w:type="dxa"/>
            <w:tcBorders>
              <w:top w:val="thinThickSmallGap" w:sz="24" w:space="0" w:color="auto"/>
              <w:bottom w:val="thinThickSmallGap" w:sz="24" w:space="0" w:color="auto"/>
            </w:tcBorders>
          </w:tcPr>
          <w:p w14:paraId="79318D05" w14:textId="77777777" w:rsidR="00640938" w:rsidRPr="008B1465" w:rsidRDefault="00640938" w:rsidP="00F933ED">
            <w:pPr>
              <w:pStyle w:val="NoSpacing"/>
              <w:rPr>
                <w:rFonts w:ascii="Times New Roman" w:hAnsi="Times New Roman"/>
                <w:b/>
                <w:bCs/>
                <w:sz w:val="24"/>
                <w:szCs w:val="24"/>
              </w:rPr>
            </w:pPr>
            <w:r w:rsidRPr="008B1465">
              <w:rPr>
                <w:rFonts w:ascii="Times New Roman" w:hAnsi="Times New Roman"/>
                <w:b/>
                <w:bCs/>
                <w:sz w:val="24"/>
                <w:szCs w:val="24"/>
              </w:rPr>
              <w:t>SCCP</w:t>
            </w:r>
          </w:p>
        </w:tc>
        <w:tc>
          <w:tcPr>
            <w:tcW w:w="1037" w:type="dxa"/>
            <w:tcBorders>
              <w:top w:val="thinThickSmallGap" w:sz="24" w:space="0" w:color="auto"/>
              <w:bottom w:val="thinThickSmallGap" w:sz="24" w:space="0" w:color="auto"/>
            </w:tcBorders>
          </w:tcPr>
          <w:p w14:paraId="7CFBFC2A" w14:textId="77777777" w:rsidR="00640938" w:rsidRPr="008B1465" w:rsidRDefault="00640938" w:rsidP="00F933ED">
            <w:pPr>
              <w:pStyle w:val="NoSpacing"/>
              <w:rPr>
                <w:rFonts w:ascii="Times New Roman" w:hAnsi="Times New Roman"/>
                <w:b/>
                <w:bCs/>
                <w:sz w:val="24"/>
                <w:szCs w:val="24"/>
              </w:rPr>
            </w:pPr>
            <w:r w:rsidRPr="008B1465">
              <w:rPr>
                <w:rFonts w:ascii="Times New Roman" w:hAnsi="Times New Roman"/>
                <w:b/>
                <w:bCs/>
                <w:sz w:val="24"/>
                <w:szCs w:val="24"/>
              </w:rPr>
              <w:t>ADE</w:t>
            </w:r>
          </w:p>
        </w:tc>
        <w:tc>
          <w:tcPr>
            <w:tcW w:w="1037" w:type="dxa"/>
            <w:tcBorders>
              <w:top w:val="thinThickSmallGap" w:sz="24" w:space="0" w:color="auto"/>
              <w:bottom w:val="thinThickSmallGap" w:sz="24" w:space="0" w:color="auto"/>
            </w:tcBorders>
          </w:tcPr>
          <w:p w14:paraId="6A05C121" w14:textId="77777777" w:rsidR="00640938" w:rsidRPr="008B1465" w:rsidRDefault="00640938" w:rsidP="00F933ED">
            <w:pPr>
              <w:pStyle w:val="NoSpacing"/>
              <w:rPr>
                <w:rFonts w:ascii="Times New Roman" w:hAnsi="Times New Roman"/>
                <w:b/>
                <w:bCs/>
                <w:sz w:val="24"/>
                <w:szCs w:val="24"/>
              </w:rPr>
            </w:pPr>
            <w:r w:rsidRPr="008B1465">
              <w:rPr>
                <w:rFonts w:ascii="Times New Roman" w:hAnsi="Times New Roman"/>
                <w:b/>
                <w:bCs/>
                <w:sz w:val="24"/>
                <w:szCs w:val="24"/>
              </w:rPr>
              <w:t>VMP</w:t>
            </w:r>
          </w:p>
        </w:tc>
        <w:tc>
          <w:tcPr>
            <w:tcW w:w="1116" w:type="dxa"/>
            <w:tcBorders>
              <w:top w:val="thinThickSmallGap" w:sz="24" w:space="0" w:color="auto"/>
              <w:bottom w:val="thinThickSmallGap" w:sz="24" w:space="0" w:color="auto"/>
            </w:tcBorders>
          </w:tcPr>
          <w:p w14:paraId="79CF0226" w14:textId="77777777" w:rsidR="00640938" w:rsidRPr="008B1465" w:rsidRDefault="00640938" w:rsidP="00F933ED">
            <w:pPr>
              <w:pStyle w:val="NoSpacing"/>
              <w:rPr>
                <w:rFonts w:ascii="Times New Roman" w:hAnsi="Times New Roman"/>
                <w:b/>
                <w:bCs/>
                <w:sz w:val="24"/>
                <w:szCs w:val="24"/>
              </w:rPr>
            </w:pPr>
            <w:r w:rsidRPr="008B1465">
              <w:rPr>
                <w:rFonts w:ascii="Times New Roman" w:hAnsi="Times New Roman"/>
                <w:b/>
                <w:bCs/>
                <w:sz w:val="24"/>
                <w:szCs w:val="24"/>
              </w:rPr>
              <w:t>CAP</w:t>
            </w:r>
          </w:p>
          <w:p w14:paraId="159272FA" w14:textId="77777777" w:rsidR="00640938" w:rsidRPr="008B1465" w:rsidRDefault="00640938" w:rsidP="00F933ED">
            <w:pPr>
              <w:pStyle w:val="NoSpacing"/>
              <w:rPr>
                <w:rFonts w:ascii="Times New Roman" w:hAnsi="Times New Roman"/>
                <w:b/>
                <w:bCs/>
                <w:sz w:val="24"/>
                <w:szCs w:val="24"/>
              </w:rPr>
            </w:pPr>
          </w:p>
        </w:tc>
        <w:tc>
          <w:tcPr>
            <w:tcW w:w="877" w:type="dxa"/>
            <w:tcBorders>
              <w:top w:val="thinThickSmallGap" w:sz="24" w:space="0" w:color="auto"/>
              <w:bottom w:val="thinThickSmallGap" w:sz="24" w:space="0" w:color="auto"/>
            </w:tcBorders>
          </w:tcPr>
          <w:p w14:paraId="2E51AE5F" w14:textId="77777777" w:rsidR="00640938" w:rsidRPr="008B1465" w:rsidRDefault="00640938" w:rsidP="00F933ED">
            <w:pPr>
              <w:pStyle w:val="NoSpacing"/>
              <w:rPr>
                <w:rFonts w:ascii="Times New Roman" w:hAnsi="Times New Roman"/>
                <w:b/>
                <w:bCs/>
                <w:sz w:val="24"/>
                <w:szCs w:val="24"/>
              </w:rPr>
            </w:pPr>
            <w:r w:rsidRPr="008B1465">
              <w:rPr>
                <w:rFonts w:ascii="Times New Roman" w:hAnsi="Times New Roman"/>
                <w:b/>
                <w:bCs/>
                <w:sz w:val="24"/>
                <w:szCs w:val="24"/>
              </w:rPr>
              <w:t>PP</w:t>
            </w:r>
          </w:p>
        </w:tc>
        <w:tc>
          <w:tcPr>
            <w:tcW w:w="1116" w:type="dxa"/>
            <w:tcBorders>
              <w:top w:val="thinThickSmallGap" w:sz="24" w:space="0" w:color="auto"/>
              <w:bottom w:val="thinThickSmallGap" w:sz="24" w:space="0" w:color="auto"/>
            </w:tcBorders>
          </w:tcPr>
          <w:p w14:paraId="0E9B4C47" w14:textId="77777777" w:rsidR="00640938" w:rsidRPr="008B1465" w:rsidRDefault="00640938" w:rsidP="00F933ED">
            <w:pPr>
              <w:pStyle w:val="NoSpacing"/>
              <w:rPr>
                <w:rFonts w:ascii="Times New Roman" w:hAnsi="Times New Roman"/>
                <w:b/>
                <w:bCs/>
                <w:sz w:val="24"/>
                <w:szCs w:val="24"/>
              </w:rPr>
            </w:pPr>
            <w:r w:rsidRPr="008B1465">
              <w:rPr>
                <w:rFonts w:ascii="Times New Roman" w:hAnsi="Times New Roman"/>
                <w:b/>
                <w:bCs/>
                <w:sz w:val="24"/>
                <w:szCs w:val="24"/>
              </w:rPr>
              <w:t>FM</w:t>
            </w:r>
          </w:p>
        </w:tc>
      </w:tr>
      <w:tr w:rsidR="00640938" w:rsidRPr="008B1465" w14:paraId="038B38FE" w14:textId="77777777" w:rsidTr="00F933ED">
        <w:trPr>
          <w:trHeight w:val="19"/>
        </w:trPr>
        <w:tc>
          <w:tcPr>
            <w:tcW w:w="1116" w:type="dxa"/>
            <w:tcBorders>
              <w:top w:val="thinThickSmallGap" w:sz="24" w:space="0" w:color="auto"/>
            </w:tcBorders>
          </w:tcPr>
          <w:p w14:paraId="400187A6" w14:textId="77777777" w:rsidR="00640938" w:rsidRPr="008B1465" w:rsidRDefault="00640938" w:rsidP="00F933ED">
            <w:pPr>
              <w:spacing w:after="0" w:line="360" w:lineRule="auto"/>
              <w:rPr>
                <w:rFonts w:ascii="Times New Roman" w:hAnsi="Times New Roman"/>
                <w:b/>
                <w:bCs/>
                <w:sz w:val="24"/>
                <w:szCs w:val="24"/>
              </w:rPr>
            </w:pPr>
            <w:r w:rsidRPr="008B1465">
              <w:rPr>
                <w:rFonts w:ascii="Times New Roman" w:hAnsi="Times New Roman"/>
                <w:b/>
                <w:bCs/>
                <w:color w:val="000000"/>
                <w:sz w:val="24"/>
                <w:szCs w:val="24"/>
              </w:rPr>
              <w:t>IF</w:t>
            </w:r>
          </w:p>
        </w:tc>
        <w:tc>
          <w:tcPr>
            <w:tcW w:w="1097" w:type="dxa"/>
            <w:gridSpan w:val="2"/>
            <w:tcBorders>
              <w:top w:val="thinThickSmallGap" w:sz="24" w:space="0" w:color="auto"/>
            </w:tcBorders>
          </w:tcPr>
          <w:p w14:paraId="15BDB928"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1.000</w:t>
            </w:r>
          </w:p>
        </w:tc>
        <w:tc>
          <w:tcPr>
            <w:tcW w:w="957" w:type="dxa"/>
            <w:tcBorders>
              <w:top w:val="thinThickSmallGap" w:sz="24" w:space="0" w:color="auto"/>
            </w:tcBorders>
          </w:tcPr>
          <w:p w14:paraId="2A7502CF" w14:textId="77777777" w:rsidR="00640938" w:rsidRPr="008B1465" w:rsidRDefault="00640938" w:rsidP="00F933ED">
            <w:pPr>
              <w:spacing w:after="0" w:line="360" w:lineRule="auto"/>
              <w:rPr>
                <w:rFonts w:ascii="Times New Roman" w:hAnsi="Times New Roman"/>
                <w:sz w:val="24"/>
                <w:szCs w:val="24"/>
              </w:rPr>
            </w:pPr>
          </w:p>
        </w:tc>
        <w:tc>
          <w:tcPr>
            <w:tcW w:w="957" w:type="dxa"/>
            <w:tcBorders>
              <w:top w:val="thinThickSmallGap" w:sz="24" w:space="0" w:color="auto"/>
            </w:tcBorders>
          </w:tcPr>
          <w:p w14:paraId="65F9796B" w14:textId="77777777" w:rsidR="00640938" w:rsidRPr="008B1465" w:rsidRDefault="00640938" w:rsidP="00F933ED">
            <w:pPr>
              <w:spacing w:after="0" w:line="360" w:lineRule="auto"/>
              <w:rPr>
                <w:rFonts w:ascii="Times New Roman" w:hAnsi="Times New Roman"/>
                <w:sz w:val="24"/>
                <w:szCs w:val="24"/>
              </w:rPr>
            </w:pPr>
          </w:p>
        </w:tc>
        <w:tc>
          <w:tcPr>
            <w:tcW w:w="1037" w:type="dxa"/>
            <w:tcBorders>
              <w:top w:val="thinThickSmallGap" w:sz="24" w:space="0" w:color="auto"/>
            </w:tcBorders>
          </w:tcPr>
          <w:p w14:paraId="2EB3DCE2" w14:textId="77777777" w:rsidR="00640938" w:rsidRPr="008B1465" w:rsidRDefault="00640938" w:rsidP="00F933ED">
            <w:pPr>
              <w:spacing w:after="0" w:line="360" w:lineRule="auto"/>
              <w:rPr>
                <w:rFonts w:ascii="Times New Roman" w:hAnsi="Times New Roman"/>
                <w:sz w:val="24"/>
                <w:szCs w:val="24"/>
              </w:rPr>
            </w:pPr>
          </w:p>
        </w:tc>
        <w:tc>
          <w:tcPr>
            <w:tcW w:w="1037" w:type="dxa"/>
            <w:tcBorders>
              <w:top w:val="thinThickSmallGap" w:sz="24" w:space="0" w:color="auto"/>
            </w:tcBorders>
          </w:tcPr>
          <w:p w14:paraId="452D89DE" w14:textId="77777777" w:rsidR="00640938" w:rsidRPr="008B1465" w:rsidRDefault="00640938" w:rsidP="00F933ED">
            <w:pPr>
              <w:spacing w:after="0" w:line="360" w:lineRule="auto"/>
              <w:rPr>
                <w:rFonts w:ascii="Times New Roman" w:hAnsi="Times New Roman"/>
                <w:sz w:val="24"/>
                <w:szCs w:val="24"/>
              </w:rPr>
            </w:pPr>
          </w:p>
        </w:tc>
        <w:tc>
          <w:tcPr>
            <w:tcW w:w="1116" w:type="dxa"/>
            <w:tcBorders>
              <w:top w:val="thinThickSmallGap" w:sz="24" w:space="0" w:color="auto"/>
            </w:tcBorders>
          </w:tcPr>
          <w:p w14:paraId="7F0ED339" w14:textId="77777777" w:rsidR="00640938" w:rsidRPr="008B1465" w:rsidRDefault="00640938" w:rsidP="00F933ED">
            <w:pPr>
              <w:spacing w:after="0" w:line="360" w:lineRule="auto"/>
              <w:rPr>
                <w:rFonts w:ascii="Times New Roman" w:hAnsi="Times New Roman"/>
                <w:sz w:val="24"/>
                <w:szCs w:val="24"/>
              </w:rPr>
            </w:pPr>
          </w:p>
        </w:tc>
        <w:tc>
          <w:tcPr>
            <w:tcW w:w="877" w:type="dxa"/>
            <w:tcBorders>
              <w:top w:val="thinThickSmallGap" w:sz="24" w:space="0" w:color="auto"/>
            </w:tcBorders>
          </w:tcPr>
          <w:p w14:paraId="76CA4025" w14:textId="77777777" w:rsidR="00640938" w:rsidRPr="008B1465" w:rsidRDefault="00640938" w:rsidP="00F933ED">
            <w:pPr>
              <w:spacing w:after="0" w:line="360" w:lineRule="auto"/>
              <w:rPr>
                <w:rFonts w:ascii="Times New Roman" w:hAnsi="Times New Roman"/>
                <w:sz w:val="24"/>
                <w:szCs w:val="24"/>
              </w:rPr>
            </w:pPr>
          </w:p>
        </w:tc>
        <w:tc>
          <w:tcPr>
            <w:tcW w:w="1116" w:type="dxa"/>
            <w:tcBorders>
              <w:top w:val="thinThickSmallGap" w:sz="24" w:space="0" w:color="auto"/>
            </w:tcBorders>
          </w:tcPr>
          <w:p w14:paraId="480BB0D2" w14:textId="77777777" w:rsidR="00640938" w:rsidRPr="008B1465" w:rsidRDefault="00640938" w:rsidP="00F933ED">
            <w:pPr>
              <w:spacing w:after="0" w:line="360" w:lineRule="auto"/>
              <w:rPr>
                <w:rFonts w:ascii="Times New Roman" w:hAnsi="Times New Roman"/>
                <w:sz w:val="24"/>
                <w:szCs w:val="24"/>
              </w:rPr>
            </w:pPr>
          </w:p>
        </w:tc>
      </w:tr>
      <w:tr w:rsidR="00640938" w:rsidRPr="008B1465" w14:paraId="2CA652A0" w14:textId="77777777" w:rsidTr="00F933ED">
        <w:trPr>
          <w:trHeight w:val="19"/>
        </w:trPr>
        <w:tc>
          <w:tcPr>
            <w:tcW w:w="1116" w:type="dxa"/>
          </w:tcPr>
          <w:p w14:paraId="0F160D71" w14:textId="77777777" w:rsidR="00640938" w:rsidRPr="008B1465" w:rsidRDefault="00640938" w:rsidP="00F933ED">
            <w:pPr>
              <w:spacing w:after="0" w:line="360" w:lineRule="auto"/>
              <w:rPr>
                <w:rFonts w:ascii="Times New Roman" w:hAnsi="Times New Roman"/>
                <w:b/>
                <w:bCs/>
                <w:sz w:val="24"/>
                <w:szCs w:val="24"/>
              </w:rPr>
            </w:pPr>
            <w:r w:rsidRPr="008B1465">
              <w:rPr>
                <w:rFonts w:ascii="Times New Roman" w:hAnsi="Times New Roman"/>
                <w:b/>
                <w:bCs/>
                <w:color w:val="000000"/>
                <w:sz w:val="24"/>
                <w:szCs w:val="24"/>
              </w:rPr>
              <w:t>LS</w:t>
            </w:r>
          </w:p>
        </w:tc>
        <w:tc>
          <w:tcPr>
            <w:tcW w:w="1097" w:type="dxa"/>
            <w:gridSpan w:val="2"/>
          </w:tcPr>
          <w:p w14:paraId="5C0E5F1F"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.421**</w:t>
            </w:r>
          </w:p>
        </w:tc>
        <w:tc>
          <w:tcPr>
            <w:tcW w:w="957" w:type="dxa"/>
          </w:tcPr>
          <w:p w14:paraId="2E641582"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1.000</w:t>
            </w:r>
          </w:p>
        </w:tc>
        <w:tc>
          <w:tcPr>
            <w:tcW w:w="957" w:type="dxa"/>
          </w:tcPr>
          <w:p w14:paraId="5099EF9F" w14:textId="77777777" w:rsidR="00640938" w:rsidRPr="008B1465" w:rsidRDefault="00640938" w:rsidP="00F933ED">
            <w:pPr>
              <w:spacing w:after="0" w:line="360" w:lineRule="auto"/>
              <w:rPr>
                <w:rFonts w:ascii="Times New Roman" w:hAnsi="Times New Roman"/>
                <w:sz w:val="24"/>
                <w:szCs w:val="24"/>
              </w:rPr>
            </w:pPr>
          </w:p>
        </w:tc>
        <w:tc>
          <w:tcPr>
            <w:tcW w:w="1037" w:type="dxa"/>
          </w:tcPr>
          <w:p w14:paraId="3C8A86F8" w14:textId="77777777" w:rsidR="00640938" w:rsidRPr="008B1465" w:rsidRDefault="00640938" w:rsidP="00F933ED">
            <w:pPr>
              <w:spacing w:after="0" w:line="360" w:lineRule="auto"/>
              <w:rPr>
                <w:rFonts w:ascii="Times New Roman" w:hAnsi="Times New Roman"/>
                <w:sz w:val="24"/>
                <w:szCs w:val="24"/>
              </w:rPr>
            </w:pPr>
          </w:p>
        </w:tc>
        <w:tc>
          <w:tcPr>
            <w:tcW w:w="1037" w:type="dxa"/>
          </w:tcPr>
          <w:p w14:paraId="2968BAA0" w14:textId="77777777" w:rsidR="00640938" w:rsidRPr="008B1465" w:rsidRDefault="00640938" w:rsidP="00F933ED">
            <w:pPr>
              <w:spacing w:after="0" w:line="360" w:lineRule="auto"/>
              <w:rPr>
                <w:rFonts w:ascii="Times New Roman" w:hAnsi="Times New Roman"/>
                <w:sz w:val="24"/>
                <w:szCs w:val="24"/>
              </w:rPr>
            </w:pPr>
          </w:p>
        </w:tc>
        <w:tc>
          <w:tcPr>
            <w:tcW w:w="1116" w:type="dxa"/>
          </w:tcPr>
          <w:p w14:paraId="31CC607F" w14:textId="77777777" w:rsidR="00640938" w:rsidRPr="008B1465" w:rsidRDefault="00640938" w:rsidP="00F933ED">
            <w:pPr>
              <w:spacing w:after="0" w:line="360" w:lineRule="auto"/>
              <w:rPr>
                <w:rFonts w:ascii="Times New Roman" w:hAnsi="Times New Roman"/>
                <w:sz w:val="24"/>
                <w:szCs w:val="24"/>
              </w:rPr>
            </w:pPr>
          </w:p>
        </w:tc>
        <w:tc>
          <w:tcPr>
            <w:tcW w:w="877" w:type="dxa"/>
          </w:tcPr>
          <w:p w14:paraId="089EAFD9" w14:textId="77777777" w:rsidR="00640938" w:rsidRPr="008B1465" w:rsidRDefault="00640938" w:rsidP="00F933ED">
            <w:pPr>
              <w:spacing w:after="0" w:line="360" w:lineRule="auto"/>
              <w:rPr>
                <w:rFonts w:ascii="Times New Roman" w:hAnsi="Times New Roman"/>
                <w:sz w:val="24"/>
                <w:szCs w:val="24"/>
              </w:rPr>
            </w:pPr>
          </w:p>
        </w:tc>
        <w:tc>
          <w:tcPr>
            <w:tcW w:w="1116" w:type="dxa"/>
          </w:tcPr>
          <w:p w14:paraId="4ACCC4CA" w14:textId="77777777" w:rsidR="00640938" w:rsidRPr="008B1465" w:rsidRDefault="00640938" w:rsidP="00F933ED">
            <w:pPr>
              <w:spacing w:after="0" w:line="360" w:lineRule="auto"/>
              <w:rPr>
                <w:rFonts w:ascii="Times New Roman" w:hAnsi="Times New Roman"/>
                <w:sz w:val="24"/>
                <w:szCs w:val="24"/>
              </w:rPr>
            </w:pPr>
          </w:p>
        </w:tc>
      </w:tr>
      <w:tr w:rsidR="00640938" w:rsidRPr="008B1465" w14:paraId="7D17C050" w14:textId="77777777" w:rsidTr="00F933ED">
        <w:trPr>
          <w:trHeight w:val="19"/>
        </w:trPr>
        <w:tc>
          <w:tcPr>
            <w:tcW w:w="1116" w:type="dxa"/>
          </w:tcPr>
          <w:p w14:paraId="03BC846B" w14:textId="77777777" w:rsidR="00640938" w:rsidRPr="008B1465" w:rsidRDefault="00640938" w:rsidP="00F933ED">
            <w:pPr>
              <w:spacing w:after="0" w:line="360" w:lineRule="auto"/>
              <w:rPr>
                <w:rFonts w:ascii="Times New Roman" w:hAnsi="Times New Roman"/>
                <w:b/>
                <w:bCs/>
                <w:sz w:val="24"/>
                <w:szCs w:val="24"/>
              </w:rPr>
            </w:pPr>
            <w:r w:rsidRPr="008B1465">
              <w:rPr>
                <w:rFonts w:ascii="Times New Roman" w:hAnsi="Times New Roman"/>
                <w:b/>
                <w:bCs/>
                <w:color w:val="000000"/>
                <w:sz w:val="24"/>
                <w:szCs w:val="24"/>
              </w:rPr>
              <w:t>SCCP</w:t>
            </w:r>
          </w:p>
        </w:tc>
        <w:tc>
          <w:tcPr>
            <w:tcW w:w="1097" w:type="dxa"/>
            <w:gridSpan w:val="2"/>
          </w:tcPr>
          <w:p w14:paraId="7230AA80"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.376**</w:t>
            </w:r>
          </w:p>
        </w:tc>
        <w:tc>
          <w:tcPr>
            <w:tcW w:w="957" w:type="dxa"/>
          </w:tcPr>
          <w:p w14:paraId="5009E217"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.498**</w:t>
            </w:r>
          </w:p>
        </w:tc>
        <w:tc>
          <w:tcPr>
            <w:tcW w:w="957" w:type="dxa"/>
          </w:tcPr>
          <w:p w14:paraId="26337448"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1.000</w:t>
            </w:r>
          </w:p>
        </w:tc>
        <w:tc>
          <w:tcPr>
            <w:tcW w:w="1037" w:type="dxa"/>
          </w:tcPr>
          <w:p w14:paraId="1F00C586" w14:textId="77777777" w:rsidR="00640938" w:rsidRPr="008B1465" w:rsidRDefault="00640938" w:rsidP="00F933ED">
            <w:pPr>
              <w:spacing w:after="0" w:line="360" w:lineRule="auto"/>
              <w:rPr>
                <w:rFonts w:ascii="Times New Roman" w:hAnsi="Times New Roman"/>
                <w:sz w:val="24"/>
                <w:szCs w:val="24"/>
              </w:rPr>
            </w:pPr>
          </w:p>
        </w:tc>
        <w:tc>
          <w:tcPr>
            <w:tcW w:w="1037" w:type="dxa"/>
          </w:tcPr>
          <w:p w14:paraId="7BA67793" w14:textId="77777777" w:rsidR="00640938" w:rsidRPr="008B1465" w:rsidRDefault="00640938" w:rsidP="00F933ED">
            <w:pPr>
              <w:spacing w:after="0" w:line="360" w:lineRule="auto"/>
              <w:rPr>
                <w:rFonts w:ascii="Times New Roman" w:hAnsi="Times New Roman"/>
                <w:sz w:val="24"/>
                <w:szCs w:val="24"/>
              </w:rPr>
            </w:pPr>
          </w:p>
        </w:tc>
        <w:tc>
          <w:tcPr>
            <w:tcW w:w="1116" w:type="dxa"/>
          </w:tcPr>
          <w:p w14:paraId="3C4630B3" w14:textId="77777777" w:rsidR="00640938" w:rsidRPr="008B1465" w:rsidRDefault="00640938" w:rsidP="00F933ED">
            <w:pPr>
              <w:spacing w:after="0" w:line="360" w:lineRule="auto"/>
              <w:rPr>
                <w:rFonts w:ascii="Times New Roman" w:hAnsi="Times New Roman"/>
                <w:sz w:val="24"/>
                <w:szCs w:val="24"/>
              </w:rPr>
            </w:pPr>
          </w:p>
        </w:tc>
        <w:tc>
          <w:tcPr>
            <w:tcW w:w="877" w:type="dxa"/>
          </w:tcPr>
          <w:p w14:paraId="6BC704E3" w14:textId="77777777" w:rsidR="00640938" w:rsidRPr="008B1465" w:rsidRDefault="00640938" w:rsidP="00F933ED">
            <w:pPr>
              <w:spacing w:after="0" w:line="360" w:lineRule="auto"/>
              <w:rPr>
                <w:rFonts w:ascii="Times New Roman" w:hAnsi="Times New Roman"/>
                <w:sz w:val="24"/>
                <w:szCs w:val="24"/>
              </w:rPr>
            </w:pPr>
          </w:p>
        </w:tc>
        <w:tc>
          <w:tcPr>
            <w:tcW w:w="1116" w:type="dxa"/>
          </w:tcPr>
          <w:p w14:paraId="4D136BB4" w14:textId="77777777" w:rsidR="00640938" w:rsidRPr="008B1465" w:rsidRDefault="00640938" w:rsidP="00F933ED">
            <w:pPr>
              <w:spacing w:after="0" w:line="360" w:lineRule="auto"/>
              <w:rPr>
                <w:rFonts w:ascii="Times New Roman" w:hAnsi="Times New Roman"/>
                <w:sz w:val="24"/>
                <w:szCs w:val="24"/>
              </w:rPr>
            </w:pPr>
          </w:p>
        </w:tc>
      </w:tr>
      <w:tr w:rsidR="00640938" w:rsidRPr="008B1465" w14:paraId="24008ECA" w14:textId="77777777" w:rsidTr="00F933ED">
        <w:trPr>
          <w:trHeight w:val="19"/>
        </w:trPr>
        <w:tc>
          <w:tcPr>
            <w:tcW w:w="1116" w:type="dxa"/>
          </w:tcPr>
          <w:p w14:paraId="1339BACC" w14:textId="77777777" w:rsidR="00640938" w:rsidRPr="008B1465" w:rsidRDefault="00640938" w:rsidP="00F933ED">
            <w:pPr>
              <w:spacing w:after="0" w:line="360" w:lineRule="auto"/>
              <w:rPr>
                <w:rFonts w:ascii="Times New Roman" w:hAnsi="Times New Roman"/>
                <w:b/>
                <w:bCs/>
                <w:sz w:val="24"/>
                <w:szCs w:val="24"/>
              </w:rPr>
            </w:pPr>
            <w:r w:rsidRPr="008B1465">
              <w:rPr>
                <w:rFonts w:ascii="Times New Roman" w:hAnsi="Times New Roman"/>
                <w:b/>
                <w:bCs/>
                <w:color w:val="000000"/>
                <w:sz w:val="24"/>
                <w:szCs w:val="24"/>
              </w:rPr>
              <w:t>ADE</w:t>
            </w:r>
          </w:p>
        </w:tc>
        <w:tc>
          <w:tcPr>
            <w:tcW w:w="1097" w:type="dxa"/>
            <w:gridSpan w:val="2"/>
          </w:tcPr>
          <w:p w14:paraId="28BFCFCB"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.349**</w:t>
            </w:r>
          </w:p>
        </w:tc>
        <w:tc>
          <w:tcPr>
            <w:tcW w:w="957" w:type="dxa"/>
          </w:tcPr>
          <w:p w14:paraId="6193749D"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.445**</w:t>
            </w:r>
          </w:p>
        </w:tc>
        <w:tc>
          <w:tcPr>
            <w:tcW w:w="957" w:type="dxa"/>
          </w:tcPr>
          <w:p w14:paraId="70ED8B04"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.489</w:t>
            </w:r>
          </w:p>
        </w:tc>
        <w:tc>
          <w:tcPr>
            <w:tcW w:w="1037" w:type="dxa"/>
          </w:tcPr>
          <w:p w14:paraId="63FB0C71"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1.000</w:t>
            </w:r>
          </w:p>
        </w:tc>
        <w:tc>
          <w:tcPr>
            <w:tcW w:w="1037" w:type="dxa"/>
          </w:tcPr>
          <w:p w14:paraId="31192BC9" w14:textId="77777777" w:rsidR="00640938" w:rsidRPr="008B1465" w:rsidRDefault="00640938" w:rsidP="00F933ED">
            <w:pPr>
              <w:spacing w:after="0" w:line="360" w:lineRule="auto"/>
              <w:rPr>
                <w:rFonts w:ascii="Times New Roman" w:hAnsi="Times New Roman"/>
                <w:sz w:val="24"/>
                <w:szCs w:val="24"/>
              </w:rPr>
            </w:pPr>
          </w:p>
        </w:tc>
        <w:tc>
          <w:tcPr>
            <w:tcW w:w="1116" w:type="dxa"/>
          </w:tcPr>
          <w:p w14:paraId="2DB1849A" w14:textId="77777777" w:rsidR="00640938" w:rsidRPr="008B1465" w:rsidRDefault="00640938" w:rsidP="00F933ED">
            <w:pPr>
              <w:spacing w:after="0" w:line="360" w:lineRule="auto"/>
              <w:rPr>
                <w:rFonts w:ascii="Times New Roman" w:hAnsi="Times New Roman"/>
                <w:sz w:val="24"/>
                <w:szCs w:val="24"/>
              </w:rPr>
            </w:pPr>
          </w:p>
        </w:tc>
        <w:tc>
          <w:tcPr>
            <w:tcW w:w="877" w:type="dxa"/>
          </w:tcPr>
          <w:p w14:paraId="0E38E5D5" w14:textId="77777777" w:rsidR="00640938" w:rsidRPr="008B1465" w:rsidRDefault="00640938" w:rsidP="00F933ED">
            <w:pPr>
              <w:spacing w:after="0" w:line="360" w:lineRule="auto"/>
              <w:rPr>
                <w:rFonts w:ascii="Times New Roman" w:hAnsi="Times New Roman"/>
                <w:sz w:val="24"/>
                <w:szCs w:val="24"/>
              </w:rPr>
            </w:pPr>
          </w:p>
        </w:tc>
        <w:tc>
          <w:tcPr>
            <w:tcW w:w="1116" w:type="dxa"/>
          </w:tcPr>
          <w:p w14:paraId="37D5E6B5" w14:textId="77777777" w:rsidR="00640938" w:rsidRPr="008B1465" w:rsidRDefault="00640938" w:rsidP="00F933ED">
            <w:pPr>
              <w:spacing w:after="0" w:line="360" w:lineRule="auto"/>
              <w:rPr>
                <w:rFonts w:ascii="Times New Roman" w:hAnsi="Times New Roman"/>
                <w:sz w:val="24"/>
                <w:szCs w:val="24"/>
              </w:rPr>
            </w:pPr>
          </w:p>
        </w:tc>
      </w:tr>
      <w:tr w:rsidR="00640938" w:rsidRPr="008B1465" w14:paraId="025DE0FA" w14:textId="77777777" w:rsidTr="00F933ED">
        <w:trPr>
          <w:trHeight w:val="19"/>
        </w:trPr>
        <w:tc>
          <w:tcPr>
            <w:tcW w:w="1116" w:type="dxa"/>
          </w:tcPr>
          <w:p w14:paraId="4472977A" w14:textId="77777777" w:rsidR="00640938" w:rsidRPr="008B1465" w:rsidRDefault="00640938" w:rsidP="00F933ED">
            <w:pPr>
              <w:spacing w:after="0" w:line="360" w:lineRule="auto"/>
              <w:rPr>
                <w:rFonts w:ascii="Times New Roman" w:hAnsi="Times New Roman"/>
                <w:b/>
                <w:bCs/>
                <w:sz w:val="24"/>
                <w:szCs w:val="24"/>
              </w:rPr>
            </w:pPr>
            <w:r w:rsidRPr="008B1465">
              <w:rPr>
                <w:rFonts w:ascii="Times New Roman" w:hAnsi="Times New Roman"/>
                <w:b/>
                <w:bCs/>
                <w:color w:val="000000"/>
                <w:sz w:val="24"/>
                <w:szCs w:val="24"/>
              </w:rPr>
              <w:t>VMP</w:t>
            </w:r>
          </w:p>
        </w:tc>
        <w:tc>
          <w:tcPr>
            <w:tcW w:w="1097" w:type="dxa"/>
            <w:gridSpan w:val="2"/>
          </w:tcPr>
          <w:p w14:paraId="7B29F0B8"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.262**</w:t>
            </w:r>
          </w:p>
        </w:tc>
        <w:tc>
          <w:tcPr>
            <w:tcW w:w="957" w:type="dxa"/>
          </w:tcPr>
          <w:p w14:paraId="1304B50A"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.288**</w:t>
            </w:r>
          </w:p>
        </w:tc>
        <w:tc>
          <w:tcPr>
            <w:tcW w:w="957" w:type="dxa"/>
          </w:tcPr>
          <w:p w14:paraId="36A1ED37"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.127*</w:t>
            </w:r>
          </w:p>
        </w:tc>
        <w:tc>
          <w:tcPr>
            <w:tcW w:w="1037" w:type="dxa"/>
          </w:tcPr>
          <w:p w14:paraId="7D1633BD"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.287**</w:t>
            </w:r>
          </w:p>
        </w:tc>
        <w:tc>
          <w:tcPr>
            <w:tcW w:w="1037" w:type="dxa"/>
          </w:tcPr>
          <w:p w14:paraId="57CBD4EB"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1.000</w:t>
            </w:r>
          </w:p>
        </w:tc>
        <w:tc>
          <w:tcPr>
            <w:tcW w:w="1116" w:type="dxa"/>
          </w:tcPr>
          <w:p w14:paraId="41B40D91" w14:textId="77777777" w:rsidR="00640938" w:rsidRPr="008B1465" w:rsidRDefault="00640938" w:rsidP="00F933ED">
            <w:pPr>
              <w:spacing w:after="0" w:line="360" w:lineRule="auto"/>
              <w:rPr>
                <w:rFonts w:ascii="Times New Roman" w:hAnsi="Times New Roman"/>
                <w:sz w:val="24"/>
                <w:szCs w:val="24"/>
              </w:rPr>
            </w:pPr>
          </w:p>
        </w:tc>
        <w:tc>
          <w:tcPr>
            <w:tcW w:w="877" w:type="dxa"/>
          </w:tcPr>
          <w:p w14:paraId="3379577B" w14:textId="77777777" w:rsidR="00640938" w:rsidRPr="008B1465" w:rsidRDefault="00640938" w:rsidP="00F933ED">
            <w:pPr>
              <w:spacing w:after="0" w:line="360" w:lineRule="auto"/>
              <w:rPr>
                <w:rFonts w:ascii="Times New Roman" w:hAnsi="Times New Roman"/>
                <w:sz w:val="24"/>
                <w:szCs w:val="24"/>
              </w:rPr>
            </w:pPr>
          </w:p>
        </w:tc>
        <w:tc>
          <w:tcPr>
            <w:tcW w:w="1116" w:type="dxa"/>
          </w:tcPr>
          <w:p w14:paraId="511DE16D" w14:textId="77777777" w:rsidR="00640938" w:rsidRPr="008B1465" w:rsidRDefault="00640938" w:rsidP="00F933ED">
            <w:pPr>
              <w:spacing w:after="0" w:line="360" w:lineRule="auto"/>
              <w:rPr>
                <w:rFonts w:ascii="Times New Roman" w:hAnsi="Times New Roman"/>
                <w:sz w:val="24"/>
                <w:szCs w:val="24"/>
              </w:rPr>
            </w:pPr>
          </w:p>
        </w:tc>
      </w:tr>
      <w:tr w:rsidR="00640938" w:rsidRPr="008B1465" w14:paraId="0533C23B" w14:textId="77777777" w:rsidTr="00F933ED">
        <w:trPr>
          <w:trHeight w:val="19"/>
        </w:trPr>
        <w:tc>
          <w:tcPr>
            <w:tcW w:w="1116" w:type="dxa"/>
          </w:tcPr>
          <w:p w14:paraId="668C8A25" w14:textId="77777777" w:rsidR="00640938" w:rsidRPr="008B1465" w:rsidRDefault="00640938" w:rsidP="00F933ED">
            <w:pPr>
              <w:spacing w:after="0" w:line="360" w:lineRule="auto"/>
              <w:rPr>
                <w:rFonts w:ascii="Times New Roman" w:hAnsi="Times New Roman"/>
                <w:b/>
                <w:bCs/>
                <w:sz w:val="24"/>
                <w:szCs w:val="24"/>
              </w:rPr>
            </w:pPr>
            <w:r w:rsidRPr="008B1465">
              <w:rPr>
                <w:rFonts w:ascii="Times New Roman" w:hAnsi="Times New Roman"/>
                <w:b/>
                <w:bCs/>
                <w:color w:val="000000"/>
                <w:sz w:val="24"/>
                <w:szCs w:val="24"/>
              </w:rPr>
              <w:t>CAP</w:t>
            </w:r>
          </w:p>
        </w:tc>
        <w:tc>
          <w:tcPr>
            <w:tcW w:w="1097" w:type="dxa"/>
            <w:gridSpan w:val="2"/>
          </w:tcPr>
          <w:p w14:paraId="389C978B"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.292**</w:t>
            </w:r>
          </w:p>
        </w:tc>
        <w:tc>
          <w:tcPr>
            <w:tcW w:w="957" w:type="dxa"/>
          </w:tcPr>
          <w:p w14:paraId="6A6E81C4"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.188**</w:t>
            </w:r>
          </w:p>
        </w:tc>
        <w:tc>
          <w:tcPr>
            <w:tcW w:w="957" w:type="dxa"/>
          </w:tcPr>
          <w:p w14:paraId="2C7526FA"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-.011</w:t>
            </w:r>
          </w:p>
        </w:tc>
        <w:tc>
          <w:tcPr>
            <w:tcW w:w="1037" w:type="dxa"/>
          </w:tcPr>
          <w:p w14:paraId="25651871"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.166**</w:t>
            </w:r>
          </w:p>
        </w:tc>
        <w:tc>
          <w:tcPr>
            <w:tcW w:w="1037" w:type="dxa"/>
          </w:tcPr>
          <w:p w14:paraId="326775CD"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.515**</w:t>
            </w:r>
          </w:p>
        </w:tc>
        <w:tc>
          <w:tcPr>
            <w:tcW w:w="1116" w:type="dxa"/>
          </w:tcPr>
          <w:p w14:paraId="461F0FA4"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1.000</w:t>
            </w:r>
          </w:p>
        </w:tc>
        <w:tc>
          <w:tcPr>
            <w:tcW w:w="877" w:type="dxa"/>
          </w:tcPr>
          <w:p w14:paraId="30A7DC13" w14:textId="77777777" w:rsidR="00640938" w:rsidRPr="008B1465" w:rsidRDefault="00640938" w:rsidP="00F933ED">
            <w:pPr>
              <w:spacing w:after="0" w:line="360" w:lineRule="auto"/>
              <w:rPr>
                <w:rFonts w:ascii="Times New Roman" w:hAnsi="Times New Roman"/>
                <w:sz w:val="24"/>
                <w:szCs w:val="24"/>
              </w:rPr>
            </w:pPr>
          </w:p>
        </w:tc>
        <w:tc>
          <w:tcPr>
            <w:tcW w:w="1116" w:type="dxa"/>
          </w:tcPr>
          <w:p w14:paraId="32B2820C" w14:textId="77777777" w:rsidR="00640938" w:rsidRPr="008B1465" w:rsidRDefault="00640938" w:rsidP="00F933ED">
            <w:pPr>
              <w:spacing w:after="0" w:line="360" w:lineRule="auto"/>
              <w:rPr>
                <w:rFonts w:ascii="Times New Roman" w:hAnsi="Times New Roman"/>
                <w:sz w:val="24"/>
                <w:szCs w:val="24"/>
              </w:rPr>
            </w:pPr>
          </w:p>
        </w:tc>
      </w:tr>
      <w:tr w:rsidR="00640938" w:rsidRPr="008B1465" w14:paraId="5EC6799C" w14:textId="77777777" w:rsidTr="00F933ED">
        <w:trPr>
          <w:trHeight w:val="19"/>
        </w:trPr>
        <w:tc>
          <w:tcPr>
            <w:tcW w:w="1116" w:type="dxa"/>
          </w:tcPr>
          <w:p w14:paraId="2DAF09EE" w14:textId="77777777" w:rsidR="00640938" w:rsidRPr="008B1465" w:rsidRDefault="00640938" w:rsidP="00F933ED">
            <w:pPr>
              <w:spacing w:after="0" w:line="360" w:lineRule="auto"/>
              <w:rPr>
                <w:rFonts w:ascii="Times New Roman" w:hAnsi="Times New Roman"/>
                <w:b/>
                <w:bCs/>
                <w:sz w:val="24"/>
                <w:szCs w:val="24"/>
              </w:rPr>
            </w:pPr>
            <w:r w:rsidRPr="008B1465">
              <w:rPr>
                <w:rFonts w:ascii="Times New Roman" w:hAnsi="Times New Roman"/>
                <w:b/>
                <w:bCs/>
                <w:color w:val="000000"/>
                <w:sz w:val="24"/>
                <w:szCs w:val="24"/>
              </w:rPr>
              <w:t>PP</w:t>
            </w:r>
          </w:p>
        </w:tc>
        <w:tc>
          <w:tcPr>
            <w:tcW w:w="1097" w:type="dxa"/>
            <w:gridSpan w:val="2"/>
          </w:tcPr>
          <w:p w14:paraId="2F1CC7A7"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.247**</w:t>
            </w:r>
          </w:p>
        </w:tc>
        <w:tc>
          <w:tcPr>
            <w:tcW w:w="957" w:type="dxa"/>
          </w:tcPr>
          <w:p w14:paraId="7E24237C"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.333**</w:t>
            </w:r>
          </w:p>
        </w:tc>
        <w:tc>
          <w:tcPr>
            <w:tcW w:w="957" w:type="dxa"/>
          </w:tcPr>
          <w:p w14:paraId="4B7259BC"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.088</w:t>
            </w:r>
          </w:p>
        </w:tc>
        <w:tc>
          <w:tcPr>
            <w:tcW w:w="1037" w:type="dxa"/>
          </w:tcPr>
          <w:p w14:paraId="7CE96DB7"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.277**</w:t>
            </w:r>
          </w:p>
        </w:tc>
        <w:tc>
          <w:tcPr>
            <w:tcW w:w="1037" w:type="dxa"/>
          </w:tcPr>
          <w:p w14:paraId="2222FF51"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.704**</w:t>
            </w:r>
          </w:p>
        </w:tc>
        <w:tc>
          <w:tcPr>
            <w:tcW w:w="1116" w:type="dxa"/>
          </w:tcPr>
          <w:p w14:paraId="33A98764"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.405**</w:t>
            </w:r>
          </w:p>
        </w:tc>
        <w:tc>
          <w:tcPr>
            <w:tcW w:w="877" w:type="dxa"/>
          </w:tcPr>
          <w:p w14:paraId="09BBCD51"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1.000</w:t>
            </w:r>
          </w:p>
        </w:tc>
        <w:tc>
          <w:tcPr>
            <w:tcW w:w="1116" w:type="dxa"/>
          </w:tcPr>
          <w:p w14:paraId="04C04291" w14:textId="77777777" w:rsidR="00640938" w:rsidRPr="008B1465" w:rsidRDefault="00640938" w:rsidP="00F933ED">
            <w:pPr>
              <w:spacing w:after="0" w:line="360" w:lineRule="auto"/>
              <w:rPr>
                <w:rFonts w:ascii="Times New Roman" w:hAnsi="Times New Roman"/>
                <w:sz w:val="24"/>
                <w:szCs w:val="24"/>
              </w:rPr>
            </w:pPr>
          </w:p>
        </w:tc>
      </w:tr>
      <w:tr w:rsidR="00640938" w:rsidRPr="008B1465" w14:paraId="0CE4641D" w14:textId="77777777" w:rsidTr="00F933ED">
        <w:trPr>
          <w:trHeight w:val="19"/>
        </w:trPr>
        <w:tc>
          <w:tcPr>
            <w:tcW w:w="1116" w:type="dxa"/>
            <w:tcBorders>
              <w:bottom w:val="thinThickSmallGap" w:sz="24" w:space="0" w:color="auto"/>
            </w:tcBorders>
            <w:vAlign w:val="bottom"/>
          </w:tcPr>
          <w:p w14:paraId="7F3433B4" w14:textId="77777777" w:rsidR="00640938" w:rsidRPr="008B1465" w:rsidRDefault="00640938" w:rsidP="00F933ED">
            <w:pPr>
              <w:spacing w:after="0" w:line="360" w:lineRule="auto"/>
              <w:rPr>
                <w:rFonts w:ascii="Times New Roman" w:hAnsi="Times New Roman"/>
                <w:b/>
                <w:bCs/>
                <w:sz w:val="24"/>
                <w:szCs w:val="24"/>
              </w:rPr>
            </w:pPr>
            <w:r w:rsidRPr="008B1465">
              <w:rPr>
                <w:rFonts w:ascii="Times New Roman" w:hAnsi="Times New Roman"/>
                <w:b/>
                <w:bCs/>
                <w:color w:val="000000"/>
                <w:sz w:val="24"/>
                <w:szCs w:val="24"/>
              </w:rPr>
              <w:t>FM</w:t>
            </w:r>
          </w:p>
        </w:tc>
        <w:tc>
          <w:tcPr>
            <w:tcW w:w="1097" w:type="dxa"/>
            <w:gridSpan w:val="2"/>
            <w:tcBorders>
              <w:bottom w:val="thinThickSmallGap" w:sz="24" w:space="0" w:color="auto"/>
            </w:tcBorders>
          </w:tcPr>
          <w:p w14:paraId="10B07F06"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.059</w:t>
            </w:r>
          </w:p>
        </w:tc>
        <w:tc>
          <w:tcPr>
            <w:tcW w:w="957" w:type="dxa"/>
            <w:tcBorders>
              <w:bottom w:val="thinThickSmallGap" w:sz="24" w:space="0" w:color="auto"/>
            </w:tcBorders>
          </w:tcPr>
          <w:p w14:paraId="5E05BBC1"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.041</w:t>
            </w:r>
          </w:p>
        </w:tc>
        <w:tc>
          <w:tcPr>
            <w:tcW w:w="957" w:type="dxa"/>
            <w:tcBorders>
              <w:bottom w:val="thinThickSmallGap" w:sz="24" w:space="0" w:color="auto"/>
            </w:tcBorders>
          </w:tcPr>
          <w:p w14:paraId="1D00CC42"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.244**</w:t>
            </w:r>
          </w:p>
        </w:tc>
        <w:tc>
          <w:tcPr>
            <w:tcW w:w="1037" w:type="dxa"/>
            <w:tcBorders>
              <w:bottom w:val="thinThickSmallGap" w:sz="24" w:space="0" w:color="auto"/>
            </w:tcBorders>
          </w:tcPr>
          <w:p w14:paraId="42A8BE18"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.076</w:t>
            </w:r>
          </w:p>
        </w:tc>
        <w:tc>
          <w:tcPr>
            <w:tcW w:w="1037" w:type="dxa"/>
            <w:tcBorders>
              <w:bottom w:val="thinThickSmallGap" w:sz="24" w:space="0" w:color="auto"/>
            </w:tcBorders>
          </w:tcPr>
          <w:p w14:paraId="5E916872"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.018</w:t>
            </w:r>
          </w:p>
        </w:tc>
        <w:tc>
          <w:tcPr>
            <w:tcW w:w="1116" w:type="dxa"/>
            <w:tcBorders>
              <w:bottom w:val="thinThickSmallGap" w:sz="24" w:space="0" w:color="auto"/>
            </w:tcBorders>
          </w:tcPr>
          <w:p w14:paraId="0B60D36E"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-.021</w:t>
            </w:r>
          </w:p>
        </w:tc>
        <w:tc>
          <w:tcPr>
            <w:tcW w:w="877" w:type="dxa"/>
            <w:tcBorders>
              <w:bottom w:val="thinThickSmallGap" w:sz="24" w:space="0" w:color="auto"/>
            </w:tcBorders>
          </w:tcPr>
          <w:p w14:paraId="1C9BD9A9"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.121*</w:t>
            </w:r>
          </w:p>
        </w:tc>
        <w:tc>
          <w:tcPr>
            <w:tcW w:w="1116" w:type="dxa"/>
            <w:tcBorders>
              <w:bottom w:val="thinThickSmallGap" w:sz="24" w:space="0" w:color="auto"/>
            </w:tcBorders>
          </w:tcPr>
          <w:p w14:paraId="21F9F2CD" w14:textId="77777777" w:rsidR="00640938" w:rsidRPr="008B1465" w:rsidRDefault="00640938" w:rsidP="00F933ED">
            <w:pPr>
              <w:spacing w:after="0" w:line="360" w:lineRule="auto"/>
              <w:rPr>
                <w:rFonts w:ascii="Times New Roman" w:hAnsi="Times New Roman"/>
                <w:sz w:val="24"/>
                <w:szCs w:val="24"/>
              </w:rPr>
            </w:pPr>
            <w:r w:rsidRPr="008B1465">
              <w:rPr>
                <w:rFonts w:ascii="Times New Roman" w:hAnsi="Times New Roman"/>
                <w:sz w:val="24"/>
                <w:szCs w:val="24"/>
              </w:rPr>
              <w:t>1.000</w:t>
            </w:r>
          </w:p>
        </w:tc>
      </w:tr>
    </w:tbl>
    <w:p w14:paraId="30E16482" w14:textId="77777777" w:rsidR="00640938" w:rsidRPr="008B1465" w:rsidRDefault="00640938" w:rsidP="00640938">
      <w:pPr>
        <w:pStyle w:val="NoSpacing"/>
        <w:rPr>
          <w:rFonts w:ascii="Times New Roman" w:hAnsi="Times New Roman"/>
          <w:sz w:val="18"/>
          <w:szCs w:val="18"/>
        </w:rPr>
      </w:pPr>
      <w:r w:rsidRPr="008B1465">
        <w:rPr>
          <w:rFonts w:ascii="Times New Roman" w:hAnsi="Times New Roman"/>
          <w:sz w:val="18"/>
          <w:szCs w:val="18"/>
        </w:rPr>
        <w:t>** Significant at 1% level of significance and * Significant at 5%.</w:t>
      </w:r>
    </w:p>
    <w:p w14:paraId="539E1126" w14:textId="32437FB6" w:rsidR="00640938" w:rsidRDefault="00640938" w:rsidP="00B870C2">
      <w:pPr>
        <w:pStyle w:val="NoSpacing"/>
        <w:rPr>
          <w:rFonts w:ascii="Times New Roman" w:hAnsi="Times New Roman"/>
          <w:b/>
          <w:bCs/>
          <w:sz w:val="18"/>
          <w:szCs w:val="18"/>
        </w:rPr>
      </w:pPr>
      <w:r w:rsidRPr="008B1465">
        <w:rPr>
          <w:rFonts w:ascii="Times New Roman" w:hAnsi="Times New Roman"/>
          <w:b/>
          <w:bCs/>
          <w:sz w:val="18"/>
          <w:szCs w:val="18"/>
        </w:rPr>
        <w:t>Source: Researchers’ Computation 2023, SPSS 25.0</w:t>
      </w:r>
    </w:p>
    <w:p w14:paraId="628732B2" w14:textId="77777777" w:rsidR="00B870C2" w:rsidRPr="00B870C2" w:rsidRDefault="00B870C2" w:rsidP="00B870C2">
      <w:pPr>
        <w:pStyle w:val="NoSpacing"/>
        <w:rPr>
          <w:rFonts w:ascii="Times New Roman" w:hAnsi="Times New Roman"/>
          <w:b/>
          <w:bCs/>
          <w:sz w:val="18"/>
          <w:szCs w:val="18"/>
        </w:rPr>
      </w:pPr>
    </w:p>
    <w:p w14:paraId="4314CD55" w14:textId="7289A40B" w:rsidR="00234521" w:rsidRPr="008B1465" w:rsidRDefault="00234521" w:rsidP="00234521">
      <w:pPr>
        <w:spacing w:after="0" w:line="360" w:lineRule="auto"/>
        <w:jc w:val="both"/>
        <w:rPr>
          <w:rFonts w:ascii="Times New Roman" w:hAnsi="Times New Roman"/>
          <w:sz w:val="24"/>
          <w:szCs w:val="24"/>
        </w:rPr>
      </w:pPr>
      <w:r w:rsidRPr="008B1465">
        <w:rPr>
          <w:rFonts w:ascii="Times New Roman" w:hAnsi="Times New Roman"/>
          <w:sz w:val="24"/>
          <w:szCs w:val="24"/>
        </w:rPr>
        <w:t>Correlation matrix was employed to investigate collinearity among the variable</w:t>
      </w:r>
      <w:r w:rsidR="003B31E4" w:rsidRPr="008B1465">
        <w:rPr>
          <w:rFonts w:ascii="Times New Roman" w:hAnsi="Times New Roman"/>
          <w:sz w:val="24"/>
          <w:szCs w:val="24"/>
        </w:rPr>
        <w:t>s</w:t>
      </w:r>
      <w:r w:rsidRPr="008B1465">
        <w:rPr>
          <w:rFonts w:ascii="Times New Roman" w:hAnsi="Times New Roman"/>
          <w:sz w:val="24"/>
          <w:szCs w:val="24"/>
        </w:rPr>
        <w:t xml:space="preserve"> under </w:t>
      </w:r>
      <w:r w:rsidRPr="00927BEF">
        <w:rPr>
          <w:rFonts w:ascii="Times New Roman" w:hAnsi="Times New Roman"/>
          <w:color w:val="000000" w:themeColor="text1"/>
          <w:sz w:val="24"/>
          <w:szCs w:val="24"/>
        </w:rPr>
        <w:t xml:space="preserve">study (see appendix ii). </w:t>
      </w:r>
      <w:r w:rsidRPr="008B1465">
        <w:rPr>
          <w:rFonts w:ascii="Times New Roman" w:hAnsi="Times New Roman"/>
          <w:sz w:val="24"/>
          <w:szCs w:val="24"/>
        </w:rPr>
        <w:t xml:space="preserve">Table 4.10 showed correlation matrix on the variables ranges between -1 to +1. </w:t>
      </w:r>
      <w:r w:rsidR="0005633F" w:rsidRPr="008B1465">
        <w:rPr>
          <w:rFonts w:ascii="Times New Roman" w:hAnsi="Times New Roman"/>
          <w:sz w:val="24"/>
          <w:szCs w:val="24"/>
        </w:rPr>
        <w:t>These</w:t>
      </w:r>
      <w:r w:rsidR="002772A2" w:rsidRPr="008B1465">
        <w:rPr>
          <w:rFonts w:ascii="Times New Roman" w:hAnsi="Times New Roman"/>
          <w:sz w:val="24"/>
          <w:szCs w:val="24"/>
        </w:rPr>
        <w:t xml:space="preserve"> statistics</w:t>
      </w:r>
      <w:r w:rsidRPr="008B1465">
        <w:rPr>
          <w:rFonts w:ascii="Times New Roman" w:hAnsi="Times New Roman"/>
          <w:sz w:val="24"/>
          <w:szCs w:val="24"/>
        </w:rPr>
        <w:t xml:space="preserve"> was used to evaluate degree of relationship among the variable</w:t>
      </w:r>
      <w:r w:rsidR="003B31E4" w:rsidRPr="008B1465">
        <w:rPr>
          <w:rFonts w:ascii="Times New Roman" w:hAnsi="Times New Roman"/>
          <w:sz w:val="24"/>
          <w:szCs w:val="24"/>
        </w:rPr>
        <w:t>s</w:t>
      </w:r>
      <w:r w:rsidRPr="008B1465">
        <w:rPr>
          <w:rFonts w:ascii="Times New Roman" w:hAnsi="Times New Roman"/>
          <w:sz w:val="24"/>
          <w:szCs w:val="24"/>
        </w:rPr>
        <w:t xml:space="preserve"> in the study. Generally speaking, the values of correlation implies collinearity when the correlation coefficients between pairs predictor variables are high, that is, close to +1 or -1. In practice a correlation coefficient above 0.8 is often considered to suggest the presence of collinearity. </w:t>
      </w:r>
    </w:p>
    <w:p w14:paraId="6EEEB870" w14:textId="3C0955F1" w:rsidR="00D915F9" w:rsidRPr="0000759F" w:rsidRDefault="00234521" w:rsidP="0000759F">
      <w:pPr>
        <w:spacing w:after="0" w:line="360" w:lineRule="auto"/>
        <w:jc w:val="both"/>
        <w:rPr>
          <w:rFonts w:ascii="Times New Roman" w:hAnsi="Times New Roman"/>
          <w:sz w:val="24"/>
          <w:szCs w:val="24"/>
        </w:rPr>
      </w:pPr>
      <w:r w:rsidRPr="008B1465">
        <w:rPr>
          <w:rFonts w:ascii="Times New Roman" w:hAnsi="Times New Roman"/>
          <w:sz w:val="24"/>
          <w:szCs w:val="24"/>
        </w:rPr>
        <w:t>Analysis on table 4.10 shows that Investigation of Fraud, Litigation Services, Surprise Cash Count Practices and Accounting and Digital Environment (independent variable) have positive and significant relationship with Financial Misconduct, Creative Accounting Practices and Procurement Practices. However, the analysis showed that the independent variable (Investigation of Fraud) is inversely related with Fund Misappropriation and the correlation not significant. It was also observed from Table 4.10 that Surprise Cash Count Practices has negative correlation and insignificant. In summary the</w:t>
      </w:r>
      <m:oMath>
        <m:sSup>
          <m:sSupPr>
            <m:ctrlPr>
              <w:rPr>
                <w:rFonts w:ascii="Cambria Math" w:hAnsi="Cambria Math"/>
                <w:i/>
                <w:sz w:val="24"/>
                <w:szCs w:val="24"/>
              </w:rPr>
            </m:ctrlPr>
          </m:sSupPr>
          <m:e>
            <m:r>
              <w:rPr>
                <w:rFonts w:ascii="Cambria Math" w:hAnsi="Cambria Math"/>
                <w:sz w:val="24"/>
                <w:szCs w:val="24"/>
              </w:rPr>
              <m:t xml:space="preserve"> R</m:t>
            </m:r>
          </m:e>
          <m:sup>
            <m:r>
              <w:rPr>
                <w:rFonts w:ascii="Cambria Math" w:hAnsi="Cambria Math"/>
                <w:sz w:val="24"/>
                <w:szCs w:val="24"/>
              </w:rPr>
              <m:t>2</m:t>
            </m:r>
          </m:sup>
        </m:sSup>
        <m:r>
          <w:rPr>
            <w:rFonts w:ascii="Cambria Math" w:hAnsi="Cambria Math"/>
            <w:sz w:val="24"/>
            <w:szCs w:val="24"/>
          </w:rPr>
          <m:t xml:space="preserve"> </m:t>
        </m:r>
      </m:oMath>
      <w:r w:rsidRPr="008B1465">
        <w:rPr>
          <w:rFonts w:ascii="Times New Roman" w:hAnsi="Times New Roman"/>
          <w:sz w:val="24"/>
          <w:szCs w:val="24"/>
        </w:rPr>
        <w:t>coefficient of correlations of all the variables in the study range from -0.021 to 0.704 which is less than 0.8 rule of the thumb threshold, it can be concluded that variables were not strongly correlated with one another.</w:t>
      </w:r>
    </w:p>
    <w:p w14:paraId="1389C694" w14:textId="788A5C07" w:rsidR="00434E63" w:rsidRPr="00434E63" w:rsidRDefault="00EB3D3B" w:rsidP="00434E63">
      <w:pPr>
        <w:pStyle w:val="Heading2"/>
      </w:pPr>
      <w:bookmarkStart w:id="123" w:name="_Toc145951126"/>
      <w:r w:rsidRPr="00DF4767">
        <w:t xml:space="preserve">Test </w:t>
      </w:r>
      <w:r w:rsidRPr="00DF4767">
        <w:rPr>
          <w:rFonts w:cs="Times New Roman"/>
        </w:rPr>
        <w:t xml:space="preserve">of </w:t>
      </w:r>
      <w:r w:rsidRPr="00DF4767">
        <w:t>Normality</w:t>
      </w:r>
      <w:bookmarkEnd w:id="123"/>
    </w:p>
    <w:p w14:paraId="24C4ED3D" w14:textId="77777777" w:rsidR="00640938" w:rsidRPr="008A22C0" w:rsidRDefault="00640938" w:rsidP="00640938">
      <w:pPr>
        <w:pStyle w:val="Caption"/>
        <w:keepNext/>
        <w:jc w:val="center"/>
        <w:rPr>
          <w:rFonts w:ascii="Times New Roman" w:hAnsi="Times New Roman"/>
          <w:i w:val="0"/>
          <w:iCs w:val="0"/>
          <w:color w:val="auto"/>
          <w:sz w:val="24"/>
          <w:szCs w:val="24"/>
        </w:rPr>
      </w:pPr>
      <w:bookmarkStart w:id="124" w:name="_Toc145952344"/>
      <w:r w:rsidRPr="008A22C0">
        <w:rPr>
          <w:rFonts w:ascii="Times New Roman" w:hAnsi="Times New Roman"/>
          <w:i w:val="0"/>
          <w:iCs w:val="0"/>
          <w:color w:val="auto"/>
          <w:sz w:val="24"/>
          <w:szCs w:val="24"/>
        </w:rPr>
        <w:t xml:space="preserve">Table </w:t>
      </w:r>
      <w:r>
        <w:rPr>
          <w:rFonts w:ascii="Times New Roman" w:hAnsi="Times New Roman"/>
          <w:i w:val="0"/>
          <w:iCs w:val="0"/>
          <w:color w:val="auto"/>
          <w:sz w:val="24"/>
          <w:szCs w:val="24"/>
        </w:rPr>
        <w:fldChar w:fldCharType="begin"/>
      </w:r>
      <w:r>
        <w:rPr>
          <w:rFonts w:ascii="Times New Roman" w:hAnsi="Times New Roman"/>
          <w:i w:val="0"/>
          <w:iCs w:val="0"/>
          <w:color w:val="auto"/>
          <w:sz w:val="24"/>
          <w:szCs w:val="24"/>
        </w:rPr>
        <w:instrText xml:space="preserve"> STYLEREF 1 \s </w:instrText>
      </w:r>
      <w:r>
        <w:rPr>
          <w:rFonts w:ascii="Times New Roman" w:hAnsi="Times New Roman"/>
          <w:i w:val="0"/>
          <w:iCs w:val="0"/>
          <w:color w:val="auto"/>
          <w:sz w:val="24"/>
          <w:szCs w:val="24"/>
        </w:rPr>
        <w:fldChar w:fldCharType="separate"/>
      </w:r>
      <w:r>
        <w:rPr>
          <w:rFonts w:ascii="Times New Roman" w:hAnsi="Times New Roman"/>
          <w:i w:val="0"/>
          <w:iCs w:val="0"/>
          <w:noProof/>
          <w:color w:val="auto"/>
          <w:sz w:val="24"/>
          <w:szCs w:val="24"/>
        </w:rPr>
        <w:t>4</w:t>
      </w:r>
      <w:r>
        <w:rPr>
          <w:rFonts w:ascii="Times New Roman" w:hAnsi="Times New Roman"/>
          <w:i w:val="0"/>
          <w:iCs w:val="0"/>
          <w:color w:val="auto"/>
          <w:sz w:val="24"/>
          <w:szCs w:val="24"/>
        </w:rPr>
        <w:fldChar w:fldCharType="end"/>
      </w:r>
      <w:r>
        <w:rPr>
          <w:rFonts w:ascii="Times New Roman" w:hAnsi="Times New Roman"/>
          <w:i w:val="0"/>
          <w:iCs w:val="0"/>
          <w:color w:val="auto"/>
          <w:sz w:val="24"/>
          <w:szCs w:val="24"/>
        </w:rPr>
        <w:t>.</w:t>
      </w:r>
      <w:r>
        <w:rPr>
          <w:rFonts w:ascii="Times New Roman" w:hAnsi="Times New Roman"/>
          <w:i w:val="0"/>
          <w:iCs w:val="0"/>
          <w:color w:val="auto"/>
          <w:sz w:val="24"/>
          <w:szCs w:val="24"/>
        </w:rPr>
        <w:fldChar w:fldCharType="begin"/>
      </w:r>
      <w:r>
        <w:rPr>
          <w:rFonts w:ascii="Times New Roman" w:hAnsi="Times New Roman"/>
          <w:i w:val="0"/>
          <w:iCs w:val="0"/>
          <w:color w:val="auto"/>
          <w:sz w:val="24"/>
          <w:szCs w:val="24"/>
        </w:rPr>
        <w:instrText xml:space="preserve"> SEQ Table \* ARABIC \s 1 </w:instrText>
      </w:r>
      <w:r>
        <w:rPr>
          <w:rFonts w:ascii="Times New Roman" w:hAnsi="Times New Roman"/>
          <w:i w:val="0"/>
          <w:iCs w:val="0"/>
          <w:color w:val="auto"/>
          <w:sz w:val="24"/>
          <w:szCs w:val="24"/>
        </w:rPr>
        <w:fldChar w:fldCharType="separate"/>
      </w:r>
      <w:r>
        <w:rPr>
          <w:rFonts w:ascii="Times New Roman" w:hAnsi="Times New Roman"/>
          <w:i w:val="0"/>
          <w:iCs w:val="0"/>
          <w:noProof/>
          <w:color w:val="auto"/>
          <w:sz w:val="24"/>
          <w:szCs w:val="24"/>
        </w:rPr>
        <w:t>11</w:t>
      </w:r>
      <w:r>
        <w:rPr>
          <w:rFonts w:ascii="Times New Roman" w:hAnsi="Times New Roman"/>
          <w:i w:val="0"/>
          <w:iCs w:val="0"/>
          <w:color w:val="auto"/>
          <w:sz w:val="24"/>
          <w:szCs w:val="24"/>
        </w:rPr>
        <w:fldChar w:fldCharType="end"/>
      </w:r>
      <w:r w:rsidRPr="008A22C0">
        <w:rPr>
          <w:rFonts w:ascii="Times New Roman" w:hAnsi="Times New Roman"/>
          <w:i w:val="0"/>
          <w:iCs w:val="0"/>
          <w:color w:val="auto"/>
          <w:sz w:val="24"/>
          <w:szCs w:val="24"/>
        </w:rPr>
        <w:t>: Test of Normality</w:t>
      </w:r>
      <w:bookmarkEnd w:id="124"/>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09"/>
        <w:gridCol w:w="1172"/>
        <w:gridCol w:w="1007"/>
        <w:gridCol w:w="1202"/>
        <w:gridCol w:w="540"/>
        <w:gridCol w:w="1530"/>
        <w:gridCol w:w="900"/>
        <w:gridCol w:w="900"/>
      </w:tblGrid>
      <w:tr w:rsidR="00640938" w:rsidRPr="00073648" w14:paraId="047ED727" w14:textId="77777777" w:rsidTr="00F933ED">
        <w:trPr>
          <w:trHeight w:val="387"/>
        </w:trPr>
        <w:tc>
          <w:tcPr>
            <w:tcW w:w="1209" w:type="dxa"/>
            <w:tcBorders>
              <w:top w:val="thickThinSmallGap" w:sz="24" w:space="0" w:color="auto"/>
            </w:tcBorders>
          </w:tcPr>
          <w:p w14:paraId="31CDF86E" w14:textId="77777777" w:rsidR="00640938" w:rsidRPr="00073648" w:rsidRDefault="00640938" w:rsidP="00F933ED">
            <w:pPr>
              <w:rPr>
                <w:rFonts w:ascii="Times New Roman" w:hAnsi="Times New Roman"/>
                <w:b/>
                <w:bCs/>
                <w:sz w:val="24"/>
                <w:szCs w:val="24"/>
              </w:rPr>
            </w:pPr>
          </w:p>
        </w:tc>
        <w:tc>
          <w:tcPr>
            <w:tcW w:w="3381" w:type="dxa"/>
            <w:gridSpan w:val="3"/>
            <w:tcBorders>
              <w:top w:val="thickThinSmallGap" w:sz="24" w:space="0" w:color="auto"/>
              <w:bottom w:val="thickThinSmallGap" w:sz="24" w:space="0" w:color="auto"/>
            </w:tcBorders>
          </w:tcPr>
          <w:p w14:paraId="45C06170" w14:textId="77777777" w:rsidR="00640938" w:rsidRPr="00073648" w:rsidRDefault="00640938" w:rsidP="00F933ED">
            <w:pPr>
              <w:rPr>
                <w:rFonts w:ascii="Times New Roman" w:hAnsi="Times New Roman"/>
                <w:b/>
                <w:bCs/>
                <w:sz w:val="24"/>
                <w:szCs w:val="24"/>
              </w:rPr>
            </w:pPr>
            <w:r w:rsidRPr="00073648">
              <w:rPr>
                <w:rFonts w:ascii="Times New Roman" w:hAnsi="Times New Roman"/>
                <w:b/>
                <w:bCs/>
                <w:sz w:val="24"/>
                <w:szCs w:val="24"/>
              </w:rPr>
              <w:t xml:space="preserve">              Kolmogorov-Smirnov</w:t>
            </w:r>
          </w:p>
        </w:tc>
        <w:tc>
          <w:tcPr>
            <w:tcW w:w="540" w:type="dxa"/>
            <w:tcBorders>
              <w:top w:val="thickThinSmallGap" w:sz="24" w:space="0" w:color="auto"/>
            </w:tcBorders>
          </w:tcPr>
          <w:p w14:paraId="0066D87D" w14:textId="77777777" w:rsidR="00640938" w:rsidRPr="00073648" w:rsidRDefault="00640938" w:rsidP="00F933ED">
            <w:pPr>
              <w:rPr>
                <w:rFonts w:ascii="Times New Roman" w:hAnsi="Times New Roman"/>
                <w:b/>
                <w:bCs/>
                <w:sz w:val="24"/>
                <w:szCs w:val="24"/>
              </w:rPr>
            </w:pPr>
          </w:p>
        </w:tc>
        <w:tc>
          <w:tcPr>
            <w:tcW w:w="3330" w:type="dxa"/>
            <w:gridSpan w:val="3"/>
            <w:tcBorders>
              <w:top w:val="thickThinSmallGap" w:sz="24" w:space="0" w:color="auto"/>
              <w:bottom w:val="thickThinSmallGap" w:sz="24" w:space="0" w:color="auto"/>
            </w:tcBorders>
          </w:tcPr>
          <w:p w14:paraId="048BDBE0" w14:textId="77777777" w:rsidR="00640938" w:rsidRPr="00073648" w:rsidRDefault="00640938" w:rsidP="00F933ED">
            <w:pPr>
              <w:rPr>
                <w:rFonts w:ascii="Times New Roman" w:hAnsi="Times New Roman"/>
                <w:b/>
                <w:bCs/>
                <w:sz w:val="24"/>
                <w:szCs w:val="24"/>
              </w:rPr>
            </w:pPr>
            <w:r w:rsidRPr="00073648">
              <w:rPr>
                <w:rFonts w:ascii="Times New Roman" w:hAnsi="Times New Roman"/>
                <w:b/>
                <w:bCs/>
                <w:sz w:val="24"/>
                <w:szCs w:val="24"/>
              </w:rPr>
              <w:t xml:space="preserve">                 Shapiro-Wilk</w:t>
            </w:r>
          </w:p>
        </w:tc>
      </w:tr>
      <w:tr w:rsidR="00640938" w:rsidRPr="00073648" w14:paraId="36CA6C66" w14:textId="77777777" w:rsidTr="00F933ED">
        <w:tc>
          <w:tcPr>
            <w:tcW w:w="1209" w:type="dxa"/>
            <w:tcBorders>
              <w:bottom w:val="thickThinSmallGap" w:sz="24" w:space="0" w:color="auto"/>
            </w:tcBorders>
          </w:tcPr>
          <w:p w14:paraId="1110AC8D" w14:textId="77777777" w:rsidR="00640938" w:rsidRPr="00073648" w:rsidRDefault="00640938" w:rsidP="00F933ED">
            <w:pPr>
              <w:rPr>
                <w:rFonts w:ascii="Times New Roman" w:hAnsi="Times New Roman"/>
                <w:b/>
                <w:bCs/>
                <w:sz w:val="24"/>
                <w:szCs w:val="24"/>
              </w:rPr>
            </w:pPr>
            <w:r w:rsidRPr="00073648">
              <w:rPr>
                <w:rFonts w:ascii="Times New Roman" w:hAnsi="Times New Roman"/>
                <w:b/>
                <w:bCs/>
                <w:sz w:val="24"/>
                <w:szCs w:val="24"/>
              </w:rPr>
              <w:t>Variable</w:t>
            </w:r>
            <w:r>
              <w:rPr>
                <w:rFonts w:ascii="Times New Roman" w:hAnsi="Times New Roman"/>
                <w:b/>
                <w:bCs/>
                <w:sz w:val="24"/>
                <w:szCs w:val="24"/>
              </w:rPr>
              <w:t>s</w:t>
            </w:r>
          </w:p>
        </w:tc>
        <w:tc>
          <w:tcPr>
            <w:tcW w:w="1172" w:type="dxa"/>
            <w:tcBorders>
              <w:top w:val="thickThinSmallGap" w:sz="24" w:space="0" w:color="auto"/>
              <w:bottom w:val="thickThinSmallGap" w:sz="24" w:space="0" w:color="auto"/>
            </w:tcBorders>
          </w:tcPr>
          <w:p w14:paraId="47B8656C" w14:textId="77777777" w:rsidR="00640938" w:rsidRPr="00073648" w:rsidRDefault="00640938" w:rsidP="00F933ED">
            <w:pPr>
              <w:rPr>
                <w:rFonts w:ascii="Times New Roman" w:hAnsi="Times New Roman"/>
                <w:b/>
                <w:bCs/>
                <w:sz w:val="24"/>
                <w:szCs w:val="24"/>
              </w:rPr>
            </w:pPr>
            <w:r w:rsidRPr="00073648">
              <w:rPr>
                <w:rFonts w:ascii="Times New Roman" w:hAnsi="Times New Roman"/>
                <w:b/>
                <w:bCs/>
                <w:sz w:val="24"/>
                <w:szCs w:val="24"/>
              </w:rPr>
              <w:t>Statistic</w:t>
            </w:r>
          </w:p>
        </w:tc>
        <w:tc>
          <w:tcPr>
            <w:tcW w:w="1007" w:type="dxa"/>
            <w:tcBorders>
              <w:top w:val="thickThinSmallGap" w:sz="24" w:space="0" w:color="auto"/>
              <w:bottom w:val="thickThinSmallGap" w:sz="24" w:space="0" w:color="auto"/>
            </w:tcBorders>
          </w:tcPr>
          <w:p w14:paraId="0817AEEE" w14:textId="77777777" w:rsidR="00640938" w:rsidRPr="00073648" w:rsidRDefault="00640938" w:rsidP="00F933ED">
            <w:pPr>
              <w:rPr>
                <w:rFonts w:ascii="Times New Roman" w:hAnsi="Times New Roman"/>
                <w:b/>
                <w:bCs/>
                <w:sz w:val="24"/>
                <w:szCs w:val="24"/>
              </w:rPr>
            </w:pPr>
            <w:r w:rsidRPr="00073648">
              <w:rPr>
                <w:rFonts w:ascii="Times New Roman" w:hAnsi="Times New Roman"/>
                <w:b/>
                <w:bCs/>
                <w:sz w:val="24"/>
                <w:szCs w:val="24"/>
              </w:rPr>
              <w:t>df</w:t>
            </w:r>
          </w:p>
        </w:tc>
        <w:tc>
          <w:tcPr>
            <w:tcW w:w="1202" w:type="dxa"/>
            <w:tcBorders>
              <w:top w:val="thickThinSmallGap" w:sz="24" w:space="0" w:color="auto"/>
              <w:bottom w:val="thickThinSmallGap" w:sz="24" w:space="0" w:color="auto"/>
            </w:tcBorders>
          </w:tcPr>
          <w:p w14:paraId="0F9EA7CC" w14:textId="77777777" w:rsidR="00640938" w:rsidRPr="00073648" w:rsidRDefault="00640938" w:rsidP="00F933ED">
            <w:pPr>
              <w:rPr>
                <w:rFonts w:ascii="Times New Roman" w:hAnsi="Times New Roman"/>
                <w:b/>
                <w:bCs/>
                <w:sz w:val="24"/>
                <w:szCs w:val="24"/>
              </w:rPr>
            </w:pPr>
            <w:r w:rsidRPr="00073648">
              <w:rPr>
                <w:rFonts w:ascii="Times New Roman" w:hAnsi="Times New Roman"/>
                <w:b/>
                <w:bCs/>
                <w:sz w:val="24"/>
                <w:szCs w:val="24"/>
              </w:rPr>
              <w:t>Sig</w:t>
            </w:r>
          </w:p>
        </w:tc>
        <w:tc>
          <w:tcPr>
            <w:tcW w:w="540" w:type="dxa"/>
            <w:tcBorders>
              <w:bottom w:val="thickThinSmallGap" w:sz="24" w:space="0" w:color="auto"/>
            </w:tcBorders>
          </w:tcPr>
          <w:p w14:paraId="5497ED96" w14:textId="77777777" w:rsidR="00640938" w:rsidRPr="00073648" w:rsidRDefault="00640938" w:rsidP="00F933ED">
            <w:pPr>
              <w:rPr>
                <w:rFonts w:ascii="Times New Roman" w:hAnsi="Times New Roman"/>
                <w:b/>
                <w:bCs/>
                <w:sz w:val="24"/>
                <w:szCs w:val="24"/>
              </w:rPr>
            </w:pPr>
          </w:p>
        </w:tc>
        <w:tc>
          <w:tcPr>
            <w:tcW w:w="1530" w:type="dxa"/>
            <w:tcBorders>
              <w:top w:val="thickThinSmallGap" w:sz="24" w:space="0" w:color="auto"/>
              <w:bottom w:val="thickThinSmallGap" w:sz="24" w:space="0" w:color="auto"/>
            </w:tcBorders>
          </w:tcPr>
          <w:p w14:paraId="63828156" w14:textId="77777777" w:rsidR="00640938" w:rsidRPr="00073648" w:rsidRDefault="00640938" w:rsidP="00F933ED">
            <w:pPr>
              <w:rPr>
                <w:rFonts w:ascii="Times New Roman" w:hAnsi="Times New Roman"/>
                <w:b/>
                <w:bCs/>
                <w:sz w:val="24"/>
                <w:szCs w:val="24"/>
              </w:rPr>
            </w:pPr>
            <w:r w:rsidRPr="00073648">
              <w:rPr>
                <w:rFonts w:ascii="Times New Roman" w:hAnsi="Times New Roman"/>
                <w:b/>
                <w:bCs/>
                <w:sz w:val="24"/>
                <w:szCs w:val="24"/>
              </w:rPr>
              <w:t>Statistic</w:t>
            </w:r>
          </w:p>
        </w:tc>
        <w:tc>
          <w:tcPr>
            <w:tcW w:w="900" w:type="dxa"/>
            <w:tcBorders>
              <w:top w:val="thickThinSmallGap" w:sz="24" w:space="0" w:color="auto"/>
              <w:bottom w:val="thickThinSmallGap" w:sz="24" w:space="0" w:color="auto"/>
            </w:tcBorders>
          </w:tcPr>
          <w:p w14:paraId="20A8A506" w14:textId="77777777" w:rsidR="00640938" w:rsidRPr="00073648" w:rsidRDefault="00640938" w:rsidP="00F933ED">
            <w:pPr>
              <w:rPr>
                <w:rFonts w:ascii="Times New Roman" w:hAnsi="Times New Roman"/>
                <w:b/>
                <w:bCs/>
                <w:sz w:val="24"/>
                <w:szCs w:val="24"/>
              </w:rPr>
            </w:pPr>
            <w:r w:rsidRPr="00073648">
              <w:rPr>
                <w:rFonts w:ascii="Times New Roman" w:hAnsi="Times New Roman"/>
                <w:b/>
                <w:bCs/>
                <w:sz w:val="24"/>
                <w:szCs w:val="24"/>
              </w:rPr>
              <w:t>df</w:t>
            </w:r>
          </w:p>
        </w:tc>
        <w:tc>
          <w:tcPr>
            <w:tcW w:w="900" w:type="dxa"/>
            <w:tcBorders>
              <w:top w:val="thickThinSmallGap" w:sz="24" w:space="0" w:color="auto"/>
              <w:bottom w:val="thickThinSmallGap" w:sz="24" w:space="0" w:color="auto"/>
            </w:tcBorders>
          </w:tcPr>
          <w:p w14:paraId="00CF966C" w14:textId="77777777" w:rsidR="00640938" w:rsidRPr="00073648" w:rsidRDefault="00640938" w:rsidP="00F933ED">
            <w:pPr>
              <w:rPr>
                <w:rFonts w:ascii="Times New Roman" w:hAnsi="Times New Roman"/>
                <w:b/>
                <w:bCs/>
                <w:sz w:val="24"/>
                <w:szCs w:val="24"/>
              </w:rPr>
            </w:pPr>
            <w:r w:rsidRPr="00073648">
              <w:rPr>
                <w:rFonts w:ascii="Times New Roman" w:hAnsi="Times New Roman"/>
                <w:b/>
                <w:bCs/>
                <w:sz w:val="24"/>
                <w:szCs w:val="24"/>
              </w:rPr>
              <w:t>Sig</w:t>
            </w:r>
          </w:p>
        </w:tc>
      </w:tr>
      <w:tr w:rsidR="00640938" w:rsidRPr="00073648" w14:paraId="04FC90F2" w14:textId="77777777" w:rsidTr="00F933ED">
        <w:tc>
          <w:tcPr>
            <w:tcW w:w="1209" w:type="dxa"/>
            <w:tcBorders>
              <w:top w:val="thickThinSmallGap" w:sz="24" w:space="0" w:color="auto"/>
            </w:tcBorders>
          </w:tcPr>
          <w:p w14:paraId="0EAD639E" w14:textId="77777777" w:rsidR="00640938" w:rsidRPr="00073648" w:rsidRDefault="00640938" w:rsidP="00F933ED">
            <w:pPr>
              <w:rPr>
                <w:rFonts w:ascii="Times New Roman" w:hAnsi="Times New Roman"/>
                <w:b/>
                <w:bCs/>
                <w:sz w:val="24"/>
                <w:szCs w:val="24"/>
              </w:rPr>
            </w:pPr>
            <w:r w:rsidRPr="00073648">
              <w:rPr>
                <w:rFonts w:ascii="Times New Roman" w:hAnsi="Times New Roman"/>
                <w:b/>
                <w:bCs/>
                <w:sz w:val="24"/>
                <w:szCs w:val="24"/>
              </w:rPr>
              <w:t>IF</w:t>
            </w:r>
          </w:p>
        </w:tc>
        <w:tc>
          <w:tcPr>
            <w:tcW w:w="1172" w:type="dxa"/>
            <w:tcBorders>
              <w:top w:val="thickThinSmallGap" w:sz="24" w:space="0" w:color="auto"/>
            </w:tcBorders>
          </w:tcPr>
          <w:p w14:paraId="2CD36C2E"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.108</w:t>
            </w:r>
          </w:p>
        </w:tc>
        <w:tc>
          <w:tcPr>
            <w:tcW w:w="1007" w:type="dxa"/>
            <w:tcBorders>
              <w:top w:val="thickThinSmallGap" w:sz="24" w:space="0" w:color="auto"/>
            </w:tcBorders>
          </w:tcPr>
          <w:p w14:paraId="45E9FB00"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61</w:t>
            </w:r>
          </w:p>
        </w:tc>
        <w:tc>
          <w:tcPr>
            <w:tcW w:w="1202" w:type="dxa"/>
            <w:tcBorders>
              <w:top w:val="thickThinSmallGap" w:sz="24" w:space="0" w:color="auto"/>
            </w:tcBorders>
          </w:tcPr>
          <w:p w14:paraId="3C4F041E"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.076</w:t>
            </w:r>
          </w:p>
        </w:tc>
        <w:tc>
          <w:tcPr>
            <w:tcW w:w="540" w:type="dxa"/>
            <w:tcBorders>
              <w:top w:val="thickThinSmallGap" w:sz="24" w:space="0" w:color="auto"/>
            </w:tcBorders>
          </w:tcPr>
          <w:p w14:paraId="3E5DD9ED" w14:textId="77777777" w:rsidR="00640938" w:rsidRPr="00073648" w:rsidRDefault="00640938" w:rsidP="00F933ED">
            <w:pPr>
              <w:rPr>
                <w:rFonts w:ascii="Times New Roman" w:hAnsi="Times New Roman"/>
                <w:sz w:val="24"/>
                <w:szCs w:val="24"/>
              </w:rPr>
            </w:pPr>
          </w:p>
        </w:tc>
        <w:tc>
          <w:tcPr>
            <w:tcW w:w="1530" w:type="dxa"/>
            <w:tcBorders>
              <w:top w:val="thickThinSmallGap" w:sz="24" w:space="0" w:color="auto"/>
            </w:tcBorders>
          </w:tcPr>
          <w:p w14:paraId="317E2992"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.948</w:t>
            </w:r>
          </w:p>
        </w:tc>
        <w:tc>
          <w:tcPr>
            <w:tcW w:w="900" w:type="dxa"/>
            <w:tcBorders>
              <w:top w:val="thickThinSmallGap" w:sz="24" w:space="0" w:color="auto"/>
            </w:tcBorders>
          </w:tcPr>
          <w:p w14:paraId="500DA306"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61</w:t>
            </w:r>
          </w:p>
        </w:tc>
        <w:tc>
          <w:tcPr>
            <w:tcW w:w="900" w:type="dxa"/>
            <w:tcBorders>
              <w:top w:val="thickThinSmallGap" w:sz="24" w:space="0" w:color="auto"/>
            </w:tcBorders>
          </w:tcPr>
          <w:p w14:paraId="363406FB"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.012</w:t>
            </w:r>
          </w:p>
        </w:tc>
      </w:tr>
      <w:tr w:rsidR="00640938" w:rsidRPr="00073648" w14:paraId="471E6932" w14:textId="77777777" w:rsidTr="00F933ED">
        <w:tc>
          <w:tcPr>
            <w:tcW w:w="1209" w:type="dxa"/>
          </w:tcPr>
          <w:p w14:paraId="68514B82" w14:textId="77777777" w:rsidR="00640938" w:rsidRPr="00073648" w:rsidRDefault="00640938" w:rsidP="00F933ED">
            <w:pPr>
              <w:rPr>
                <w:rFonts w:ascii="Times New Roman" w:hAnsi="Times New Roman"/>
                <w:b/>
                <w:bCs/>
                <w:sz w:val="24"/>
                <w:szCs w:val="24"/>
              </w:rPr>
            </w:pPr>
            <w:r w:rsidRPr="00073648">
              <w:rPr>
                <w:rFonts w:ascii="Times New Roman" w:hAnsi="Times New Roman"/>
                <w:b/>
                <w:bCs/>
                <w:sz w:val="24"/>
                <w:szCs w:val="24"/>
              </w:rPr>
              <w:t>LS</w:t>
            </w:r>
          </w:p>
        </w:tc>
        <w:tc>
          <w:tcPr>
            <w:tcW w:w="1172" w:type="dxa"/>
          </w:tcPr>
          <w:p w14:paraId="11CAB1E4"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.114</w:t>
            </w:r>
          </w:p>
        </w:tc>
        <w:tc>
          <w:tcPr>
            <w:tcW w:w="1007" w:type="dxa"/>
          </w:tcPr>
          <w:p w14:paraId="28172E61"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61</w:t>
            </w:r>
          </w:p>
        </w:tc>
        <w:tc>
          <w:tcPr>
            <w:tcW w:w="1202" w:type="dxa"/>
          </w:tcPr>
          <w:p w14:paraId="1C5AFBB5"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.047</w:t>
            </w:r>
          </w:p>
        </w:tc>
        <w:tc>
          <w:tcPr>
            <w:tcW w:w="540" w:type="dxa"/>
          </w:tcPr>
          <w:p w14:paraId="697718A2" w14:textId="77777777" w:rsidR="00640938" w:rsidRPr="00073648" w:rsidRDefault="00640938" w:rsidP="00F933ED">
            <w:pPr>
              <w:rPr>
                <w:rFonts w:ascii="Times New Roman" w:hAnsi="Times New Roman"/>
                <w:sz w:val="24"/>
                <w:szCs w:val="24"/>
              </w:rPr>
            </w:pPr>
          </w:p>
        </w:tc>
        <w:tc>
          <w:tcPr>
            <w:tcW w:w="1530" w:type="dxa"/>
          </w:tcPr>
          <w:p w14:paraId="18F8DC71"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.944</w:t>
            </w:r>
          </w:p>
        </w:tc>
        <w:tc>
          <w:tcPr>
            <w:tcW w:w="900" w:type="dxa"/>
          </w:tcPr>
          <w:p w14:paraId="1E2D8982"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61</w:t>
            </w:r>
          </w:p>
        </w:tc>
        <w:tc>
          <w:tcPr>
            <w:tcW w:w="900" w:type="dxa"/>
          </w:tcPr>
          <w:p w14:paraId="54010B61"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.07</w:t>
            </w:r>
          </w:p>
        </w:tc>
      </w:tr>
      <w:tr w:rsidR="00640938" w:rsidRPr="00073648" w14:paraId="07DEA859" w14:textId="77777777" w:rsidTr="00F933ED">
        <w:tc>
          <w:tcPr>
            <w:tcW w:w="1209" w:type="dxa"/>
          </w:tcPr>
          <w:p w14:paraId="74B67EA6" w14:textId="77777777" w:rsidR="00640938" w:rsidRPr="00073648" w:rsidRDefault="00640938" w:rsidP="00F933ED">
            <w:pPr>
              <w:rPr>
                <w:rFonts w:ascii="Times New Roman" w:hAnsi="Times New Roman"/>
                <w:b/>
                <w:bCs/>
                <w:sz w:val="24"/>
                <w:szCs w:val="24"/>
              </w:rPr>
            </w:pPr>
            <w:r w:rsidRPr="00073648">
              <w:rPr>
                <w:rFonts w:ascii="Times New Roman" w:hAnsi="Times New Roman"/>
                <w:b/>
                <w:bCs/>
                <w:sz w:val="24"/>
                <w:szCs w:val="24"/>
              </w:rPr>
              <w:t>SCCP</w:t>
            </w:r>
          </w:p>
        </w:tc>
        <w:tc>
          <w:tcPr>
            <w:tcW w:w="1172" w:type="dxa"/>
          </w:tcPr>
          <w:p w14:paraId="18259E31"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.108</w:t>
            </w:r>
          </w:p>
        </w:tc>
        <w:tc>
          <w:tcPr>
            <w:tcW w:w="1007" w:type="dxa"/>
          </w:tcPr>
          <w:p w14:paraId="76328940"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61</w:t>
            </w:r>
          </w:p>
        </w:tc>
        <w:tc>
          <w:tcPr>
            <w:tcW w:w="1202" w:type="dxa"/>
          </w:tcPr>
          <w:p w14:paraId="0BC85916"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.072</w:t>
            </w:r>
          </w:p>
        </w:tc>
        <w:tc>
          <w:tcPr>
            <w:tcW w:w="540" w:type="dxa"/>
          </w:tcPr>
          <w:p w14:paraId="200E45C9" w14:textId="77777777" w:rsidR="00640938" w:rsidRPr="00073648" w:rsidRDefault="00640938" w:rsidP="00F933ED">
            <w:pPr>
              <w:rPr>
                <w:rFonts w:ascii="Times New Roman" w:hAnsi="Times New Roman"/>
                <w:sz w:val="24"/>
                <w:szCs w:val="24"/>
              </w:rPr>
            </w:pPr>
          </w:p>
        </w:tc>
        <w:tc>
          <w:tcPr>
            <w:tcW w:w="1530" w:type="dxa"/>
          </w:tcPr>
          <w:p w14:paraId="5E97EA9D"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.948</w:t>
            </w:r>
          </w:p>
        </w:tc>
        <w:tc>
          <w:tcPr>
            <w:tcW w:w="900" w:type="dxa"/>
          </w:tcPr>
          <w:p w14:paraId="05106487"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61</w:t>
            </w:r>
          </w:p>
        </w:tc>
        <w:tc>
          <w:tcPr>
            <w:tcW w:w="900" w:type="dxa"/>
          </w:tcPr>
          <w:p w14:paraId="60ED3A33"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.011</w:t>
            </w:r>
          </w:p>
        </w:tc>
      </w:tr>
      <w:tr w:rsidR="00640938" w:rsidRPr="00073648" w14:paraId="6D64DB1C" w14:textId="77777777" w:rsidTr="00F933ED">
        <w:tc>
          <w:tcPr>
            <w:tcW w:w="1209" w:type="dxa"/>
          </w:tcPr>
          <w:p w14:paraId="03ED0E71" w14:textId="77777777" w:rsidR="00640938" w:rsidRPr="00073648" w:rsidRDefault="00640938" w:rsidP="00F933ED">
            <w:pPr>
              <w:rPr>
                <w:rFonts w:ascii="Times New Roman" w:hAnsi="Times New Roman"/>
                <w:b/>
                <w:bCs/>
                <w:sz w:val="24"/>
                <w:szCs w:val="24"/>
              </w:rPr>
            </w:pPr>
            <w:r w:rsidRPr="00073648">
              <w:rPr>
                <w:rFonts w:ascii="Times New Roman" w:hAnsi="Times New Roman"/>
                <w:b/>
                <w:bCs/>
                <w:sz w:val="24"/>
                <w:szCs w:val="24"/>
              </w:rPr>
              <w:t>ADE</w:t>
            </w:r>
          </w:p>
        </w:tc>
        <w:tc>
          <w:tcPr>
            <w:tcW w:w="1172" w:type="dxa"/>
          </w:tcPr>
          <w:p w14:paraId="384FA9B1"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.112</w:t>
            </w:r>
          </w:p>
        </w:tc>
        <w:tc>
          <w:tcPr>
            <w:tcW w:w="1007" w:type="dxa"/>
          </w:tcPr>
          <w:p w14:paraId="632DBE52"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61</w:t>
            </w:r>
          </w:p>
        </w:tc>
        <w:tc>
          <w:tcPr>
            <w:tcW w:w="1202" w:type="dxa"/>
          </w:tcPr>
          <w:p w14:paraId="6CEB3384"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.057</w:t>
            </w:r>
          </w:p>
        </w:tc>
        <w:tc>
          <w:tcPr>
            <w:tcW w:w="540" w:type="dxa"/>
          </w:tcPr>
          <w:p w14:paraId="16244618" w14:textId="77777777" w:rsidR="00640938" w:rsidRPr="00073648" w:rsidRDefault="00640938" w:rsidP="00F933ED">
            <w:pPr>
              <w:rPr>
                <w:rFonts w:ascii="Times New Roman" w:hAnsi="Times New Roman"/>
                <w:sz w:val="24"/>
                <w:szCs w:val="24"/>
              </w:rPr>
            </w:pPr>
          </w:p>
        </w:tc>
        <w:tc>
          <w:tcPr>
            <w:tcW w:w="1530" w:type="dxa"/>
          </w:tcPr>
          <w:p w14:paraId="08A1B301"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.946</w:t>
            </w:r>
          </w:p>
        </w:tc>
        <w:tc>
          <w:tcPr>
            <w:tcW w:w="900" w:type="dxa"/>
          </w:tcPr>
          <w:p w14:paraId="3E5CEE40"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61</w:t>
            </w:r>
          </w:p>
        </w:tc>
        <w:tc>
          <w:tcPr>
            <w:tcW w:w="900" w:type="dxa"/>
          </w:tcPr>
          <w:p w14:paraId="0E2CF2A2"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.09</w:t>
            </w:r>
          </w:p>
        </w:tc>
      </w:tr>
      <w:tr w:rsidR="00640938" w:rsidRPr="00073648" w14:paraId="414A8A08" w14:textId="77777777" w:rsidTr="00F933ED">
        <w:tc>
          <w:tcPr>
            <w:tcW w:w="1209" w:type="dxa"/>
          </w:tcPr>
          <w:p w14:paraId="5136AC18" w14:textId="77777777" w:rsidR="00640938" w:rsidRPr="00073648" w:rsidRDefault="00640938" w:rsidP="00F933ED">
            <w:pPr>
              <w:rPr>
                <w:rFonts w:ascii="Times New Roman" w:hAnsi="Times New Roman"/>
                <w:b/>
                <w:bCs/>
                <w:sz w:val="24"/>
                <w:szCs w:val="24"/>
              </w:rPr>
            </w:pPr>
            <w:r w:rsidRPr="00073648">
              <w:rPr>
                <w:rFonts w:ascii="Times New Roman" w:hAnsi="Times New Roman"/>
                <w:b/>
                <w:bCs/>
                <w:sz w:val="24"/>
                <w:szCs w:val="24"/>
              </w:rPr>
              <w:t>FM</w:t>
            </w:r>
          </w:p>
        </w:tc>
        <w:tc>
          <w:tcPr>
            <w:tcW w:w="1172" w:type="dxa"/>
          </w:tcPr>
          <w:p w14:paraId="3974F65A"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.115</w:t>
            </w:r>
          </w:p>
        </w:tc>
        <w:tc>
          <w:tcPr>
            <w:tcW w:w="1007" w:type="dxa"/>
          </w:tcPr>
          <w:p w14:paraId="571BA82C"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61</w:t>
            </w:r>
          </w:p>
        </w:tc>
        <w:tc>
          <w:tcPr>
            <w:tcW w:w="1202" w:type="dxa"/>
          </w:tcPr>
          <w:p w14:paraId="5B0F72C7"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.044</w:t>
            </w:r>
          </w:p>
        </w:tc>
        <w:tc>
          <w:tcPr>
            <w:tcW w:w="540" w:type="dxa"/>
          </w:tcPr>
          <w:p w14:paraId="7AB3317A" w14:textId="77777777" w:rsidR="00640938" w:rsidRPr="00073648" w:rsidRDefault="00640938" w:rsidP="00F933ED">
            <w:pPr>
              <w:rPr>
                <w:rFonts w:ascii="Times New Roman" w:hAnsi="Times New Roman"/>
                <w:sz w:val="24"/>
                <w:szCs w:val="24"/>
              </w:rPr>
            </w:pPr>
          </w:p>
        </w:tc>
        <w:tc>
          <w:tcPr>
            <w:tcW w:w="1530" w:type="dxa"/>
          </w:tcPr>
          <w:p w14:paraId="477E18D2"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.943</w:t>
            </w:r>
          </w:p>
        </w:tc>
        <w:tc>
          <w:tcPr>
            <w:tcW w:w="900" w:type="dxa"/>
          </w:tcPr>
          <w:p w14:paraId="4B8B01BC"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61</w:t>
            </w:r>
          </w:p>
        </w:tc>
        <w:tc>
          <w:tcPr>
            <w:tcW w:w="900" w:type="dxa"/>
          </w:tcPr>
          <w:p w14:paraId="2ECE7425"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.07</w:t>
            </w:r>
          </w:p>
        </w:tc>
      </w:tr>
      <w:tr w:rsidR="00640938" w:rsidRPr="00073648" w14:paraId="2254F0F5" w14:textId="77777777" w:rsidTr="00F933ED">
        <w:tc>
          <w:tcPr>
            <w:tcW w:w="1209" w:type="dxa"/>
          </w:tcPr>
          <w:p w14:paraId="639E1F88" w14:textId="77777777" w:rsidR="00640938" w:rsidRPr="00073648" w:rsidRDefault="00640938" w:rsidP="00F933ED">
            <w:pPr>
              <w:rPr>
                <w:rFonts w:ascii="Times New Roman" w:hAnsi="Times New Roman"/>
                <w:b/>
                <w:bCs/>
                <w:sz w:val="24"/>
                <w:szCs w:val="24"/>
              </w:rPr>
            </w:pPr>
            <w:r w:rsidRPr="00073648">
              <w:rPr>
                <w:rFonts w:ascii="Times New Roman" w:hAnsi="Times New Roman"/>
                <w:b/>
                <w:bCs/>
                <w:sz w:val="24"/>
                <w:szCs w:val="24"/>
              </w:rPr>
              <w:t>VMP</w:t>
            </w:r>
          </w:p>
        </w:tc>
        <w:tc>
          <w:tcPr>
            <w:tcW w:w="1172" w:type="dxa"/>
          </w:tcPr>
          <w:p w14:paraId="442CA150"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.103</w:t>
            </w:r>
          </w:p>
        </w:tc>
        <w:tc>
          <w:tcPr>
            <w:tcW w:w="1007" w:type="dxa"/>
          </w:tcPr>
          <w:p w14:paraId="7F354C08"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61</w:t>
            </w:r>
          </w:p>
        </w:tc>
        <w:tc>
          <w:tcPr>
            <w:tcW w:w="1202" w:type="dxa"/>
          </w:tcPr>
          <w:p w14:paraId="3AB2C42B"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.175</w:t>
            </w:r>
          </w:p>
        </w:tc>
        <w:tc>
          <w:tcPr>
            <w:tcW w:w="540" w:type="dxa"/>
          </w:tcPr>
          <w:p w14:paraId="771C89CC" w14:textId="77777777" w:rsidR="00640938" w:rsidRPr="00073648" w:rsidRDefault="00640938" w:rsidP="00F933ED">
            <w:pPr>
              <w:rPr>
                <w:rFonts w:ascii="Times New Roman" w:hAnsi="Times New Roman"/>
                <w:sz w:val="24"/>
                <w:szCs w:val="24"/>
              </w:rPr>
            </w:pPr>
          </w:p>
        </w:tc>
        <w:tc>
          <w:tcPr>
            <w:tcW w:w="1530" w:type="dxa"/>
          </w:tcPr>
          <w:p w14:paraId="1CDF51B2"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.951</w:t>
            </w:r>
          </w:p>
        </w:tc>
        <w:tc>
          <w:tcPr>
            <w:tcW w:w="900" w:type="dxa"/>
          </w:tcPr>
          <w:p w14:paraId="3E4DD36F"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61</w:t>
            </w:r>
          </w:p>
        </w:tc>
        <w:tc>
          <w:tcPr>
            <w:tcW w:w="900" w:type="dxa"/>
          </w:tcPr>
          <w:p w14:paraId="4AB524E3"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.016</w:t>
            </w:r>
          </w:p>
        </w:tc>
      </w:tr>
      <w:tr w:rsidR="00640938" w:rsidRPr="00073648" w14:paraId="2EF0761B" w14:textId="77777777" w:rsidTr="00F933ED">
        <w:tc>
          <w:tcPr>
            <w:tcW w:w="1209" w:type="dxa"/>
          </w:tcPr>
          <w:p w14:paraId="2FACAE56" w14:textId="77777777" w:rsidR="00640938" w:rsidRPr="00073648" w:rsidRDefault="00640938" w:rsidP="00F933ED">
            <w:pPr>
              <w:rPr>
                <w:rFonts w:ascii="Times New Roman" w:hAnsi="Times New Roman"/>
                <w:b/>
                <w:bCs/>
                <w:sz w:val="24"/>
                <w:szCs w:val="24"/>
              </w:rPr>
            </w:pPr>
            <w:r w:rsidRPr="00073648">
              <w:rPr>
                <w:rFonts w:ascii="Times New Roman" w:hAnsi="Times New Roman"/>
                <w:b/>
                <w:bCs/>
                <w:sz w:val="24"/>
                <w:szCs w:val="24"/>
              </w:rPr>
              <w:t>CAP</w:t>
            </w:r>
          </w:p>
        </w:tc>
        <w:tc>
          <w:tcPr>
            <w:tcW w:w="1172" w:type="dxa"/>
          </w:tcPr>
          <w:p w14:paraId="0EA8F016"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.107</w:t>
            </w:r>
          </w:p>
        </w:tc>
        <w:tc>
          <w:tcPr>
            <w:tcW w:w="1007" w:type="dxa"/>
          </w:tcPr>
          <w:p w14:paraId="020F437A"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61</w:t>
            </w:r>
          </w:p>
        </w:tc>
        <w:tc>
          <w:tcPr>
            <w:tcW w:w="1202" w:type="dxa"/>
          </w:tcPr>
          <w:p w14:paraId="1E9C5DBD"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.081</w:t>
            </w:r>
          </w:p>
        </w:tc>
        <w:tc>
          <w:tcPr>
            <w:tcW w:w="540" w:type="dxa"/>
          </w:tcPr>
          <w:p w14:paraId="6FC4DAE6" w14:textId="77777777" w:rsidR="00640938" w:rsidRPr="00073648" w:rsidRDefault="00640938" w:rsidP="00F933ED">
            <w:pPr>
              <w:rPr>
                <w:rFonts w:ascii="Times New Roman" w:hAnsi="Times New Roman"/>
                <w:sz w:val="24"/>
                <w:szCs w:val="24"/>
              </w:rPr>
            </w:pPr>
          </w:p>
        </w:tc>
        <w:tc>
          <w:tcPr>
            <w:tcW w:w="1530" w:type="dxa"/>
          </w:tcPr>
          <w:p w14:paraId="6E0EA615"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.949</w:t>
            </w:r>
          </w:p>
        </w:tc>
        <w:tc>
          <w:tcPr>
            <w:tcW w:w="900" w:type="dxa"/>
          </w:tcPr>
          <w:p w14:paraId="43066FA3"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61</w:t>
            </w:r>
          </w:p>
        </w:tc>
        <w:tc>
          <w:tcPr>
            <w:tcW w:w="900" w:type="dxa"/>
          </w:tcPr>
          <w:p w14:paraId="68F58B5E"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.012</w:t>
            </w:r>
          </w:p>
        </w:tc>
      </w:tr>
      <w:tr w:rsidR="00640938" w:rsidRPr="00073648" w14:paraId="019A9F61" w14:textId="77777777" w:rsidTr="00F933ED">
        <w:tc>
          <w:tcPr>
            <w:tcW w:w="1209" w:type="dxa"/>
            <w:tcBorders>
              <w:bottom w:val="thickThinSmallGap" w:sz="24" w:space="0" w:color="auto"/>
            </w:tcBorders>
          </w:tcPr>
          <w:p w14:paraId="59EFC54B" w14:textId="77777777" w:rsidR="00640938" w:rsidRPr="00073648" w:rsidRDefault="00640938" w:rsidP="00F933ED">
            <w:pPr>
              <w:rPr>
                <w:rFonts w:ascii="Times New Roman" w:hAnsi="Times New Roman"/>
                <w:b/>
                <w:bCs/>
                <w:sz w:val="24"/>
                <w:szCs w:val="24"/>
              </w:rPr>
            </w:pPr>
            <w:r w:rsidRPr="00073648">
              <w:rPr>
                <w:rFonts w:ascii="Times New Roman" w:hAnsi="Times New Roman"/>
                <w:b/>
                <w:bCs/>
                <w:sz w:val="24"/>
                <w:szCs w:val="24"/>
              </w:rPr>
              <w:t>PP</w:t>
            </w:r>
          </w:p>
        </w:tc>
        <w:tc>
          <w:tcPr>
            <w:tcW w:w="1172" w:type="dxa"/>
            <w:tcBorders>
              <w:bottom w:val="thickThinSmallGap" w:sz="24" w:space="0" w:color="auto"/>
            </w:tcBorders>
          </w:tcPr>
          <w:p w14:paraId="5E70C621"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.094</w:t>
            </w:r>
          </w:p>
        </w:tc>
        <w:tc>
          <w:tcPr>
            <w:tcW w:w="1007" w:type="dxa"/>
            <w:tcBorders>
              <w:bottom w:val="thickThinSmallGap" w:sz="24" w:space="0" w:color="auto"/>
            </w:tcBorders>
          </w:tcPr>
          <w:p w14:paraId="276DD1CE"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61</w:t>
            </w:r>
          </w:p>
        </w:tc>
        <w:tc>
          <w:tcPr>
            <w:tcW w:w="1202" w:type="dxa"/>
            <w:tcBorders>
              <w:bottom w:val="thickThinSmallGap" w:sz="24" w:space="0" w:color="auto"/>
            </w:tcBorders>
          </w:tcPr>
          <w:p w14:paraId="3B16A24E"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.200</w:t>
            </w:r>
          </w:p>
        </w:tc>
        <w:tc>
          <w:tcPr>
            <w:tcW w:w="540" w:type="dxa"/>
            <w:tcBorders>
              <w:bottom w:val="thickThinSmallGap" w:sz="24" w:space="0" w:color="auto"/>
            </w:tcBorders>
          </w:tcPr>
          <w:p w14:paraId="6E5D5556" w14:textId="77777777" w:rsidR="00640938" w:rsidRPr="00073648" w:rsidRDefault="00640938" w:rsidP="00F933ED">
            <w:pPr>
              <w:rPr>
                <w:rFonts w:ascii="Times New Roman" w:hAnsi="Times New Roman"/>
                <w:sz w:val="24"/>
                <w:szCs w:val="24"/>
              </w:rPr>
            </w:pPr>
          </w:p>
        </w:tc>
        <w:tc>
          <w:tcPr>
            <w:tcW w:w="1530" w:type="dxa"/>
            <w:tcBorders>
              <w:bottom w:val="thickThinSmallGap" w:sz="24" w:space="0" w:color="auto"/>
            </w:tcBorders>
          </w:tcPr>
          <w:p w14:paraId="0D9FBDA1"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.958</w:t>
            </w:r>
          </w:p>
        </w:tc>
        <w:tc>
          <w:tcPr>
            <w:tcW w:w="900" w:type="dxa"/>
            <w:tcBorders>
              <w:bottom w:val="thickThinSmallGap" w:sz="24" w:space="0" w:color="auto"/>
            </w:tcBorders>
          </w:tcPr>
          <w:p w14:paraId="443A86DB"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61</w:t>
            </w:r>
          </w:p>
        </w:tc>
        <w:tc>
          <w:tcPr>
            <w:tcW w:w="900" w:type="dxa"/>
            <w:tcBorders>
              <w:bottom w:val="thickThinSmallGap" w:sz="24" w:space="0" w:color="auto"/>
            </w:tcBorders>
          </w:tcPr>
          <w:p w14:paraId="14545056" w14:textId="77777777" w:rsidR="00640938" w:rsidRPr="00073648" w:rsidRDefault="00640938" w:rsidP="00F933ED">
            <w:pPr>
              <w:rPr>
                <w:rFonts w:ascii="Times New Roman" w:hAnsi="Times New Roman"/>
                <w:sz w:val="24"/>
                <w:szCs w:val="24"/>
              </w:rPr>
            </w:pPr>
            <w:r w:rsidRPr="00073648">
              <w:rPr>
                <w:rFonts w:ascii="Times New Roman" w:hAnsi="Times New Roman"/>
                <w:sz w:val="24"/>
                <w:szCs w:val="24"/>
              </w:rPr>
              <w:t>.035</w:t>
            </w:r>
          </w:p>
        </w:tc>
      </w:tr>
    </w:tbl>
    <w:p w14:paraId="4293377F" w14:textId="62FFCACD" w:rsidR="00640938" w:rsidRPr="006C3A1E" w:rsidRDefault="00640938" w:rsidP="006C3A1E">
      <w:pPr>
        <w:pStyle w:val="NoSpacing"/>
        <w:rPr>
          <w:rFonts w:ascii="Times New Roman" w:hAnsi="Times New Roman"/>
          <w:b/>
          <w:bCs/>
          <w:sz w:val="18"/>
          <w:szCs w:val="18"/>
        </w:rPr>
      </w:pPr>
      <w:r w:rsidRPr="008B1465">
        <w:rPr>
          <w:rFonts w:ascii="Times New Roman" w:hAnsi="Times New Roman"/>
          <w:b/>
          <w:bCs/>
          <w:sz w:val="18"/>
          <w:szCs w:val="18"/>
        </w:rPr>
        <w:t>Source: Researchers’ Computation 2023, SPSS 25.0</w:t>
      </w:r>
    </w:p>
    <w:p w14:paraId="6EF97F43" w14:textId="77777777" w:rsidR="00F53DFB" w:rsidRPr="00DF4767" w:rsidRDefault="00F53DFB" w:rsidP="00F53DFB">
      <w:pPr>
        <w:spacing w:line="480" w:lineRule="auto"/>
        <w:jc w:val="both"/>
        <w:rPr>
          <w:rFonts w:ascii="Times New Roman" w:hAnsi="Times New Roman"/>
          <w:sz w:val="24"/>
          <w:szCs w:val="24"/>
        </w:rPr>
      </w:pPr>
      <w:r w:rsidRPr="00DF4767">
        <w:rPr>
          <w:rFonts w:ascii="Times New Roman" w:hAnsi="Times New Roman"/>
          <w:sz w:val="24"/>
          <w:szCs w:val="24"/>
        </w:rPr>
        <w:t xml:space="preserve">Normality test is undeniable </w:t>
      </w:r>
      <w:r>
        <w:rPr>
          <w:rFonts w:ascii="Times New Roman" w:hAnsi="Times New Roman"/>
          <w:sz w:val="24"/>
          <w:szCs w:val="24"/>
        </w:rPr>
        <w:t>a</w:t>
      </w:r>
      <w:r w:rsidRPr="00DF4767">
        <w:rPr>
          <w:rFonts w:ascii="Times New Roman" w:hAnsi="Times New Roman"/>
          <w:sz w:val="24"/>
          <w:szCs w:val="24"/>
        </w:rPr>
        <w:t>n</w:t>
      </w:r>
      <w:r>
        <w:rPr>
          <w:rFonts w:ascii="Times New Roman" w:hAnsi="Times New Roman"/>
          <w:sz w:val="24"/>
          <w:szCs w:val="24"/>
        </w:rPr>
        <w:t>d</w:t>
      </w:r>
      <w:r w:rsidRPr="00DF4767">
        <w:rPr>
          <w:rFonts w:ascii="Times New Roman" w:hAnsi="Times New Roman"/>
          <w:sz w:val="24"/>
          <w:szCs w:val="24"/>
        </w:rPr>
        <w:t xml:space="preserve"> important diagnostic for multivariate analysis especially when applying multiple regression</w:t>
      </w:r>
      <w:r w:rsidRPr="009D0AC0">
        <w:t xml:space="preserve"> </w:t>
      </w:r>
      <w:r>
        <w:t>(</w:t>
      </w:r>
      <w:r w:rsidRPr="009D0AC0">
        <w:rPr>
          <w:rFonts w:ascii="Times New Roman" w:hAnsi="Times New Roman"/>
          <w:sz w:val="24"/>
          <w:szCs w:val="24"/>
        </w:rPr>
        <w:t>Saccenti, Hoefsloot, Smilde, Westerhuis &amp; Hendriks, 2014).</w:t>
      </w:r>
      <w:r w:rsidRPr="00DF4767">
        <w:rPr>
          <w:rFonts w:ascii="Times New Roman" w:hAnsi="Times New Roman"/>
          <w:sz w:val="24"/>
          <w:szCs w:val="24"/>
        </w:rPr>
        <w:t xml:space="preserve"> This study therefore carried out normality test</w:t>
      </w:r>
      <w:r>
        <w:rPr>
          <w:rFonts w:ascii="Times New Roman" w:hAnsi="Times New Roman"/>
          <w:sz w:val="24"/>
          <w:szCs w:val="24"/>
        </w:rPr>
        <w:t>s</w:t>
      </w:r>
      <w:r w:rsidRPr="00DF4767">
        <w:rPr>
          <w:rFonts w:ascii="Times New Roman" w:hAnsi="Times New Roman"/>
          <w:sz w:val="24"/>
          <w:szCs w:val="24"/>
        </w:rPr>
        <w:t xml:space="preserve"> to ensure that the assumptions underlying multiple regression is not violated and to ensure that variables under study do not</w:t>
      </w:r>
      <w:r>
        <w:rPr>
          <w:rFonts w:ascii="Times New Roman" w:hAnsi="Times New Roman"/>
          <w:sz w:val="24"/>
          <w:szCs w:val="24"/>
        </w:rPr>
        <w:t xml:space="preserve"> depart</w:t>
      </w:r>
      <w:r w:rsidRPr="00DF4767">
        <w:rPr>
          <w:rFonts w:ascii="Times New Roman" w:hAnsi="Times New Roman"/>
          <w:sz w:val="24"/>
          <w:szCs w:val="24"/>
        </w:rPr>
        <w:t xml:space="preserve"> from the assumption of normality. Shapiro-Wilk normality test (Shapiro &amp; Wilk</w:t>
      </w:r>
      <w:r>
        <w:rPr>
          <w:rFonts w:ascii="Times New Roman" w:hAnsi="Times New Roman"/>
          <w:sz w:val="24"/>
          <w:szCs w:val="24"/>
        </w:rPr>
        <w:t>,</w:t>
      </w:r>
      <w:r w:rsidRPr="00DF4767">
        <w:rPr>
          <w:rFonts w:ascii="Times New Roman" w:hAnsi="Times New Roman"/>
          <w:sz w:val="24"/>
          <w:szCs w:val="24"/>
        </w:rPr>
        <w:t xml:space="preserve"> 1965) and graphical method</w:t>
      </w:r>
      <w:r>
        <w:rPr>
          <w:rFonts w:ascii="Times New Roman" w:hAnsi="Times New Roman"/>
          <w:sz w:val="24"/>
          <w:szCs w:val="24"/>
        </w:rPr>
        <w:t xml:space="preserve"> (histogram appendix II)</w:t>
      </w:r>
      <w:r w:rsidRPr="00DF4767">
        <w:rPr>
          <w:rFonts w:ascii="Times New Roman" w:hAnsi="Times New Roman"/>
          <w:sz w:val="24"/>
          <w:szCs w:val="24"/>
        </w:rPr>
        <w:t xml:space="preserve"> were employed to test for normality of the data. Shapiro-Wilk has been adjudged as </w:t>
      </w:r>
      <w:r>
        <w:rPr>
          <w:rFonts w:ascii="Times New Roman" w:hAnsi="Times New Roman"/>
          <w:sz w:val="24"/>
          <w:szCs w:val="24"/>
        </w:rPr>
        <w:t xml:space="preserve">a </w:t>
      </w:r>
      <w:r w:rsidRPr="00DF4767">
        <w:rPr>
          <w:rFonts w:ascii="Times New Roman" w:hAnsi="Times New Roman"/>
          <w:sz w:val="24"/>
          <w:szCs w:val="24"/>
        </w:rPr>
        <w:t>powerful normality test compared with others (</w:t>
      </w:r>
      <w:r w:rsidRPr="007F5378">
        <w:rPr>
          <w:rStyle w:val="Hyperlink"/>
          <w:rFonts w:ascii="Times New Roman" w:hAnsi="Times New Roman"/>
          <w:color w:val="auto"/>
          <w:sz w:val="24"/>
          <w:szCs w:val="24"/>
          <w:u w:val="none"/>
          <w:shd w:val="clear" w:color="auto" w:fill="FFFFFF"/>
        </w:rPr>
        <w:t>Razali &amp; Wah,</w:t>
      </w:r>
      <w:r>
        <w:rPr>
          <w:rStyle w:val="Hyperlink"/>
          <w:rFonts w:ascii="Times New Roman" w:hAnsi="Times New Roman"/>
          <w:color w:val="auto"/>
          <w:sz w:val="24"/>
          <w:szCs w:val="24"/>
          <w:u w:val="none"/>
          <w:shd w:val="clear" w:color="auto" w:fill="FFFFFF"/>
        </w:rPr>
        <w:t xml:space="preserve"> </w:t>
      </w:r>
      <w:r w:rsidRPr="007F5378">
        <w:rPr>
          <w:rStyle w:val="Hyperlink"/>
          <w:rFonts w:ascii="Times New Roman" w:hAnsi="Times New Roman"/>
          <w:color w:val="auto"/>
          <w:sz w:val="24"/>
          <w:szCs w:val="24"/>
          <w:u w:val="none"/>
          <w:shd w:val="clear" w:color="auto" w:fill="FFFFFF"/>
        </w:rPr>
        <w:t>2011</w:t>
      </w:r>
      <w:r w:rsidRPr="00DF4767">
        <w:rPr>
          <w:rFonts w:ascii="Times New Roman" w:hAnsi="Times New Roman"/>
          <w:sz w:val="24"/>
          <w:szCs w:val="24"/>
        </w:rPr>
        <w:t>) and hence was applied.</w:t>
      </w:r>
      <w:r>
        <w:rPr>
          <w:rFonts w:ascii="Times New Roman" w:hAnsi="Times New Roman"/>
          <w:sz w:val="24"/>
          <w:szCs w:val="24"/>
        </w:rPr>
        <w:t xml:space="preserve"> </w:t>
      </w:r>
    </w:p>
    <w:p w14:paraId="492115B3" w14:textId="33C000BF" w:rsidR="00EB3D3B" w:rsidRPr="00DF4767" w:rsidRDefault="00EB3D3B" w:rsidP="00EB3D3B">
      <w:pPr>
        <w:spacing w:line="480" w:lineRule="auto"/>
        <w:jc w:val="both"/>
        <w:rPr>
          <w:rFonts w:ascii="Times New Roman" w:hAnsi="Times New Roman"/>
          <w:sz w:val="24"/>
          <w:szCs w:val="24"/>
        </w:rPr>
      </w:pPr>
      <w:r w:rsidRPr="00511CF3">
        <w:rPr>
          <w:rFonts w:ascii="Times New Roman" w:hAnsi="Times New Roman"/>
          <w:sz w:val="24"/>
          <w:szCs w:val="24"/>
        </w:rPr>
        <w:t>Table 4</w:t>
      </w:r>
      <w:r w:rsidR="00B7338D">
        <w:rPr>
          <w:rFonts w:ascii="Times New Roman" w:hAnsi="Times New Roman"/>
          <w:sz w:val="24"/>
          <w:szCs w:val="24"/>
        </w:rPr>
        <w:t>.1</w:t>
      </w:r>
      <w:r w:rsidR="007746EB">
        <w:rPr>
          <w:rFonts w:ascii="Times New Roman" w:hAnsi="Times New Roman"/>
          <w:sz w:val="24"/>
          <w:szCs w:val="24"/>
        </w:rPr>
        <w:t>1</w:t>
      </w:r>
      <w:r>
        <w:rPr>
          <w:rFonts w:ascii="Times New Roman" w:hAnsi="Times New Roman"/>
          <w:sz w:val="24"/>
          <w:szCs w:val="24"/>
        </w:rPr>
        <w:t xml:space="preserve"> s</w:t>
      </w:r>
      <w:r w:rsidRPr="00DF4767">
        <w:rPr>
          <w:rFonts w:ascii="Times New Roman" w:hAnsi="Times New Roman"/>
          <w:sz w:val="24"/>
          <w:szCs w:val="24"/>
        </w:rPr>
        <w:t>hows the result of Shapiro-Wilk (</w:t>
      </w:r>
      <w:r>
        <w:rPr>
          <w:rFonts w:ascii="Times New Roman" w:hAnsi="Times New Roman"/>
          <w:sz w:val="24"/>
          <w:szCs w:val="24"/>
        </w:rPr>
        <w:t>W</w:t>
      </w:r>
      <w:r w:rsidRPr="00DF4767">
        <w:rPr>
          <w:rFonts w:ascii="Times New Roman" w:hAnsi="Times New Roman"/>
          <w:sz w:val="24"/>
          <w:szCs w:val="24"/>
        </w:rPr>
        <w:t>) test. The Shapiro-Wilk test was used to assess the normality assumption of each of the variables understudy before conducting further statistical analyses.</w:t>
      </w:r>
    </w:p>
    <w:p w14:paraId="14B05967" w14:textId="77777777" w:rsidR="00C56DF8" w:rsidRDefault="00EB3D3B" w:rsidP="00C56DF8">
      <w:pPr>
        <w:pStyle w:val="ListParagraph"/>
        <w:numPr>
          <w:ilvl w:val="0"/>
          <w:numId w:val="37"/>
        </w:numPr>
        <w:spacing w:line="480" w:lineRule="auto"/>
        <w:jc w:val="both"/>
        <w:rPr>
          <w:rFonts w:ascii="Times New Roman" w:hAnsi="Times New Roman"/>
          <w:sz w:val="24"/>
          <w:szCs w:val="24"/>
        </w:rPr>
      </w:pPr>
      <w:r w:rsidRPr="00C56DF8">
        <w:rPr>
          <w:rFonts w:ascii="Times New Roman" w:hAnsi="Times New Roman"/>
          <w:sz w:val="24"/>
          <w:szCs w:val="24"/>
        </w:rPr>
        <w:t>Investigation of Fraud (IF): Shapiro-Wilk statistic W (61) = 0.948, p-value = 0.012. This shows that investigation of fraud scores was normally distributed.</w:t>
      </w:r>
    </w:p>
    <w:p w14:paraId="70027B46" w14:textId="77777777" w:rsidR="00C56DF8" w:rsidRDefault="00EB3D3B" w:rsidP="00C56DF8">
      <w:pPr>
        <w:pStyle w:val="ListParagraph"/>
        <w:numPr>
          <w:ilvl w:val="0"/>
          <w:numId w:val="37"/>
        </w:numPr>
        <w:spacing w:line="480" w:lineRule="auto"/>
        <w:jc w:val="both"/>
        <w:rPr>
          <w:rFonts w:ascii="Times New Roman" w:hAnsi="Times New Roman"/>
          <w:sz w:val="24"/>
          <w:szCs w:val="24"/>
        </w:rPr>
      </w:pPr>
      <w:r w:rsidRPr="00C56DF8">
        <w:rPr>
          <w:rFonts w:ascii="Times New Roman" w:hAnsi="Times New Roman"/>
          <w:sz w:val="24"/>
          <w:szCs w:val="24"/>
        </w:rPr>
        <w:t>Litigation Services (LS): Shapiro-Wilk statistic W (61) = 0.9</w:t>
      </w:r>
      <w:r w:rsidR="00B76ECC" w:rsidRPr="00C56DF8">
        <w:rPr>
          <w:rFonts w:ascii="Times New Roman" w:hAnsi="Times New Roman"/>
          <w:sz w:val="24"/>
          <w:szCs w:val="24"/>
        </w:rPr>
        <w:t>44</w:t>
      </w:r>
      <w:r w:rsidRPr="00C56DF8">
        <w:rPr>
          <w:rFonts w:ascii="Times New Roman" w:hAnsi="Times New Roman"/>
          <w:sz w:val="24"/>
          <w:szCs w:val="24"/>
        </w:rPr>
        <w:t xml:space="preserve">, p-value = 0.007. We accept the null hypothesis and concluded that litigation services scores are not deviated from the normality assumption. </w:t>
      </w:r>
    </w:p>
    <w:p w14:paraId="135B2E04" w14:textId="77777777" w:rsidR="00C56DF8" w:rsidRDefault="00EB3D3B" w:rsidP="00C56DF8">
      <w:pPr>
        <w:pStyle w:val="ListParagraph"/>
        <w:numPr>
          <w:ilvl w:val="0"/>
          <w:numId w:val="37"/>
        </w:numPr>
        <w:spacing w:line="480" w:lineRule="auto"/>
        <w:jc w:val="both"/>
        <w:rPr>
          <w:rFonts w:ascii="Times New Roman" w:hAnsi="Times New Roman"/>
          <w:sz w:val="24"/>
          <w:szCs w:val="24"/>
        </w:rPr>
      </w:pPr>
      <w:r w:rsidRPr="00C56DF8">
        <w:rPr>
          <w:rFonts w:ascii="Times New Roman" w:hAnsi="Times New Roman"/>
          <w:sz w:val="24"/>
          <w:szCs w:val="24"/>
        </w:rPr>
        <w:t>Surprise Cash Count Practices (SCCP): The scores under surprise cash count practices were also subjected to normality test using Shapiro-Wilk statistic. The W (61) = 0.948, p-value = 0.011 since the associated p-value of W is greater than 0.05, we accept the null hypothesis and concluded that surprise cash count practices scores were normally distributed.</w:t>
      </w:r>
    </w:p>
    <w:p w14:paraId="79666A73" w14:textId="4127103B" w:rsidR="00C56DF8" w:rsidRDefault="00EB3D3B" w:rsidP="00C56DF8">
      <w:pPr>
        <w:pStyle w:val="ListParagraph"/>
        <w:numPr>
          <w:ilvl w:val="0"/>
          <w:numId w:val="37"/>
        </w:numPr>
        <w:spacing w:line="480" w:lineRule="auto"/>
        <w:jc w:val="both"/>
        <w:rPr>
          <w:rFonts w:ascii="Times New Roman" w:hAnsi="Times New Roman"/>
          <w:sz w:val="24"/>
          <w:szCs w:val="24"/>
        </w:rPr>
      </w:pPr>
      <w:r w:rsidRPr="00C56DF8">
        <w:rPr>
          <w:rFonts w:ascii="Times New Roman" w:hAnsi="Times New Roman"/>
          <w:sz w:val="24"/>
          <w:szCs w:val="24"/>
        </w:rPr>
        <w:t>Accounting and Digital Environment (ADE): Shapiro-Wilk</w:t>
      </w:r>
      <w:r w:rsidR="000A2C86">
        <w:rPr>
          <w:rFonts w:ascii="Times New Roman" w:hAnsi="Times New Roman"/>
          <w:sz w:val="24"/>
          <w:szCs w:val="24"/>
        </w:rPr>
        <w:t xml:space="preserve"> </w:t>
      </w:r>
      <w:r w:rsidR="000A2C86" w:rsidRPr="00C56DF8">
        <w:rPr>
          <w:rFonts w:ascii="Times New Roman" w:hAnsi="Times New Roman"/>
          <w:sz w:val="24"/>
          <w:szCs w:val="24"/>
        </w:rPr>
        <w:t>statistic</w:t>
      </w:r>
      <w:r w:rsidRPr="00C56DF8">
        <w:rPr>
          <w:rFonts w:ascii="Times New Roman" w:hAnsi="Times New Roman"/>
          <w:sz w:val="24"/>
          <w:szCs w:val="24"/>
        </w:rPr>
        <w:t xml:space="preserve"> W (61) = 0.946, p-value = 0.009. This implies that the accounting and digital environment scores were normally distributed.</w:t>
      </w:r>
    </w:p>
    <w:p w14:paraId="4919D3EE" w14:textId="77777777" w:rsidR="00C56DF8" w:rsidRDefault="00EB3D3B" w:rsidP="00C56DF8">
      <w:pPr>
        <w:pStyle w:val="ListParagraph"/>
        <w:numPr>
          <w:ilvl w:val="0"/>
          <w:numId w:val="37"/>
        </w:numPr>
        <w:spacing w:line="480" w:lineRule="auto"/>
        <w:jc w:val="both"/>
        <w:rPr>
          <w:rFonts w:ascii="Times New Roman" w:hAnsi="Times New Roman"/>
          <w:sz w:val="24"/>
          <w:szCs w:val="24"/>
        </w:rPr>
      </w:pPr>
      <w:r w:rsidRPr="00C56DF8">
        <w:rPr>
          <w:rFonts w:ascii="Times New Roman" w:hAnsi="Times New Roman"/>
          <w:sz w:val="24"/>
          <w:szCs w:val="24"/>
        </w:rPr>
        <w:t>Fund Misappropriation (FM): The Shapiro-Wilk statistic W (61) = 0.943, p-value = 0.007. This shows that fund misappropriation scores were normally distributed.</w:t>
      </w:r>
    </w:p>
    <w:p w14:paraId="50D6AF9E" w14:textId="4D09568E" w:rsidR="00455884" w:rsidRDefault="00EB3D3B" w:rsidP="00455884">
      <w:pPr>
        <w:pStyle w:val="ListParagraph"/>
        <w:numPr>
          <w:ilvl w:val="0"/>
          <w:numId w:val="37"/>
        </w:numPr>
        <w:spacing w:line="480" w:lineRule="auto"/>
        <w:jc w:val="both"/>
        <w:rPr>
          <w:rFonts w:ascii="Times New Roman" w:hAnsi="Times New Roman"/>
          <w:sz w:val="24"/>
          <w:szCs w:val="24"/>
        </w:rPr>
      </w:pPr>
      <w:r w:rsidRPr="00C56DF8">
        <w:rPr>
          <w:rFonts w:ascii="Times New Roman" w:hAnsi="Times New Roman"/>
          <w:sz w:val="24"/>
          <w:szCs w:val="24"/>
        </w:rPr>
        <w:t>Value for Money Practices (VMP): The reported Shapiro-Wilk statistic</w:t>
      </w:r>
      <w:r w:rsidR="0072065B">
        <w:rPr>
          <w:rFonts w:ascii="Times New Roman" w:hAnsi="Times New Roman"/>
          <w:sz w:val="24"/>
          <w:szCs w:val="24"/>
        </w:rPr>
        <w:t>s</w:t>
      </w:r>
      <w:r w:rsidRPr="00C56DF8">
        <w:rPr>
          <w:rFonts w:ascii="Times New Roman" w:hAnsi="Times New Roman"/>
          <w:sz w:val="24"/>
          <w:szCs w:val="24"/>
        </w:rPr>
        <w:t xml:space="preserve"> is W (61) = 0.951, p-value = 0.016. This indicates that, value for money practices is not deviated from normality assumption.</w:t>
      </w:r>
    </w:p>
    <w:p w14:paraId="51E98AA6" w14:textId="77777777" w:rsidR="00455884" w:rsidRDefault="00EB3D3B" w:rsidP="00455884">
      <w:pPr>
        <w:pStyle w:val="ListParagraph"/>
        <w:numPr>
          <w:ilvl w:val="0"/>
          <w:numId w:val="37"/>
        </w:numPr>
        <w:spacing w:line="480" w:lineRule="auto"/>
        <w:jc w:val="both"/>
        <w:rPr>
          <w:rFonts w:ascii="Times New Roman" w:hAnsi="Times New Roman"/>
          <w:sz w:val="24"/>
          <w:szCs w:val="24"/>
        </w:rPr>
      </w:pPr>
      <w:r w:rsidRPr="00455884">
        <w:rPr>
          <w:rFonts w:ascii="Times New Roman" w:hAnsi="Times New Roman"/>
          <w:sz w:val="24"/>
          <w:szCs w:val="24"/>
        </w:rPr>
        <w:t>Creative Accounting Practices: The Shapiro-Wilk statistic W (61) = 0.949, p-value = 0.012. This implies that creative accounting practices scores were normally distributed.</w:t>
      </w:r>
    </w:p>
    <w:p w14:paraId="17198C36" w14:textId="378D1639" w:rsidR="00434E63" w:rsidRPr="006972C5" w:rsidRDefault="00EB3D3B" w:rsidP="00ED7FE7">
      <w:pPr>
        <w:pStyle w:val="ListParagraph"/>
        <w:numPr>
          <w:ilvl w:val="0"/>
          <w:numId w:val="37"/>
        </w:numPr>
        <w:spacing w:line="480" w:lineRule="auto"/>
        <w:jc w:val="both"/>
        <w:rPr>
          <w:rFonts w:ascii="Times New Roman" w:hAnsi="Times New Roman"/>
          <w:sz w:val="24"/>
          <w:szCs w:val="24"/>
        </w:rPr>
      </w:pPr>
      <w:r w:rsidRPr="00455884">
        <w:rPr>
          <w:rFonts w:ascii="Times New Roman" w:hAnsi="Times New Roman"/>
          <w:sz w:val="24"/>
          <w:szCs w:val="24"/>
        </w:rPr>
        <w:t>Procurement Practices: The Shapiro-Wilk statistic W (61) = 0.958, p-value = 0.035. The analysis shows that we accept the null hypothesis and concluded that the procurement practices scores were normally distributed.</w:t>
      </w:r>
    </w:p>
    <w:p w14:paraId="0D5A69B1" w14:textId="35A94C9E" w:rsidR="00234521" w:rsidRDefault="00234521" w:rsidP="00234521">
      <w:pPr>
        <w:pStyle w:val="Heading3"/>
      </w:pPr>
      <w:bookmarkStart w:id="125" w:name="_Toc145951127"/>
      <w:r w:rsidRPr="008B1465">
        <w:t>Effect of Forensic Accounting Techniques on Fund Misappropriation</w:t>
      </w:r>
      <w:bookmarkEnd w:id="125"/>
    </w:p>
    <w:p w14:paraId="6DE7BFFA" w14:textId="77777777" w:rsidR="00813338" w:rsidRPr="00205B52" w:rsidRDefault="00813338" w:rsidP="00813338">
      <w:pPr>
        <w:pStyle w:val="Caption"/>
        <w:keepNext/>
        <w:jc w:val="center"/>
        <w:rPr>
          <w:rFonts w:ascii="Times New Roman" w:hAnsi="Times New Roman"/>
          <w:sz w:val="24"/>
          <w:szCs w:val="24"/>
        </w:rPr>
      </w:pPr>
      <w:bookmarkStart w:id="126" w:name="_Toc145952345"/>
      <w:r w:rsidRPr="003A1489">
        <w:rPr>
          <w:rFonts w:ascii="Times New Roman" w:hAnsi="Times New Roman"/>
          <w:i w:val="0"/>
          <w:iCs w:val="0"/>
          <w:color w:val="auto"/>
          <w:sz w:val="24"/>
          <w:szCs w:val="24"/>
        </w:rPr>
        <w:t xml:space="preserve">Table </w:t>
      </w:r>
      <w:r w:rsidRPr="003A1489">
        <w:rPr>
          <w:rFonts w:ascii="Times New Roman" w:hAnsi="Times New Roman"/>
          <w:i w:val="0"/>
          <w:iCs w:val="0"/>
          <w:color w:val="auto"/>
          <w:sz w:val="24"/>
          <w:szCs w:val="24"/>
        </w:rPr>
        <w:fldChar w:fldCharType="begin"/>
      </w:r>
      <w:r w:rsidRPr="003A1489">
        <w:rPr>
          <w:rFonts w:ascii="Times New Roman" w:hAnsi="Times New Roman"/>
          <w:i w:val="0"/>
          <w:iCs w:val="0"/>
          <w:color w:val="auto"/>
          <w:sz w:val="24"/>
          <w:szCs w:val="24"/>
        </w:rPr>
        <w:instrText xml:space="preserve"> STYLEREF 1 \s </w:instrText>
      </w:r>
      <w:r w:rsidRPr="003A1489">
        <w:rPr>
          <w:rFonts w:ascii="Times New Roman" w:hAnsi="Times New Roman"/>
          <w:i w:val="0"/>
          <w:iCs w:val="0"/>
          <w:color w:val="auto"/>
          <w:sz w:val="24"/>
          <w:szCs w:val="24"/>
        </w:rPr>
        <w:fldChar w:fldCharType="separate"/>
      </w:r>
      <w:r w:rsidRPr="003A1489">
        <w:rPr>
          <w:rFonts w:ascii="Times New Roman" w:hAnsi="Times New Roman"/>
          <w:i w:val="0"/>
          <w:iCs w:val="0"/>
          <w:color w:val="auto"/>
          <w:sz w:val="24"/>
          <w:szCs w:val="24"/>
        </w:rPr>
        <w:t>4</w:t>
      </w:r>
      <w:r w:rsidRPr="003A1489">
        <w:rPr>
          <w:rFonts w:ascii="Times New Roman" w:hAnsi="Times New Roman"/>
          <w:i w:val="0"/>
          <w:iCs w:val="0"/>
          <w:color w:val="auto"/>
          <w:sz w:val="24"/>
          <w:szCs w:val="24"/>
        </w:rPr>
        <w:fldChar w:fldCharType="end"/>
      </w:r>
      <w:r w:rsidRPr="003A1489">
        <w:rPr>
          <w:rFonts w:ascii="Times New Roman" w:hAnsi="Times New Roman"/>
          <w:i w:val="0"/>
          <w:iCs w:val="0"/>
          <w:color w:val="auto"/>
          <w:sz w:val="24"/>
          <w:szCs w:val="24"/>
        </w:rPr>
        <w:t>.</w:t>
      </w:r>
      <w:r w:rsidRPr="003A1489">
        <w:rPr>
          <w:rFonts w:ascii="Times New Roman" w:hAnsi="Times New Roman"/>
          <w:i w:val="0"/>
          <w:iCs w:val="0"/>
          <w:color w:val="auto"/>
          <w:sz w:val="24"/>
          <w:szCs w:val="24"/>
        </w:rPr>
        <w:fldChar w:fldCharType="begin"/>
      </w:r>
      <w:r w:rsidRPr="003A1489">
        <w:rPr>
          <w:rFonts w:ascii="Times New Roman" w:hAnsi="Times New Roman"/>
          <w:i w:val="0"/>
          <w:iCs w:val="0"/>
          <w:color w:val="auto"/>
          <w:sz w:val="24"/>
          <w:szCs w:val="24"/>
        </w:rPr>
        <w:instrText xml:space="preserve"> SEQ Table \* ARABIC \s 1 </w:instrText>
      </w:r>
      <w:r w:rsidRPr="003A1489">
        <w:rPr>
          <w:rFonts w:ascii="Times New Roman" w:hAnsi="Times New Roman"/>
          <w:i w:val="0"/>
          <w:iCs w:val="0"/>
          <w:color w:val="auto"/>
          <w:sz w:val="24"/>
          <w:szCs w:val="24"/>
        </w:rPr>
        <w:fldChar w:fldCharType="separate"/>
      </w:r>
      <w:r w:rsidRPr="003A1489">
        <w:rPr>
          <w:rFonts w:ascii="Times New Roman" w:hAnsi="Times New Roman"/>
          <w:i w:val="0"/>
          <w:iCs w:val="0"/>
          <w:color w:val="auto"/>
          <w:sz w:val="24"/>
          <w:szCs w:val="24"/>
        </w:rPr>
        <w:t>12</w:t>
      </w:r>
      <w:r w:rsidRPr="003A1489">
        <w:rPr>
          <w:rFonts w:ascii="Times New Roman" w:hAnsi="Times New Roman"/>
          <w:i w:val="0"/>
          <w:iCs w:val="0"/>
          <w:color w:val="auto"/>
          <w:sz w:val="24"/>
          <w:szCs w:val="24"/>
        </w:rPr>
        <w:fldChar w:fldCharType="end"/>
      </w:r>
      <w:r w:rsidRPr="003A1489">
        <w:rPr>
          <w:rFonts w:ascii="Times New Roman" w:hAnsi="Times New Roman"/>
          <w:i w:val="0"/>
          <w:iCs w:val="0"/>
          <w:color w:val="auto"/>
          <w:sz w:val="24"/>
          <w:szCs w:val="24"/>
        </w:rPr>
        <w:t>:</w:t>
      </w:r>
      <w:r w:rsidRPr="00205B52">
        <w:rPr>
          <w:rFonts w:ascii="Times New Roman" w:hAnsi="Times New Roman"/>
          <w:i w:val="0"/>
          <w:iCs w:val="0"/>
          <w:color w:val="auto"/>
          <w:sz w:val="24"/>
          <w:szCs w:val="24"/>
        </w:rPr>
        <w:t xml:space="preserve"> Effect of Forensic Accounting Techniques on Fund Misappropriation</w:t>
      </w:r>
      <w:bookmarkEnd w:id="126"/>
    </w:p>
    <w:tbl>
      <w:tblPr>
        <w:tblW w:w="0" w:type="auto"/>
        <w:tblBorders>
          <w:top w:val="single" w:sz="4" w:space="0" w:color="auto"/>
          <w:bottom w:val="single" w:sz="4" w:space="0" w:color="auto"/>
        </w:tblBorders>
        <w:tblLook w:val="04A0" w:firstRow="1" w:lastRow="0" w:firstColumn="1" w:lastColumn="0" w:noHBand="0" w:noVBand="1"/>
      </w:tblPr>
      <w:tblGrid>
        <w:gridCol w:w="1404"/>
        <w:gridCol w:w="936"/>
        <w:gridCol w:w="1327"/>
        <w:gridCol w:w="240"/>
        <w:gridCol w:w="1976"/>
        <w:gridCol w:w="1143"/>
        <w:gridCol w:w="1143"/>
        <w:gridCol w:w="1191"/>
      </w:tblGrid>
      <w:tr w:rsidR="00813338" w:rsidRPr="00C5134F" w14:paraId="387A157B" w14:textId="77777777" w:rsidTr="00FC03FB">
        <w:tc>
          <w:tcPr>
            <w:tcW w:w="1404" w:type="dxa"/>
            <w:tcBorders>
              <w:top w:val="thinThickSmallGap" w:sz="24" w:space="0" w:color="auto"/>
              <w:bottom w:val="thinThickSmallGap" w:sz="24" w:space="0" w:color="auto"/>
            </w:tcBorders>
          </w:tcPr>
          <w:p w14:paraId="6EBCC291" w14:textId="77777777" w:rsidR="00813338" w:rsidRPr="00C5134F" w:rsidRDefault="00813338" w:rsidP="00F933ED">
            <w:pPr>
              <w:jc w:val="center"/>
              <w:rPr>
                <w:rFonts w:ascii="Times New Roman" w:hAnsi="Times New Roman"/>
                <w:b/>
                <w:bCs/>
                <w:sz w:val="24"/>
                <w:szCs w:val="24"/>
              </w:rPr>
            </w:pPr>
            <w:r w:rsidRPr="00C5134F">
              <w:rPr>
                <w:rFonts w:ascii="Times New Roman" w:hAnsi="Times New Roman"/>
                <w:b/>
                <w:bCs/>
                <w:sz w:val="24"/>
                <w:szCs w:val="24"/>
              </w:rPr>
              <w:t>Variables</w:t>
            </w:r>
          </w:p>
        </w:tc>
        <w:tc>
          <w:tcPr>
            <w:tcW w:w="936" w:type="dxa"/>
            <w:tcBorders>
              <w:top w:val="thinThickSmallGap" w:sz="24" w:space="0" w:color="auto"/>
              <w:bottom w:val="thinThickSmallGap" w:sz="24" w:space="0" w:color="auto"/>
            </w:tcBorders>
          </w:tcPr>
          <w:p w14:paraId="5A81327B" w14:textId="77777777" w:rsidR="00813338" w:rsidRPr="00C5134F" w:rsidRDefault="00813338" w:rsidP="00F933ED">
            <w:pPr>
              <w:jc w:val="center"/>
              <w:rPr>
                <w:rFonts w:ascii="Times New Roman" w:hAnsi="Times New Roman"/>
                <w:b/>
                <w:bCs/>
                <w:sz w:val="24"/>
                <w:szCs w:val="24"/>
              </w:rPr>
            </w:pPr>
            <w:r>
              <w:rPr>
                <w:rFonts w:ascii="Times New Roman" w:hAnsi="Times New Roman"/>
                <w:b/>
                <w:bCs/>
                <w:sz w:val="24"/>
                <w:szCs w:val="24"/>
              </w:rPr>
              <w:t>B</w:t>
            </w:r>
          </w:p>
        </w:tc>
        <w:tc>
          <w:tcPr>
            <w:tcW w:w="1327" w:type="dxa"/>
            <w:tcBorders>
              <w:top w:val="thinThickSmallGap" w:sz="24" w:space="0" w:color="auto"/>
              <w:bottom w:val="thinThickSmallGap" w:sz="24" w:space="0" w:color="auto"/>
            </w:tcBorders>
          </w:tcPr>
          <w:p w14:paraId="297A71A0" w14:textId="77777777" w:rsidR="00813338" w:rsidRPr="00C5134F" w:rsidRDefault="00813338" w:rsidP="00F933ED">
            <w:pPr>
              <w:jc w:val="center"/>
              <w:rPr>
                <w:rFonts w:ascii="Times New Roman" w:hAnsi="Times New Roman"/>
                <w:b/>
                <w:bCs/>
                <w:sz w:val="24"/>
                <w:szCs w:val="24"/>
              </w:rPr>
            </w:pPr>
            <w:r w:rsidRPr="00C5134F">
              <w:rPr>
                <w:rFonts w:ascii="Times New Roman" w:hAnsi="Times New Roman"/>
                <w:b/>
                <w:bCs/>
                <w:sz w:val="24"/>
                <w:szCs w:val="24"/>
              </w:rPr>
              <w:t>Beta</w:t>
            </w:r>
          </w:p>
        </w:tc>
        <w:tc>
          <w:tcPr>
            <w:tcW w:w="240" w:type="dxa"/>
            <w:tcBorders>
              <w:top w:val="thinThickSmallGap" w:sz="24" w:space="0" w:color="auto"/>
              <w:bottom w:val="thinThickSmallGap" w:sz="24" w:space="0" w:color="auto"/>
            </w:tcBorders>
          </w:tcPr>
          <w:p w14:paraId="5965D1E7" w14:textId="77777777" w:rsidR="00813338" w:rsidRPr="00C5134F" w:rsidRDefault="00813338" w:rsidP="00F933ED">
            <w:pPr>
              <w:jc w:val="center"/>
              <w:rPr>
                <w:rFonts w:ascii="Times New Roman" w:hAnsi="Times New Roman"/>
                <w:b/>
                <w:bCs/>
                <w:sz w:val="24"/>
                <w:szCs w:val="24"/>
              </w:rPr>
            </w:pPr>
          </w:p>
        </w:tc>
        <w:tc>
          <w:tcPr>
            <w:tcW w:w="1976" w:type="dxa"/>
            <w:tcBorders>
              <w:top w:val="thinThickSmallGap" w:sz="24" w:space="0" w:color="auto"/>
              <w:bottom w:val="thinThickSmallGap" w:sz="24" w:space="0" w:color="auto"/>
            </w:tcBorders>
          </w:tcPr>
          <w:p w14:paraId="32326F66" w14:textId="77777777" w:rsidR="00813338" w:rsidRPr="00C5134F" w:rsidRDefault="00813338" w:rsidP="00F933ED">
            <w:pPr>
              <w:jc w:val="center"/>
              <w:rPr>
                <w:rFonts w:ascii="Times New Roman" w:hAnsi="Times New Roman"/>
                <w:b/>
                <w:bCs/>
                <w:sz w:val="24"/>
                <w:szCs w:val="24"/>
              </w:rPr>
            </w:pPr>
            <w:r w:rsidRPr="00C5134F">
              <w:rPr>
                <w:rFonts w:ascii="Times New Roman" w:hAnsi="Times New Roman"/>
                <w:b/>
                <w:bCs/>
                <w:sz w:val="24"/>
                <w:szCs w:val="24"/>
              </w:rPr>
              <w:t>t</w:t>
            </w:r>
          </w:p>
        </w:tc>
        <w:tc>
          <w:tcPr>
            <w:tcW w:w="1143" w:type="dxa"/>
            <w:tcBorders>
              <w:top w:val="thinThickSmallGap" w:sz="24" w:space="0" w:color="auto"/>
              <w:bottom w:val="thinThickSmallGap" w:sz="24" w:space="0" w:color="auto"/>
            </w:tcBorders>
          </w:tcPr>
          <w:p w14:paraId="53E865C9" w14:textId="77777777" w:rsidR="00813338" w:rsidRPr="00C5134F" w:rsidRDefault="00813338" w:rsidP="00F933ED">
            <w:pPr>
              <w:jc w:val="center"/>
              <w:rPr>
                <w:rFonts w:ascii="Times New Roman" w:hAnsi="Times New Roman"/>
                <w:b/>
                <w:bCs/>
                <w:sz w:val="24"/>
                <w:szCs w:val="24"/>
              </w:rPr>
            </w:pPr>
            <w:r w:rsidRPr="00C5134F">
              <w:rPr>
                <w:rFonts w:ascii="Times New Roman" w:hAnsi="Times New Roman"/>
                <w:b/>
                <w:bCs/>
                <w:sz w:val="24"/>
                <w:szCs w:val="24"/>
              </w:rPr>
              <w:t>Sig</w:t>
            </w:r>
          </w:p>
        </w:tc>
        <w:tc>
          <w:tcPr>
            <w:tcW w:w="1143" w:type="dxa"/>
            <w:tcBorders>
              <w:top w:val="thinThickSmallGap" w:sz="24" w:space="0" w:color="auto"/>
              <w:bottom w:val="thinThickSmallGap" w:sz="24" w:space="0" w:color="auto"/>
            </w:tcBorders>
          </w:tcPr>
          <w:p w14:paraId="15959FAC" w14:textId="77777777" w:rsidR="00813338" w:rsidRPr="00C5134F" w:rsidRDefault="00813338" w:rsidP="00F933ED">
            <w:pPr>
              <w:jc w:val="center"/>
              <w:rPr>
                <w:rFonts w:ascii="Times New Roman" w:hAnsi="Times New Roman"/>
                <w:b/>
                <w:bCs/>
                <w:sz w:val="24"/>
                <w:szCs w:val="24"/>
              </w:rPr>
            </w:pPr>
            <w:r w:rsidRPr="00C5134F">
              <w:rPr>
                <w:rFonts w:ascii="Times New Roman" w:hAnsi="Times New Roman"/>
                <w:b/>
                <w:bCs/>
                <w:sz w:val="24"/>
                <w:szCs w:val="24"/>
              </w:rPr>
              <w:t>T</w:t>
            </w:r>
          </w:p>
        </w:tc>
        <w:tc>
          <w:tcPr>
            <w:tcW w:w="1191" w:type="dxa"/>
            <w:tcBorders>
              <w:top w:val="thinThickSmallGap" w:sz="24" w:space="0" w:color="auto"/>
              <w:bottom w:val="thinThickSmallGap" w:sz="24" w:space="0" w:color="auto"/>
            </w:tcBorders>
          </w:tcPr>
          <w:p w14:paraId="281B402F" w14:textId="77777777" w:rsidR="00813338" w:rsidRPr="00C5134F" w:rsidRDefault="00813338" w:rsidP="00F933ED">
            <w:pPr>
              <w:jc w:val="center"/>
              <w:rPr>
                <w:rFonts w:ascii="Times New Roman" w:hAnsi="Times New Roman"/>
                <w:b/>
                <w:bCs/>
                <w:sz w:val="24"/>
                <w:szCs w:val="24"/>
              </w:rPr>
            </w:pPr>
            <w:r w:rsidRPr="00C5134F">
              <w:rPr>
                <w:rFonts w:ascii="Times New Roman" w:hAnsi="Times New Roman"/>
                <w:b/>
                <w:bCs/>
                <w:sz w:val="24"/>
                <w:szCs w:val="24"/>
              </w:rPr>
              <w:t>VIF</w:t>
            </w:r>
          </w:p>
        </w:tc>
      </w:tr>
      <w:tr w:rsidR="00813338" w:rsidRPr="008B1465" w14:paraId="4C5CC100" w14:textId="77777777" w:rsidTr="00FC03FB">
        <w:tc>
          <w:tcPr>
            <w:tcW w:w="1404" w:type="dxa"/>
            <w:tcBorders>
              <w:top w:val="thinThickSmallGap" w:sz="24" w:space="0" w:color="auto"/>
            </w:tcBorders>
          </w:tcPr>
          <w:p w14:paraId="3E96D152" w14:textId="77777777" w:rsidR="00813338" w:rsidRPr="008B1465" w:rsidRDefault="00813338" w:rsidP="00F933ED">
            <w:pPr>
              <w:jc w:val="center"/>
              <w:rPr>
                <w:rFonts w:ascii="Times New Roman" w:hAnsi="Times New Roman"/>
                <w:b/>
                <w:bCs/>
              </w:rPr>
            </w:pPr>
            <w:r w:rsidRPr="008B1465">
              <w:rPr>
                <w:rFonts w:ascii="Times New Roman" w:hAnsi="Times New Roman"/>
                <w:b/>
                <w:bCs/>
              </w:rPr>
              <w:t>Constant</w:t>
            </w:r>
          </w:p>
        </w:tc>
        <w:tc>
          <w:tcPr>
            <w:tcW w:w="936" w:type="dxa"/>
            <w:tcBorders>
              <w:top w:val="thinThickSmallGap" w:sz="24" w:space="0" w:color="auto"/>
            </w:tcBorders>
          </w:tcPr>
          <w:p w14:paraId="3AE91520" w14:textId="0FDCECDF" w:rsidR="00813338" w:rsidRPr="008B1465" w:rsidRDefault="00B37F8B" w:rsidP="00F933ED">
            <w:pPr>
              <w:jc w:val="center"/>
              <w:rPr>
                <w:rFonts w:ascii="Times New Roman" w:hAnsi="Times New Roman"/>
              </w:rPr>
            </w:pPr>
            <w:r>
              <w:rPr>
                <w:rFonts w:ascii="Times New Roman" w:hAnsi="Times New Roman"/>
              </w:rPr>
              <w:t>10.032</w:t>
            </w:r>
          </w:p>
        </w:tc>
        <w:tc>
          <w:tcPr>
            <w:tcW w:w="1327" w:type="dxa"/>
            <w:tcBorders>
              <w:top w:val="thinThickSmallGap" w:sz="24" w:space="0" w:color="auto"/>
            </w:tcBorders>
          </w:tcPr>
          <w:p w14:paraId="1ADC3A67" w14:textId="77777777" w:rsidR="00813338" w:rsidRPr="008B1465" w:rsidRDefault="00813338" w:rsidP="00F933ED">
            <w:pPr>
              <w:jc w:val="center"/>
              <w:rPr>
                <w:rFonts w:ascii="Times New Roman" w:hAnsi="Times New Roman"/>
              </w:rPr>
            </w:pPr>
          </w:p>
        </w:tc>
        <w:tc>
          <w:tcPr>
            <w:tcW w:w="240" w:type="dxa"/>
            <w:tcBorders>
              <w:top w:val="thinThickSmallGap" w:sz="24" w:space="0" w:color="auto"/>
            </w:tcBorders>
          </w:tcPr>
          <w:p w14:paraId="0DB949BA" w14:textId="77777777" w:rsidR="00813338" w:rsidRPr="008B1465" w:rsidRDefault="00813338" w:rsidP="00F933ED">
            <w:pPr>
              <w:jc w:val="center"/>
              <w:rPr>
                <w:rFonts w:ascii="Times New Roman" w:hAnsi="Times New Roman"/>
              </w:rPr>
            </w:pPr>
          </w:p>
        </w:tc>
        <w:tc>
          <w:tcPr>
            <w:tcW w:w="1976" w:type="dxa"/>
            <w:tcBorders>
              <w:top w:val="thinThickSmallGap" w:sz="24" w:space="0" w:color="auto"/>
            </w:tcBorders>
          </w:tcPr>
          <w:p w14:paraId="184E22EA" w14:textId="77777777" w:rsidR="00813338" w:rsidRPr="008B1465" w:rsidRDefault="00813338" w:rsidP="00F933ED">
            <w:pPr>
              <w:jc w:val="center"/>
              <w:rPr>
                <w:rFonts w:ascii="Times New Roman" w:hAnsi="Times New Roman"/>
              </w:rPr>
            </w:pPr>
            <w:r w:rsidRPr="008B1465">
              <w:rPr>
                <w:rFonts w:ascii="Times New Roman" w:hAnsi="Times New Roman"/>
              </w:rPr>
              <w:t>4.147</w:t>
            </w:r>
          </w:p>
        </w:tc>
        <w:tc>
          <w:tcPr>
            <w:tcW w:w="1143" w:type="dxa"/>
            <w:tcBorders>
              <w:top w:val="thinThickSmallGap" w:sz="24" w:space="0" w:color="auto"/>
            </w:tcBorders>
          </w:tcPr>
          <w:p w14:paraId="089E2348" w14:textId="77777777" w:rsidR="00813338" w:rsidRPr="008B1465" w:rsidRDefault="00813338" w:rsidP="00F933ED">
            <w:pPr>
              <w:jc w:val="center"/>
              <w:rPr>
                <w:rFonts w:ascii="Times New Roman" w:hAnsi="Times New Roman"/>
              </w:rPr>
            </w:pPr>
            <w:r w:rsidRPr="008B1465">
              <w:rPr>
                <w:rFonts w:ascii="Times New Roman" w:hAnsi="Times New Roman"/>
              </w:rPr>
              <w:t>.000</w:t>
            </w:r>
          </w:p>
        </w:tc>
        <w:tc>
          <w:tcPr>
            <w:tcW w:w="1143" w:type="dxa"/>
            <w:tcBorders>
              <w:top w:val="thinThickSmallGap" w:sz="24" w:space="0" w:color="auto"/>
            </w:tcBorders>
          </w:tcPr>
          <w:p w14:paraId="35BC4471" w14:textId="77777777" w:rsidR="00813338" w:rsidRPr="008B1465" w:rsidRDefault="00813338" w:rsidP="00F933ED">
            <w:pPr>
              <w:jc w:val="center"/>
              <w:rPr>
                <w:rFonts w:ascii="Times New Roman" w:hAnsi="Times New Roman"/>
              </w:rPr>
            </w:pPr>
          </w:p>
        </w:tc>
        <w:tc>
          <w:tcPr>
            <w:tcW w:w="1191" w:type="dxa"/>
            <w:tcBorders>
              <w:top w:val="thinThickSmallGap" w:sz="24" w:space="0" w:color="auto"/>
            </w:tcBorders>
          </w:tcPr>
          <w:p w14:paraId="129A813D" w14:textId="77777777" w:rsidR="00813338" w:rsidRPr="008B1465" w:rsidRDefault="00813338" w:rsidP="00F933ED">
            <w:pPr>
              <w:jc w:val="center"/>
              <w:rPr>
                <w:rFonts w:ascii="Times New Roman" w:hAnsi="Times New Roman"/>
              </w:rPr>
            </w:pPr>
          </w:p>
        </w:tc>
      </w:tr>
      <w:tr w:rsidR="00813338" w:rsidRPr="008B1465" w14:paraId="041BEE7E" w14:textId="77777777" w:rsidTr="00FC03FB">
        <w:tc>
          <w:tcPr>
            <w:tcW w:w="1404" w:type="dxa"/>
          </w:tcPr>
          <w:p w14:paraId="1D64ED8D" w14:textId="77777777" w:rsidR="00813338" w:rsidRPr="008B1465" w:rsidRDefault="00813338" w:rsidP="00F933ED">
            <w:pPr>
              <w:jc w:val="center"/>
              <w:rPr>
                <w:rFonts w:ascii="Times New Roman" w:hAnsi="Times New Roman"/>
                <w:b/>
                <w:bCs/>
              </w:rPr>
            </w:pPr>
            <w:r w:rsidRPr="008B1465">
              <w:rPr>
                <w:rFonts w:ascii="Times New Roman" w:hAnsi="Times New Roman"/>
                <w:b/>
                <w:bCs/>
              </w:rPr>
              <w:t>SCCP</w:t>
            </w:r>
          </w:p>
        </w:tc>
        <w:tc>
          <w:tcPr>
            <w:tcW w:w="936" w:type="dxa"/>
          </w:tcPr>
          <w:p w14:paraId="43F9F7D0" w14:textId="7476B92E" w:rsidR="00813338" w:rsidRPr="008B1465" w:rsidRDefault="00B37F8B" w:rsidP="00F933ED">
            <w:pPr>
              <w:jc w:val="center"/>
              <w:rPr>
                <w:rFonts w:ascii="Times New Roman" w:hAnsi="Times New Roman"/>
              </w:rPr>
            </w:pPr>
            <w:r>
              <w:rPr>
                <w:rFonts w:ascii="Times New Roman" w:hAnsi="Times New Roman"/>
              </w:rPr>
              <w:t>-.215</w:t>
            </w:r>
          </w:p>
        </w:tc>
        <w:tc>
          <w:tcPr>
            <w:tcW w:w="1327" w:type="dxa"/>
          </w:tcPr>
          <w:p w14:paraId="67A4CC3D" w14:textId="77777777" w:rsidR="00813338" w:rsidRPr="008B1465" w:rsidRDefault="00813338" w:rsidP="00F933ED">
            <w:pPr>
              <w:jc w:val="center"/>
              <w:rPr>
                <w:rFonts w:ascii="Times New Roman" w:hAnsi="Times New Roman"/>
              </w:rPr>
            </w:pPr>
            <w:r w:rsidRPr="008B1465">
              <w:rPr>
                <w:rFonts w:ascii="Times New Roman" w:hAnsi="Times New Roman"/>
              </w:rPr>
              <w:t>-.075</w:t>
            </w:r>
          </w:p>
        </w:tc>
        <w:tc>
          <w:tcPr>
            <w:tcW w:w="240" w:type="dxa"/>
          </w:tcPr>
          <w:p w14:paraId="383C2CA8" w14:textId="77777777" w:rsidR="00813338" w:rsidRPr="008B1465" w:rsidRDefault="00813338" w:rsidP="00F933ED">
            <w:pPr>
              <w:jc w:val="center"/>
              <w:rPr>
                <w:rFonts w:ascii="Times New Roman" w:hAnsi="Times New Roman"/>
              </w:rPr>
            </w:pPr>
          </w:p>
        </w:tc>
        <w:tc>
          <w:tcPr>
            <w:tcW w:w="1976" w:type="dxa"/>
          </w:tcPr>
          <w:p w14:paraId="778A0377" w14:textId="77777777" w:rsidR="00813338" w:rsidRPr="008B1465" w:rsidRDefault="00813338" w:rsidP="00F933ED">
            <w:pPr>
              <w:jc w:val="center"/>
              <w:rPr>
                <w:rFonts w:ascii="Times New Roman" w:hAnsi="Times New Roman"/>
              </w:rPr>
            </w:pPr>
            <w:r w:rsidRPr="008B1465">
              <w:rPr>
                <w:rFonts w:ascii="Times New Roman" w:hAnsi="Times New Roman"/>
              </w:rPr>
              <w:t>-3.097</w:t>
            </w:r>
          </w:p>
        </w:tc>
        <w:tc>
          <w:tcPr>
            <w:tcW w:w="1143" w:type="dxa"/>
          </w:tcPr>
          <w:p w14:paraId="04B3F5A7" w14:textId="77777777" w:rsidR="00813338" w:rsidRPr="008B1465" w:rsidRDefault="00813338" w:rsidP="00F933ED">
            <w:pPr>
              <w:jc w:val="center"/>
              <w:rPr>
                <w:rFonts w:ascii="Times New Roman" w:hAnsi="Times New Roman"/>
              </w:rPr>
            </w:pPr>
            <w:r w:rsidRPr="008B1465">
              <w:rPr>
                <w:rFonts w:ascii="Times New Roman" w:hAnsi="Times New Roman"/>
              </w:rPr>
              <w:t>.002</w:t>
            </w:r>
          </w:p>
        </w:tc>
        <w:tc>
          <w:tcPr>
            <w:tcW w:w="1143" w:type="dxa"/>
          </w:tcPr>
          <w:p w14:paraId="06E3C03E" w14:textId="77777777" w:rsidR="00813338" w:rsidRPr="008B1465" w:rsidRDefault="00813338" w:rsidP="00F933ED">
            <w:pPr>
              <w:jc w:val="center"/>
              <w:rPr>
                <w:rFonts w:ascii="Times New Roman" w:hAnsi="Times New Roman"/>
              </w:rPr>
            </w:pPr>
            <w:r w:rsidRPr="008B1465">
              <w:rPr>
                <w:rFonts w:ascii="Times New Roman" w:hAnsi="Times New Roman"/>
              </w:rPr>
              <w:t>.983</w:t>
            </w:r>
          </w:p>
        </w:tc>
        <w:tc>
          <w:tcPr>
            <w:tcW w:w="1191" w:type="dxa"/>
          </w:tcPr>
          <w:p w14:paraId="6A52C351" w14:textId="77777777" w:rsidR="00813338" w:rsidRPr="008B1465" w:rsidRDefault="00813338" w:rsidP="00F933ED">
            <w:pPr>
              <w:jc w:val="center"/>
              <w:rPr>
                <w:rFonts w:ascii="Times New Roman" w:hAnsi="Times New Roman"/>
              </w:rPr>
            </w:pPr>
            <w:r w:rsidRPr="008B1465">
              <w:rPr>
                <w:rFonts w:ascii="Times New Roman" w:hAnsi="Times New Roman"/>
              </w:rPr>
              <w:t>1.017</w:t>
            </w:r>
          </w:p>
        </w:tc>
      </w:tr>
      <w:tr w:rsidR="00813338" w:rsidRPr="008B1465" w14:paraId="3230A817" w14:textId="77777777" w:rsidTr="00FC03FB">
        <w:tc>
          <w:tcPr>
            <w:tcW w:w="1404" w:type="dxa"/>
          </w:tcPr>
          <w:p w14:paraId="3E99191C" w14:textId="77777777" w:rsidR="00813338" w:rsidRPr="008B1465" w:rsidRDefault="00813338" w:rsidP="00F933ED">
            <w:pPr>
              <w:jc w:val="center"/>
              <w:rPr>
                <w:rFonts w:ascii="Times New Roman" w:hAnsi="Times New Roman"/>
                <w:b/>
                <w:bCs/>
              </w:rPr>
            </w:pPr>
            <w:r w:rsidRPr="008B1465">
              <w:rPr>
                <w:rFonts w:ascii="Times New Roman" w:hAnsi="Times New Roman"/>
                <w:b/>
                <w:bCs/>
              </w:rPr>
              <w:t>IF</w:t>
            </w:r>
          </w:p>
        </w:tc>
        <w:tc>
          <w:tcPr>
            <w:tcW w:w="936" w:type="dxa"/>
          </w:tcPr>
          <w:p w14:paraId="12653000" w14:textId="4C867D97" w:rsidR="00813338" w:rsidRPr="008B1465" w:rsidRDefault="00B37F8B" w:rsidP="00F933ED">
            <w:pPr>
              <w:jc w:val="center"/>
              <w:rPr>
                <w:rFonts w:ascii="Times New Roman" w:hAnsi="Times New Roman"/>
              </w:rPr>
            </w:pPr>
            <w:r>
              <w:rPr>
                <w:rFonts w:ascii="Times New Roman" w:hAnsi="Times New Roman"/>
              </w:rPr>
              <w:t>-.612</w:t>
            </w:r>
          </w:p>
        </w:tc>
        <w:tc>
          <w:tcPr>
            <w:tcW w:w="1327" w:type="dxa"/>
          </w:tcPr>
          <w:p w14:paraId="4EEF27E5" w14:textId="77777777" w:rsidR="00813338" w:rsidRPr="008B1465" w:rsidRDefault="00813338" w:rsidP="00F933ED">
            <w:pPr>
              <w:jc w:val="center"/>
              <w:rPr>
                <w:rFonts w:ascii="Times New Roman" w:hAnsi="Times New Roman"/>
              </w:rPr>
            </w:pPr>
            <w:r w:rsidRPr="008B1465">
              <w:rPr>
                <w:rFonts w:ascii="Times New Roman" w:hAnsi="Times New Roman"/>
              </w:rPr>
              <w:t>-.575</w:t>
            </w:r>
          </w:p>
        </w:tc>
        <w:tc>
          <w:tcPr>
            <w:tcW w:w="240" w:type="dxa"/>
          </w:tcPr>
          <w:p w14:paraId="47DA695D" w14:textId="77777777" w:rsidR="00813338" w:rsidRPr="008B1465" w:rsidRDefault="00813338" w:rsidP="00F933ED">
            <w:pPr>
              <w:jc w:val="center"/>
              <w:rPr>
                <w:rFonts w:ascii="Times New Roman" w:hAnsi="Times New Roman"/>
              </w:rPr>
            </w:pPr>
          </w:p>
        </w:tc>
        <w:tc>
          <w:tcPr>
            <w:tcW w:w="1976" w:type="dxa"/>
          </w:tcPr>
          <w:p w14:paraId="2108E137" w14:textId="77777777" w:rsidR="00813338" w:rsidRPr="008B1465" w:rsidRDefault="00813338" w:rsidP="00F933ED">
            <w:pPr>
              <w:jc w:val="center"/>
              <w:rPr>
                <w:rFonts w:ascii="Times New Roman" w:hAnsi="Times New Roman"/>
              </w:rPr>
            </w:pPr>
            <w:r w:rsidRPr="008B1465">
              <w:rPr>
                <w:rFonts w:ascii="Times New Roman" w:hAnsi="Times New Roman"/>
              </w:rPr>
              <w:t>-18.427</w:t>
            </w:r>
          </w:p>
        </w:tc>
        <w:tc>
          <w:tcPr>
            <w:tcW w:w="1143" w:type="dxa"/>
          </w:tcPr>
          <w:p w14:paraId="6CB4B8F2" w14:textId="77777777" w:rsidR="00813338" w:rsidRPr="008B1465" w:rsidRDefault="00813338" w:rsidP="00F933ED">
            <w:pPr>
              <w:jc w:val="center"/>
              <w:rPr>
                <w:rFonts w:ascii="Times New Roman" w:hAnsi="Times New Roman"/>
              </w:rPr>
            </w:pPr>
            <w:r w:rsidRPr="008B1465">
              <w:rPr>
                <w:rFonts w:ascii="Times New Roman" w:hAnsi="Times New Roman"/>
              </w:rPr>
              <w:t>.000</w:t>
            </w:r>
          </w:p>
        </w:tc>
        <w:tc>
          <w:tcPr>
            <w:tcW w:w="1143" w:type="dxa"/>
          </w:tcPr>
          <w:p w14:paraId="6C27FE11" w14:textId="77777777" w:rsidR="00813338" w:rsidRPr="008B1465" w:rsidRDefault="00813338" w:rsidP="00F933ED">
            <w:pPr>
              <w:jc w:val="center"/>
              <w:rPr>
                <w:rFonts w:ascii="Times New Roman" w:hAnsi="Times New Roman"/>
              </w:rPr>
            </w:pPr>
            <w:r w:rsidRPr="008B1465">
              <w:rPr>
                <w:rFonts w:ascii="Times New Roman" w:hAnsi="Times New Roman"/>
              </w:rPr>
              <w:t>.586</w:t>
            </w:r>
          </w:p>
        </w:tc>
        <w:tc>
          <w:tcPr>
            <w:tcW w:w="1191" w:type="dxa"/>
          </w:tcPr>
          <w:p w14:paraId="554AD094" w14:textId="77777777" w:rsidR="00813338" w:rsidRPr="008B1465" w:rsidRDefault="00813338" w:rsidP="00F933ED">
            <w:pPr>
              <w:jc w:val="center"/>
              <w:rPr>
                <w:rFonts w:ascii="Times New Roman" w:hAnsi="Times New Roman"/>
              </w:rPr>
            </w:pPr>
            <w:r w:rsidRPr="008B1465">
              <w:rPr>
                <w:rFonts w:ascii="Times New Roman" w:hAnsi="Times New Roman"/>
              </w:rPr>
              <w:t>1.707</w:t>
            </w:r>
          </w:p>
        </w:tc>
      </w:tr>
      <w:tr w:rsidR="00813338" w:rsidRPr="008B1465" w14:paraId="15A91BF4" w14:textId="77777777" w:rsidTr="00FC03FB">
        <w:tc>
          <w:tcPr>
            <w:tcW w:w="1404" w:type="dxa"/>
          </w:tcPr>
          <w:p w14:paraId="0FAD4A88" w14:textId="77777777" w:rsidR="00813338" w:rsidRPr="008B1465" w:rsidRDefault="00813338" w:rsidP="00F933ED">
            <w:pPr>
              <w:jc w:val="center"/>
              <w:rPr>
                <w:rFonts w:ascii="Times New Roman" w:hAnsi="Times New Roman"/>
                <w:b/>
                <w:bCs/>
              </w:rPr>
            </w:pPr>
            <w:r w:rsidRPr="008B1465">
              <w:rPr>
                <w:rFonts w:ascii="Times New Roman" w:hAnsi="Times New Roman"/>
                <w:b/>
                <w:bCs/>
              </w:rPr>
              <w:t>LS</w:t>
            </w:r>
          </w:p>
        </w:tc>
        <w:tc>
          <w:tcPr>
            <w:tcW w:w="936" w:type="dxa"/>
          </w:tcPr>
          <w:p w14:paraId="06110486" w14:textId="50EF56B5" w:rsidR="00813338" w:rsidRPr="008B1465" w:rsidRDefault="00B37F8B" w:rsidP="00F933ED">
            <w:pPr>
              <w:jc w:val="center"/>
              <w:rPr>
                <w:rFonts w:ascii="Times New Roman" w:hAnsi="Times New Roman"/>
              </w:rPr>
            </w:pPr>
            <w:r>
              <w:rPr>
                <w:rFonts w:ascii="Times New Roman" w:hAnsi="Times New Roman"/>
              </w:rPr>
              <w:t>-.345</w:t>
            </w:r>
          </w:p>
        </w:tc>
        <w:tc>
          <w:tcPr>
            <w:tcW w:w="1327" w:type="dxa"/>
          </w:tcPr>
          <w:p w14:paraId="55E7363C" w14:textId="77777777" w:rsidR="00813338" w:rsidRPr="008B1465" w:rsidRDefault="00813338" w:rsidP="00F933ED">
            <w:pPr>
              <w:jc w:val="center"/>
              <w:rPr>
                <w:rFonts w:ascii="Times New Roman" w:hAnsi="Times New Roman"/>
              </w:rPr>
            </w:pPr>
            <w:r w:rsidRPr="008B1465">
              <w:rPr>
                <w:rFonts w:ascii="Times New Roman" w:hAnsi="Times New Roman"/>
              </w:rPr>
              <w:t>-.072</w:t>
            </w:r>
          </w:p>
        </w:tc>
        <w:tc>
          <w:tcPr>
            <w:tcW w:w="240" w:type="dxa"/>
          </w:tcPr>
          <w:p w14:paraId="2218866C" w14:textId="77777777" w:rsidR="00813338" w:rsidRPr="008B1465" w:rsidRDefault="00813338" w:rsidP="00F933ED">
            <w:pPr>
              <w:jc w:val="center"/>
              <w:rPr>
                <w:rFonts w:ascii="Times New Roman" w:hAnsi="Times New Roman"/>
              </w:rPr>
            </w:pPr>
          </w:p>
        </w:tc>
        <w:tc>
          <w:tcPr>
            <w:tcW w:w="1976" w:type="dxa"/>
          </w:tcPr>
          <w:p w14:paraId="21E9A2EB" w14:textId="77777777" w:rsidR="00813338" w:rsidRPr="008B1465" w:rsidRDefault="00813338" w:rsidP="00F933ED">
            <w:pPr>
              <w:jc w:val="center"/>
              <w:rPr>
                <w:rFonts w:ascii="Times New Roman" w:hAnsi="Times New Roman"/>
              </w:rPr>
            </w:pPr>
            <w:r w:rsidRPr="008B1465">
              <w:rPr>
                <w:rFonts w:ascii="Times New Roman" w:hAnsi="Times New Roman"/>
              </w:rPr>
              <w:t>-3.011</w:t>
            </w:r>
          </w:p>
        </w:tc>
        <w:tc>
          <w:tcPr>
            <w:tcW w:w="1143" w:type="dxa"/>
          </w:tcPr>
          <w:p w14:paraId="1B1BE85E" w14:textId="77777777" w:rsidR="00813338" w:rsidRPr="008B1465" w:rsidRDefault="00813338" w:rsidP="00F933ED">
            <w:pPr>
              <w:jc w:val="center"/>
              <w:rPr>
                <w:rFonts w:ascii="Times New Roman" w:hAnsi="Times New Roman"/>
              </w:rPr>
            </w:pPr>
            <w:r w:rsidRPr="008B1465">
              <w:rPr>
                <w:rFonts w:ascii="Times New Roman" w:hAnsi="Times New Roman"/>
              </w:rPr>
              <w:t>.003</w:t>
            </w:r>
          </w:p>
        </w:tc>
        <w:tc>
          <w:tcPr>
            <w:tcW w:w="1143" w:type="dxa"/>
          </w:tcPr>
          <w:p w14:paraId="18AE0D35" w14:textId="77777777" w:rsidR="00813338" w:rsidRPr="008B1465" w:rsidRDefault="00813338" w:rsidP="00F933ED">
            <w:pPr>
              <w:jc w:val="center"/>
              <w:rPr>
                <w:rFonts w:ascii="Times New Roman" w:hAnsi="Times New Roman"/>
              </w:rPr>
            </w:pPr>
            <w:r w:rsidRPr="008B1465">
              <w:rPr>
                <w:rFonts w:ascii="Times New Roman" w:hAnsi="Times New Roman"/>
              </w:rPr>
              <w:t>.989</w:t>
            </w:r>
          </w:p>
        </w:tc>
        <w:tc>
          <w:tcPr>
            <w:tcW w:w="1191" w:type="dxa"/>
          </w:tcPr>
          <w:p w14:paraId="683D606D" w14:textId="77777777" w:rsidR="00813338" w:rsidRPr="008B1465" w:rsidRDefault="00813338" w:rsidP="00F933ED">
            <w:pPr>
              <w:jc w:val="center"/>
              <w:rPr>
                <w:rFonts w:ascii="Times New Roman" w:hAnsi="Times New Roman"/>
              </w:rPr>
            </w:pPr>
            <w:r w:rsidRPr="008B1465">
              <w:rPr>
                <w:rFonts w:ascii="Times New Roman" w:hAnsi="Times New Roman"/>
              </w:rPr>
              <w:t>1.012</w:t>
            </w:r>
          </w:p>
        </w:tc>
      </w:tr>
      <w:tr w:rsidR="00813338" w:rsidRPr="008B1465" w14:paraId="4249707F" w14:textId="77777777" w:rsidTr="00FC03FB">
        <w:tc>
          <w:tcPr>
            <w:tcW w:w="1404" w:type="dxa"/>
            <w:tcBorders>
              <w:bottom w:val="nil"/>
            </w:tcBorders>
          </w:tcPr>
          <w:p w14:paraId="13A217C4" w14:textId="77777777" w:rsidR="00813338" w:rsidRPr="008B1465" w:rsidRDefault="00813338" w:rsidP="00F933ED">
            <w:pPr>
              <w:jc w:val="center"/>
              <w:rPr>
                <w:rFonts w:ascii="Times New Roman" w:hAnsi="Times New Roman"/>
                <w:b/>
                <w:bCs/>
              </w:rPr>
            </w:pPr>
            <w:r w:rsidRPr="008B1465">
              <w:rPr>
                <w:rFonts w:ascii="Times New Roman" w:hAnsi="Times New Roman"/>
                <w:b/>
                <w:bCs/>
              </w:rPr>
              <w:t>ADE</w:t>
            </w:r>
          </w:p>
        </w:tc>
        <w:tc>
          <w:tcPr>
            <w:tcW w:w="936" w:type="dxa"/>
            <w:tcBorders>
              <w:bottom w:val="nil"/>
            </w:tcBorders>
          </w:tcPr>
          <w:p w14:paraId="4C766F8D" w14:textId="3B883F78" w:rsidR="00813338" w:rsidRPr="008B1465" w:rsidRDefault="00B37F8B" w:rsidP="00F933ED">
            <w:pPr>
              <w:jc w:val="center"/>
              <w:rPr>
                <w:rFonts w:ascii="Times New Roman" w:hAnsi="Times New Roman"/>
              </w:rPr>
            </w:pPr>
            <w:r>
              <w:rPr>
                <w:rFonts w:ascii="Times New Roman" w:hAnsi="Times New Roman"/>
              </w:rPr>
              <w:t>2.</w:t>
            </w:r>
            <w:r w:rsidR="004B1716">
              <w:rPr>
                <w:rFonts w:ascii="Times New Roman" w:hAnsi="Times New Roman"/>
              </w:rPr>
              <w:t>410</w:t>
            </w:r>
          </w:p>
        </w:tc>
        <w:tc>
          <w:tcPr>
            <w:tcW w:w="1327" w:type="dxa"/>
            <w:tcBorders>
              <w:bottom w:val="nil"/>
            </w:tcBorders>
          </w:tcPr>
          <w:p w14:paraId="76A25AA6" w14:textId="77777777" w:rsidR="00813338" w:rsidRPr="008B1465" w:rsidRDefault="00813338" w:rsidP="00F933ED">
            <w:pPr>
              <w:jc w:val="center"/>
              <w:rPr>
                <w:rFonts w:ascii="Times New Roman" w:hAnsi="Times New Roman"/>
              </w:rPr>
            </w:pPr>
            <w:r w:rsidRPr="008B1465">
              <w:rPr>
                <w:rFonts w:ascii="Times New Roman" w:hAnsi="Times New Roman"/>
              </w:rPr>
              <w:t>1.141</w:t>
            </w:r>
          </w:p>
        </w:tc>
        <w:tc>
          <w:tcPr>
            <w:tcW w:w="240" w:type="dxa"/>
            <w:tcBorders>
              <w:bottom w:val="nil"/>
            </w:tcBorders>
          </w:tcPr>
          <w:p w14:paraId="4D7C77C2" w14:textId="77777777" w:rsidR="00813338" w:rsidRPr="008B1465" w:rsidRDefault="00813338" w:rsidP="00F933ED">
            <w:pPr>
              <w:jc w:val="center"/>
              <w:rPr>
                <w:rFonts w:ascii="Times New Roman" w:hAnsi="Times New Roman"/>
              </w:rPr>
            </w:pPr>
          </w:p>
        </w:tc>
        <w:tc>
          <w:tcPr>
            <w:tcW w:w="1976" w:type="dxa"/>
            <w:tcBorders>
              <w:bottom w:val="nil"/>
            </w:tcBorders>
          </w:tcPr>
          <w:p w14:paraId="3B0B2538" w14:textId="77777777" w:rsidR="00813338" w:rsidRPr="008B1465" w:rsidRDefault="00813338" w:rsidP="00F933ED">
            <w:pPr>
              <w:jc w:val="center"/>
              <w:rPr>
                <w:rFonts w:ascii="Times New Roman" w:hAnsi="Times New Roman"/>
              </w:rPr>
            </w:pPr>
            <w:r w:rsidRPr="008B1465">
              <w:rPr>
                <w:rFonts w:ascii="Times New Roman" w:hAnsi="Times New Roman"/>
              </w:rPr>
              <w:t>36.776</w:t>
            </w:r>
          </w:p>
        </w:tc>
        <w:tc>
          <w:tcPr>
            <w:tcW w:w="1143" w:type="dxa"/>
            <w:tcBorders>
              <w:bottom w:val="nil"/>
            </w:tcBorders>
          </w:tcPr>
          <w:p w14:paraId="359FA3B8" w14:textId="77777777" w:rsidR="00813338" w:rsidRPr="008B1465" w:rsidRDefault="00813338" w:rsidP="00F933ED">
            <w:pPr>
              <w:jc w:val="center"/>
              <w:rPr>
                <w:rFonts w:ascii="Times New Roman" w:hAnsi="Times New Roman"/>
              </w:rPr>
            </w:pPr>
            <w:r w:rsidRPr="008B1465">
              <w:rPr>
                <w:rFonts w:ascii="Times New Roman" w:hAnsi="Times New Roman"/>
              </w:rPr>
              <w:t>.000</w:t>
            </w:r>
          </w:p>
        </w:tc>
        <w:tc>
          <w:tcPr>
            <w:tcW w:w="1143" w:type="dxa"/>
            <w:tcBorders>
              <w:bottom w:val="nil"/>
            </w:tcBorders>
          </w:tcPr>
          <w:p w14:paraId="4858A388" w14:textId="77777777" w:rsidR="00813338" w:rsidRPr="008B1465" w:rsidRDefault="00813338" w:rsidP="00F933ED">
            <w:pPr>
              <w:jc w:val="center"/>
              <w:rPr>
                <w:rFonts w:ascii="Times New Roman" w:hAnsi="Times New Roman"/>
              </w:rPr>
            </w:pPr>
            <w:r w:rsidRPr="008B1465">
              <w:rPr>
                <w:rFonts w:ascii="Times New Roman" w:hAnsi="Times New Roman"/>
              </w:rPr>
              <w:t>.592</w:t>
            </w:r>
          </w:p>
        </w:tc>
        <w:tc>
          <w:tcPr>
            <w:tcW w:w="1191" w:type="dxa"/>
            <w:tcBorders>
              <w:bottom w:val="nil"/>
            </w:tcBorders>
          </w:tcPr>
          <w:p w14:paraId="0B868282" w14:textId="77777777" w:rsidR="00813338" w:rsidRPr="008B1465" w:rsidRDefault="00813338" w:rsidP="00F933ED">
            <w:pPr>
              <w:jc w:val="center"/>
              <w:rPr>
                <w:rFonts w:ascii="Times New Roman" w:hAnsi="Times New Roman"/>
              </w:rPr>
            </w:pPr>
            <w:r w:rsidRPr="008B1465">
              <w:rPr>
                <w:rFonts w:ascii="Times New Roman" w:hAnsi="Times New Roman"/>
              </w:rPr>
              <w:t>1.689</w:t>
            </w:r>
          </w:p>
        </w:tc>
      </w:tr>
      <w:tr w:rsidR="00813338" w:rsidRPr="008B1465" w14:paraId="6C1958EA" w14:textId="77777777" w:rsidTr="00B738FC">
        <w:trPr>
          <w:trHeight w:val="838"/>
        </w:trPr>
        <w:tc>
          <w:tcPr>
            <w:tcW w:w="9360" w:type="dxa"/>
            <w:gridSpan w:val="8"/>
            <w:tcBorders>
              <w:top w:val="nil"/>
              <w:bottom w:val="single" w:sz="4" w:space="0" w:color="auto"/>
            </w:tcBorders>
          </w:tcPr>
          <w:p w14:paraId="166D859E" w14:textId="77777777" w:rsidR="00813338" w:rsidRPr="008B1465" w:rsidRDefault="00813338" w:rsidP="00F933ED">
            <w:pPr>
              <w:spacing w:before="0" w:beforeAutospacing="0" w:after="0" w:line="240" w:lineRule="auto"/>
              <w:ind w:left="-17" w:hanging="90"/>
              <w:rPr>
                <w:rFonts w:ascii="Times New Roman" w:hAnsi="Times New Roman"/>
                <w:b/>
                <w:bCs/>
                <w:sz w:val="18"/>
                <w:szCs w:val="18"/>
              </w:rPr>
            </w:pPr>
            <w:r w:rsidRPr="008B1465">
              <w:rPr>
                <w:rFonts w:ascii="Times New Roman" w:hAnsi="Times New Roman"/>
                <w:b/>
                <w:bCs/>
                <w:sz w:val="18"/>
                <w:szCs w:val="18"/>
              </w:rPr>
              <w:t>R</w:t>
            </w:r>
            <w:r w:rsidRPr="008B1465">
              <w:rPr>
                <w:rFonts w:ascii="Times New Roman" w:hAnsi="Times New Roman"/>
                <w:b/>
                <w:bCs/>
                <w:sz w:val="18"/>
                <w:szCs w:val="18"/>
                <w:vertAlign w:val="superscript"/>
              </w:rPr>
              <w:t xml:space="preserve">2 </w:t>
            </w:r>
            <w:r w:rsidRPr="008B1465">
              <w:rPr>
                <w:rFonts w:ascii="Times New Roman" w:hAnsi="Times New Roman"/>
                <w:b/>
                <w:bCs/>
                <w:sz w:val="18"/>
                <w:szCs w:val="18"/>
              </w:rPr>
              <w:t>= .795</w:t>
            </w:r>
          </w:p>
          <w:p w14:paraId="02ABAAD6" w14:textId="77777777" w:rsidR="00813338" w:rsidRPr="008B1465" w:rsidRDefault="00813338" w:rsidP="00F933ED">
            <w:pPr>
              <w:spacing w:before="0" w:beforeAutospacing="0" w:after="0" w:line="240" w:lineRule="auto"/>
              <w:ind w:left="-17" w:hanging="90"/>
              <w:rPr>
                <w:rFonts w:ascii="Times New Roman" w:hAnsi="Times New Roman"/>
                <w:b/>
                <w:bCs/>
                <w:sz w:val="18"/>
                <w:szCs w:val="18"/>
              </w:rPr>
            </w:pPr>
            <w:r w:rsidRPr="008B1465">
              <w:rPr>
                <w:rFonts w:ascii="Times New Roman" w:hAnsi="Times New Roman"/>
                <w:b/>
                <w:bCs/>
                <w:sz w:val="18"/>
                <w:szCs w:val="18"/>
              </w:rPr>
              <w:t>Adj. R</w:t>
            </w:r>
            <w:r w:rsidRPr="008B1465">
              <w:rPr>
                <w:rFonts w:ascii="Times New Roman" w:hAnsi="Times New Roman"/>
                <w:b/>
                <w:bCs/>
                <w:sz w:val="18"/>
                <w:szCs w:val="18"/>
                <w:vertAlign w:val="superscript"/>
              </w:rPr>
              <w:t xml:space="preserve">2 </w:t>
            </w:r>
            <w:r w:rsidRPr="008B1465">
              <w:rPr>
                <w:rFonts w:ascii="Times New Roman" w:hAnsi="Times New Roman"/>
                <w:b/>
                <w:bCs/>
                <w:sz w:val="18"/>
                <w:szCs w:val="18"/>
              </w:rPr>
              <w:t>= .793</w:t>
            </w:r>
          </w:p>
          <w:p w14:paraId="0EC57C35" w14:textId="77777777" w:rsidR="00813338" w:rsidRPr="008B1465" w:rsidRDefault="00813338" w:rsidP="00F933ED">
            <w:pPr>
              <w:spacing w:before="0" w:beforeAutospacing="0" w:after="0" w:line="240" w:lineRule="auto"/>
              <w:ind w:left="-17" w:hanging="90"/>
              <w:rPr>
                <w:rFonts w:ascii="Times New Roman" w:hAnsi="Times New Roman"/>
                <w:b/>
                <w:bCs/>
                <w:sz w:val="18"/>
                <w:szCs w:val="18"/>
              </w:rPr>
            </w:pPr>
            <w:r w:rsidRPr="008B1465">
              <w:rPr>
                <w:rFonts w:ascii="Times New Roman" w:hAnsi="Times New Roman"/>
                <w:b/>
                <w:bCs/>
                <w:sz w:val="18"/>
                <w:szCs w:val="18"/>
              </w:rPr>
              <w:t>F (4,359) = 348.985</w:t>
            </w:r>
          </w:p>
          <w:p w14:paraId="493AB407" w14:textId="77777777" w:rsidR="00813338" w:rsidRPr="008B1465" w:rsidRDefault="00813338" w:rsidP="00F933ED">
            <w:pPr>
              <w:spacing w:before="0" w:beforeAutospacing="0" w:after="0" w:line="240" w:lineRule="auto"/>
              <w:ind w:left="-17" w:hanging="90"/>
              <w:rPr>
                <w:rFonts w:ascii="Times New Roman" w:hAnsi="Times New Roman"/>
                <w:b/>
                <w:bCs/>
                <w:sz w:val="18"/>
                <w:szCs w:val="18"/>
              </w:rPr>
            </w:pPr>
            <w:r w:rsidRPr="008B1465">
              <w:rPr>
                <w:rFonts w:ascii="Times New Roman" w:hAnsi="Times New Roman"/>
                <w:b/>
                <w:bCs/>
                <w:sz w:val="18"/>
                <w:szCs w:val="18"/>
              </w:rPr>
              <w:t>Sig= 0.0019</w:t>
            </w:r>
          </w:p>
        </w:tc>
      </w:tr>
    </w:tbl>
    <w:p w14:paraId="23750A30" w14:textId="77777777" w:rsidR="00813338" w:rsidRPr="008B1465" w:rsidRDefault="00813338" w:rsidP="00813338">
      <w:pPr>
        <w:spacing w:before="0" w:beforeAutospacing="0" w:after="0" w:line="240" w:lineRule="auto"/>
        <w:jc w:val="both"/>
        <w:rPr>
          <w:rFonts w:ascii="Times New Roman" w:hAnsi="Times New Roman"/>
          <w:b/>
          <w:bCs/>
          <w:sz w:val="18"/>
          <w:szCs w:val="18"/>
        </w:rPr>
      </w:pPr>
      <w:r w:rsidRPr="008B1465">
        <w:rPr>
          <w:rFonts w:ascii="Times New Roman" w:hAnsi="Times New Roman"/>
          <w:b/>
          <w:bCs/>
          <w:sz w:val="18"/>
          <w:szCs w:val="18"/>
        </w:rPr>
        <w:t>Durbin-Watson =1.918</w:t>
      </w:r>
    </w:p>
    <w:p w14:paraId="3AED0D95" w14:textId="51807D94" w:rsidR="00813338" w:rsidRPr="00813338" w:rsidRDefault="00813338" w:rsidP="00813338">
      <w:pPr>
        <w:pStyle w:val="NoSpacing"/>
        <w:rPr>
          <w:rFonts w:ascii="Times New Roman" w:hAnsi="Times New Roman"/>
          <w:b/>
          <w:bCs/>
          <w:sz w:val="18"/>
          <w:szCs w:val="18"/>
        </w:rPr>
      </w:pPr>
      <w:r w:rsidRPr="008B1465">
        <w:rPr>
          <w:rFonts w:ascii="Times New Roman" w:hAnsi="Times New Roman"/>
          <w:b/>
          <w:bCs/>
          <w:sz w:val="18"/>
          <w:szCs w:val="18"/>
        </w:rPr>
        <w:t xml:space="preserve">Source: Researchers’ Computation 2023, SPSS 25.0 </w:t>
      </w:r>
    </w:p>
    <w:p w14:paraId="6095606C" w14:textId="3544D48B" w:rsidR="00234521" w:rsidRPr="008B1465" w:rsidRDefault="00234521" w:rsidP="00234521">
      <w:pPr>
        <w:spacing w:after="0" w:line="360" w:lineRule="auto"/>
        <w:jc w:val="both"/>
        <w:rPr>
          <w:rFonts w:ascii="Times New Roman" w:hAnsi="Times New Roman"/>
          <w:sz w:val="24"/>
          <w:szCs w:val="24"/>
        </w:rPr>
      </w:pPr>
      <w:r w:rsidRPr="008B1465">
        <w:rPr>
          <w:rFonts w:ascii="Times New Roman" w:hAnsi="Times New Roman"/>
          <w:sz w:val="24"/>
          <w:szCs w:val="24"/>
        </w:rPr>
        <w:t>Table 4.1</w:t>
      </w:r>
      <w:r w:rsidR="00B41BFD">
        <w:rPr>
          <w:rFonts w:ascii="Times New Roman" w:hAnsi="Times New Roman"/>
          <w:sz w:val="24"/>
          <w:szCs w:val="24"/>
        </w:rPr>
        <w:t>2</w:t>
      </w:r>
      <w:r w:rsidRPr="008B1465">
        <w:rPr>
          <w:rFonts w:ascii="Times New Roman" w:hAnsi="Times New Roman"/>
          <w:sz w:val="24"/>
          <w:szCs w:val="24"/>
        </w:rPr>
        <w:t xml:space="preserve"> examined the influence of forensic accounting on fund misappropriation among federal universities in Southwest, Nigeria. The factors considered were; surprise cash count practices, investigation of fraud, litigation services, and accounting and digital environment. Multiple linear regression was employed to investigate the influence of forensic accounting on fund misappropriation. In order not to violate the assumptions of ordinary least squares, collinearity and serial auto correlation diagnostic statistics were computed (Table 4.1</w:t>
      </w:r>
      <w:r w:rsidR="003C5586">
        <w:rPr>
          <w:rFonts w:ascii="Times New Roman" w:hAnsi="Times New Roman"/>
          <w:sz w:val="24"/>
          <w:szCs w:val="24"/>
        </w:rPr>
        <w:t>2</w:t>
      </w:r>
      <w:r w:rsidRPr="008B1465">
        <w:rPr>
          <w:rFonts w:ascii="Times New Roman" w:hAnsi="Times New Roman"/>
          <w:sz w:val="24"/>
          <w:szCs w:val="24"/>
        </w:rPr>
        <w:t xml:space="preserve">). </w:t>
      </w:r>
    </w:p>
    <w:p w14:paraId="38E50D14" w14:textId="25FABEF8" w:rsidR="0005633F" w:rsidRPr="008B1465" w:rsidRDefault="0005633F" w:rsidP="0005633F">
      <w:pPr>
        <w:spacing w:after="0" w:line="360" w:lineRule="auto"/>
        <w:jc w:val="both"/>
        <w:rPr>
          <w:rFonts w:ascii="Times New Roman" w:hAnsi="Times New Roman"/>
          <w:sz w:val="24"/>
          <w:szCs w:val="24"/>
          <w:vertAlign w:val="superscript"/>
        </w:rPr>
      </w:pPr>
      <w:r w:rsidRPr="008B1465">
        <w:rPr>
          <w:rFonts w:ascii="Times New Roman" w:hAnsi="Times New Roman"/>
          <w:sz w:val="24"/>
          <w:szCs w:val="24"/>
        </w:rPr>
        <w:t>The result showed that Variance Inflation Factor (VIF) ranges from 1.012 to 1.707 which is far lower than the ‘10’ upper limit and the tolerance values ranges from .586 to .989 which is far higher than 0.1 indicates that there is no problem of multicollinearity (Douglas, Williams &amp; Samuel, 2010). Durbin-Watson value of less than 2 is an indication of serial auto correlation, however, values closed to 2 suggest lack of auto correlation. In this, analysis, Durbin-Watson value is 1.918, this implies that there is no evidence of serial auto correlation</w:t>
      </w:r>
      <w:r w:rsidR="007665FD" w:rsidRPr="008B1465">
        <w:rPr>
          <w:rFonts w:ascii="Times New Roman" w:hAnsi="Times New Roman"/>
          <w:sz w:val="24"/>
          <w:szCs w:val="24"/>
        </w:rPr>
        <w:t xml:space="preserve"> in the model.</w:t>
      </w:r>
    </w:p>
    <w:p w14:paraId="0A73F2EE" w14:textId="77777777" w:rsidR="00234521" w:rsidRPr="008B1465" w:rsidRDefault="00234521" w:rsidP="00234521">
      <w:pPr>
        <w:spacing w:after="0" w:line="360" w:lineRule="auto"/>
        <w:jc w:val="both"/>
        <w:rPr>
          <w:rFonts w:ascii="Times New Roman" w:hAnsi="Times New Roman"/>
          <w:sz w:val="24"/>
          <w:szCs w:val="24"/>
        </w:rPr>
      </w:pPr>
      <w:r w:rsidRPr="008B1465">
        <w:rPr>
          <w:rFonts w:ascii="Times New Roman" w:hAnsi="Times New Roman"/>
          <w:sz w:val="24"/>
          <w:szCs w:val="24"/>
        </w:rPr>
        <w:t>The linear grouping of the predictor fund misappropriation, R</w:t>
      </w:r>
      <w:r w:rsidRPr="008B1465">
        <w:rPr>
          <w:rFonts w:ascii="Times New Roman" w:hAnsi="Times New Roman"/>
          <w:sz w:val="24"/>
          <w:szCs w:val="24"/>
          <w:vertAlign w:val="superscript"/>
        </w:rPr>
        <w:t xml:space="preserve">2 </w:t>
      </w:r>
      <w:r w:rsidRPr="008B1465">
        <w:rPr>
          <w:rFonts w:ascii="Times New Roman" w:hAnsi="Times New Roman"/>
          <w:sz w:val="24"/>
          <w:szCs w:val="24"/>
        </w:rPr>
        <w:t xml:space="preserve">= .795, F (4,359) = 348.99, p&lt; .05. The model also accounted for 79.5% of variation in fund misappropriation in the study area.  The coefficients of the regression model when considering the elements of forensic accounting techniques that predict fund misappropriation shows that SCCP (β = -.075, t= -3.097, p&lt;.05), IF (β= -.575, t= -18.43, p&lt;.05), LS (β= -.072, t= -3.011, p&lt; .05), and ADE (β=1.141, t= 36.77, p&lt; .05) significantly impacted on fund misappropriation. Three of these factors; SCCP, IF and LS show inverse relationship with fund misappropriation. </w:t>
      </w:r>
    </w:p>
    <w:p w14:paraId="1D3B5101" w14:textId="3A9A5DE7" w:rsidR="00234521" w:rsidRDefault="00234521" w:rsidP="00234521">
      <w:pPr>
        <w:spacing w:after="0" w:line="360" w:lineRule="auto"/>
        <w:jc w:val="both"/>
        <w:rPr>
          <w:rFonts w:ascii="Times New Roman" w:hAnsi="Times New Roman"/>
          <w:sz w:val="24"/>
          <w:szCs w:val="24"/>
        </w:rPr>
      </w:pPr>
      <w:r w:rsidRPr="008B1465">
        <w:rPr>
          <w:rFonts w:ascii="Times New Roman" w:hAnsi="Times New Roman"/>
          <w:sz w:val="24"/>
          <w:szCs w:val="24"/>
        </w:rPr>
        <w:t>The implication is that as more and more efforts are made on forensic accounting process in the study area, there will be less incidence of fund misappropriation. In other words, if more fund is incurred on forensic accounting process in the organisation under study, fund misappropriation will be reducing. Meanwhile, Accounting and Digital Environment (ADE) and Fund Misappropriation (FM) shows increasing function, although statistically significant. This simply means that Accounting and Digital Environment (ADE) is not an effective tool in mitigating fund misappropriation in the study area.</w:t>
      </w:r>
    </w:p>
    <w:p w14:paraId="4F112E8C" w14:textId="3290EE1E" w:rsidR="006972C5" w:rsidRDefault="006972C5" w:rsidP="00234521">
      <w:pPr>
        <w:spacing w:after="0" w:line="360" w:lineRule="auto"/>
        <w:jc w:val="both"/>
        <w:rPr>
          <w:rFonts w:ascii="Times New Roman" w:hAnsi="Times New Roman"/>
          <w:sz w:val="24"/>
          <w:szCs w:val="24"/>
        </w:rPr>
      </w:pPr>
    </w:p>
    <w:p w14:paraId="7D0BCC69" w14:textId="5C7816E0" w:rsidR="006972C5" w:rsidRDefault="006972C5" w:rsidP="00234521">
      <w:pPr>
        <w:spacing w:after="0" w:line="360" w:lineRule="auto"/>
        <w:jc w:val="both"/>
        <w:rPr>
          <w:rFonts w:ascii="Times New Roman" w:hAnsi="Times New Roman"/>
          <w:sz w:val="24"/>
          <w:szCs w:val="24"/>
        </w:rPr>
      </w:pPr>
    </w:p>
    <w:p w14:paraId="06127774" w14:textId="15B4C834" w:rsidR="006972C5" w:rsidRDefault="006972C5" w:rsidP="00234521">
      <w:pPr>
        <w:spacing w:after="0" w:line="360" w:lineRule="auto"/>
        <w:jc w:val="both"/>
        <w:rPr>
          <w:rFonts w:ascii="Times New Roman" w:hAnsi="Times New Roman"/>
          <w:sz w:val="24"/>
          <w:szCs w:val="24"/>
        </w:rPr>
      </w:pPr>
    </w:p>
    <w:p w14:paraId="53712DB5" w14:textId="280D1F4F" w:rsidR="006972C5" w:rsidRDefault="006972C5" w:rsidP="00234521">
      <w:pPr>
        <w:spacing w:after="0" w:line="360" w:lineRule="auto"/>
        <w:jc w:val="both"/>
        <w:rPr>
          <w:rFonts w:ascii="Times New Roman" w:hAnsi="Times New Roman"/>
          <w:sz w:val="24"/>
          <w:szCs w:val="24"/>
        </w:rPr>
      </w:pPr>
    </w:p>
    <w:p w14:paraId="1A76E59B" w14:textId="77777777" w:rsidR="006972C5" w:rsidRPr="008B1465" w:rsidRDefault="006972C5" w:rsidP="00234521">
      <w:pPr>
        <w:spacing w:after="0" w:line="360" w:lineRule="auto"/>
        <w:jc w:val="both"/>
        <w:rPr>
          <w:rFonts w:ascii="Times New Roman" w:hAnsi="Times New Roman"/>
          <w:sz w:val="24"/>
          <w:szCs w:val="24"/>
        </w:rPr>
      </w:pPr>
    </w:p>
    <w:p w14:paraId="079F6437" w14:textId="14E91A09" w:rsidR="00234521" w:rsidRPr="008B1465" w:rsidRDefault="004D557F" w:rsidP="00234521">
      <w:pPr>
        <w:pStyle w:val="Heading3"/>
      </w:pPr>
      <w:bookmarkStart w:id="127" w:name="_Toc145951128"/>
      <w:r>
        <w:t>Effect of</w:t>
      </w:r>
      <w:r w:rsidR="00234521" w:rsidRPr="008B1465">
        <w:t xml:space="preserve"> Forensic Accounting Techniques </w:t>
      </w:r>
      <w:r w:rsidR="00EF44C4">
        <w:t>on</w:t>
      </w:r>
      <w:r w:rsidR="00234521" w:rsidRPr="008B1465">
        <w:t xml:space="preserve"> Value for Money Practices</w:t>
      </w:r>
      <w:bookmarkEnd w:id="127"/>
    </w:p>
    <w:p w14:paraId="46EDEAAC" w14:textId="191E60AC" w:rsidR="00205B52" w:rsidRPr="00205B52" w:rsidRDefault="00205B52" w:rsidP="006B5702">
      <w:pPr>
        <w:pStyle w:val="Caption"/>
        <w:keepNext/>
        <w:jc w:val="center"/>
        <w:rPr>
          <w:rFonts w:ascii="Times New Roman" w:hAnsi="Times New Roman"/>
          <w:color w:val="000000" w:themeColor="text1"/>
          <w:sz w:val="24"/>
          <w:szCs w:val="24"/>
        </w:rPr>
      </w:pPr>
      <w:bookmarkStart w:id="128" w:name="_Toc145952346"/>
      <w:r w:rsidRPr="009D15BE">
        <w:rPr>
          <w:rFonts w:ascii="Times New Roman" w:hAnsi="Times New Roman"/>
          <w:i w:val="0"/>
          <w:iCs w:val="0"/>
          <w:color w:val="000000" w:themeColor="text1"/>
          <w:sz w:val="24"/>
          <w:szCs w:val="24"/>
        </w:rPr>
        <w:t xml:space="preserve">Table </w:t>
      </w:r>
      <w:r w:rsidR="000F6857" w:rsidRPr="009D15BE">
        <w:rPr>
          <w:rFonts w:ascii="Times New Roman" w:hAnsi="Times New Roman"/>
          <w:i w:val="0"/>
          <w:iCs w:val="0"/>
          <w:color w:val="000000" w:themeColor="text1"/>
          <w:sz w:val="24"/>
          <w:szCs w:val="24"/>
        </w:rPr>
        <w:fldChar w:fldCharType="begin"/>
      </w:r>
      <w:r w:rsidR="000F6857" w:rsidRPr="009D15BE">
        <w:rPr>
          <w:rFonts w:ascii="Times New Roman" w:hAnsi="Times New Roman"/>
          <w:i w:val="0"/>
          <w:iCs w:val="0"/>
          <w:color w:val="000000" w:themeColor="text1"/>
          <w:sz w:val="24"/>
          <w:szCs w:val="24"/>
        </w:rPr>
        <w:instrText xml:space="preserve"> STYLEREF 1 \s </w:instrText>
      </w:r>
      <w:r w:rsidR="000F6857" w:rsidRPr="009D15BE">
        <w:rPr>
          <w:rFonts w:ascii="Times New Roman" w:hAnsi="Times New Roman"/>
          <w:i w:val="0"/>
          <w:iCs w:val="0"/>
          <w:color w:val="000000" w:themeColor="text1"/>
          <w:sz w:val="24"/>
          <w:szCs w:val="24"/>
        </w:rPr>
        <w:fldChar w:fldCharType="separate"/>
      </w:r>
      <w:r w:rsidR="007B5846">
        <w:rPr>
          <w:rFonts w:ascii="Times New Roman" w:hAnsi="Times New Roman"/>
          <w:i w:val="0"/>
          <w:iCs w:val="0"/>
          <w:noProof/>
          <w:color w:val="000000" w:themeColor="text1"/>
          <w:sz w:val="24"/>
          <w:szCs w:val="24"/>
        </w:rPr>
        <w:t>4</w:t>
      </w:r>
      <w:r w:rsidR="000F6857" w:rsidRPr="009D15BE">
        <w:rPr>
          <w:rFonts w:ascii="Times New Roman" w:hAnsi="Times New Roman"/>
          <w:i w:val="0"/>
          <w:iCs w:val="0"/>
          <w:color w:val="000000" w:themeColor="text1"/>
          <w:sz w:val="24"/>
          <w:szCs w:val="24"/>
        </w:rPr>
        <w:fldChar w:fldCharType="end"/>
      </w:r>
      <w:r w:rsidR="000F6857" w:rsidRPr="009D15BE">
        <w:rPr>
          <w:rFonts w:ascii="Times New Roman" w:hAnsi="Times New Roman"/>
          <w:i w:val="0"/>
          <w:iCs w:val="0"/>
          <w:color w:val="000000" w:themeColor="text1"/>
          <w:sz w:val="24"/>
          <w:szCs w:val="24"/>
        </w:rPr>
        <w:t>.</w:t>
      </w:r>
      <w:r w:rsidR="000F6857" w:rsidRPr="009D15BE">
        <w:rPr>
          <w:rFonts w:ascii="Times New Roman" w:hAnsi="Times New Roman"/>
          <w:i w:val="0"/>
          <w:iCs w:val="0"/>
          <w:color w:val="000000" w:themeColor="text1"/>
          <w:sz w:val="24"/>
          <w:szCs w:val="24"/>
        </w:rPr>
        <w:fldChar w:fldCharType="begin"/>
      </w:r>
      <w:r w:rsidR="000F6857" w:rsidRPr="009D15BE">
        <w:rPr>
          <w:rFonts w:ascii="Times New Roman" w:hAnsi="Times New Roman"/>
          <w:i w:val="0"/>
          <w:iCs w:val="0"/>
          <w:color w:val="000000" w:themeColor="text1"/>
          <w:sz w:val="24"/>
          <w:szCs w:val="24"/>
        </w:rPr>
        <w:instrText xml:space="preserve"> SEQ Table \* ARABIC \s 1 </w:instrText>
      </w:r>
      <w:r w:rsidR="000F6857" w:rsidRPr="009D15BE">
        <w:rPr>
          <w:rFonts w:ascii="Times New Roman" w:hAnsi="Times New Roman"/>
          <w:i w:val="0"/>
          <w:iCs w:val="0"/>
          <w:color w:val="000000" w:themeColor="text1"/>
          <w:sz w:val="24"/>
          <w:szCs w:val="24"/>
        </w:rPr>
        <w:fldChar w:fldCharType="separate"/>
      </w:r>
      <w:r w:rsidR="007B5846">
        <w:rPr>
          <w:rFonts w:ascii="Times New Roman" w:hAnsi="Times New Roman"/>
          <w:i w:val="0"/>
          <w:iCs w:val="0"/>
          <w:noProof/>
          <w:color w:val="000000" w:themeColor="text1"/>
          <w:sz w:val="24"/>
          <w:szCs w:val="24"/>
        </w:rPr>
        <w:t>13</w:t>
      </w:r>
      <w:r w:rsidR="000F6857" w:rsidRPr="009D15BE">
        <w:rPr>
          <w:rFonts w:ascii="Times New Roman" w:hAnsi="Times New Roman"/>
          <w:i w:val="0"/>
          <w:iCs w:val="0"/>
          <w:color w:val="000000" w:themeColor="text1"/>
          <w:sz w:val="24"/>
          <w:szCs w:val="24"/>
        </w:rPr>
        <w:fldChar w:fldCharType="end"/>
      </w:r>
      <w:r w:rsidRPr="009D15BE">
        <w:rPr>
          <w:rFonts w:ascii="Times New Roman" w:hAnsi="Times New Roman"/>
          <w:i w:val="0"/>
          <w:iCs w:val="0"/>
          <w:color w:val="000000" w:themeColor="text1"/>
          <w:sz w:val="24"/>
          <w:szCs w:val="24"/>
        </w:rPr>
        <w:t>:</w:t>
      </w:r>
      <w:r w:rsidRPr="00205B52">
        <w:rPr>
          <w:rFonts w:ascii="Times New Roman" w:hAnsi="Times New Roman"/>
          <w:i w:val="0"/>
          <w:iCs w:val="0"/>
          <w:color w:val="000000" w:themeColor="text1"/>
          <w:sz w:val="24"/>
          <w:szCs w:val="24"/>
        </w:rPr>
        <w:t xml:space="preserve"> </w:t>
      </w:r>
      <w:r w:rsidR="004D557F">
        <w:rPr>
          <w:rFonts w:ascii="Times New Roman" w:hAnsi="Times New Roman"/>
          <w:i w:val="0"/>
          <w:iCs w:val="0"/>
          <w:color w:val="000000" w:themeColor="text1"/>
          <w:sz w:val="24"/>
          <w:szCs w:val="24"/>
        </w:rPr>
        <w:t>Effect of</w:t>
      </w:r>
      <w:r w:rsidRPr="00205B52">
        <w:rPr>
          <w:rFonts w:ascii="Times New Roman" w:hAnsi="Times New Roman"/>
          <w:i w:val="0"/>
          <w:iCs w:val="0"/>
          <w:color w:val="000000" w:themeColor="text1"/>
          <w:sz w:val="24"/>
          <w:szCs w:val="24"/>
        </w:rPr>
        <w:t xml:space="preserve"> Forensic Accounting Techniques and Value for Money Practices</w:t>
      </w:r>
      <w:bookmarkEnd w:id="128"/>
    </w:p>
    <w:tbl>
      <w:tblPr>
        <w:tblW w:w="9483" w:type="dxa"/>
        <w:tblBorders>
          <w:top w:val="single" w:sz="4" w:space="0" w:color="auto"/>
          <w:bottom w:val="single" w:sz="4" w:space="0" w:color="auto"/>
        </w:tblBorders>
        <w:tblLook w:val="04A0" w:firstRow="1" w:lastRow="0" w:firstColumn="1" w:lastColumn="0" w:noHBand="0" w:noVBand="1"/>
      </w:tblPr>
      <w:tblGrid>
        <w:gridCol w:w="1354"/>
        <w:gridCol w:w="1354"/>
        <w:gridCol w:w="1355"/>
        <w:gridCol w:w="1355"/>
        <w:gridCol w:w="1355"/>
        <w:gridCol w:w="1355"/>
        <w:gridCol w:w="1355"/>
      </w:tblGrid>
      <w:tr w:rsidR="00234521" w:rsidRPr="008B1465" w14:paraId="31C305A2" w14:textId="77777777" w:rsidTr="00D94430">
        <w:trPr>
          <w:trHeight w:val="377"/>
        </w:trPr>
        <w:tc>
          <w:tcPr>
            <w:tcW w:w="1354" w:type="dxa"/>
            <w:tcBorders>
              <w:top w:val="thinThickSmallGap" w:sz="24" w:space="0" w:color="auto"/>
              <w:bottom w:val="thinThickSmallGap" w:sz="24" w:space="0" w:color="auto"/>
            </w:tcBorders>
          </w:tcPr>
          <w:p w14:paraId="6FB16548" w14:textId="29EF4357" w:rsidR="00234521" w:rsidRPr="008B1465" w:rsidRDefault="00234521" w:rsidP="00163663">
            <w:pPr>
              <w:spacing w:after="0" w:line="360" w:lineRule="auto"/>
              <w:jc w:val="both"/>
              <w:rPr>
                <w:rFonts w:ascii="Times New Roman" w:hAnsi="Times New Roman"/>
                <w:b/>
                <w:bCs/>
                <w:sz w:val="24"/>
                <w:szCs w:val="24"/>
              </w:rPr>
            </w:pPr>
            <w:r w:rsidRPr="008B1465">
              <w:rPr>
                <w:rFonts w:ascii="Times New Roman" w:hAnsi="Times New Roman"/>
                <w:b/>
                <w:bCs/>
                <w:sz w:val="24"/>
                <w:szCs w:val="24"/>
              </w:rPr>
              <w:t>Variable</w:t>
            </w:r>
            <w:r w:rsidR="00887181">
              <w:rPr>
                <w:rFonts w:ascii="Times New Roman" w:hAnsi="Times New Roman"/>
                <w:b/>
                <w:bCs/>
                <w:sz w:val="24"/>
                <w:szCs w:val="24"/>
              </w:rPr>
              <w:t>s</w:t>
            </w:r>
          </w:p>
        </w:tc>
        <w:tc>
          <w:tcPr>
            <w:tcW w:w="1354" w:type="dxa"/>
            <w:tcBorders>
              <w:top w:val="thinThickSmallGap" w:sz="24" w:space="0" w:color="auto"/>
              <w:bottom w:val="thinThickSmallGap" w:sz="24" w:space="0" w:color="auto"/>
            </w:tcBorders>
          </w:tcPr>
          <w:p w14:paraId="03876DE0" w14:textId="01CBA416" w:rsidR="00234521" w:rsidRPr="00180A55" w:rsidRDefault="008D4F2D" w:rsidP="00163663">
            <w:pPr>
              <w:spacing w:after="0" w:line="360" w:lineRule="auto"/>
              <w:jc w:val="both"/>
              <w:rPr>
                <w:rFonts w:ascii="Times New Roman" w:hAnsi="Times New Roman"/>
                <w:b/>
                <w:bCs/>
                <w:sz w:val="28"/>
                <w:szCs w:val="28"/>
              </w:rPr>
            </w:pPr>
            <w:r w:rsidRPr="008B1465">
              <w:rPr>
                <w:rFonts w:ascii="Times New Roman" w:hAnsi="Times New Roman"/>
                <w:b/>
                <w:bCs/>
                <w:i/>
                <w:iCs/>
                <w:sz w:val="24"/>
                <w:szCs w:val="24"/>
              </w:rPr>
              <w:t xml:space="preserve">    </w:t>
            </w:r>
            <w:r w:rsidR="00180A55" w:rsidRPr="00180A55">
              <w:rPr>
                <w:rFonts w:ascii="Times New Roman" w:hAnsi="Times New Roman"/>
                <w:b/>
                <w:bCs/>
                <w:sz w:val="24"/>
                <w:szCs w:val="24"/>
              </w:rPr>
              <w:t>B</w:t>
            </w:r>
          </w:p>
        </w:tc>
        <w:tc>
          <w:tcPr>
            <w:tcW w:w="1355" w:type="dxa"/>
            <w:tcBorders>
              <w:top w:val="thinThickSmallGap" w:sz="24" w:space="0" w:color="auto"/>
              <w:bottom w:val="thinThickSmallGap" w:sz="24" w:space="0" w:color="auto"/>
            </w:tcBorders>
          </w:tcPr>
          <w:p w14:paraId="7D8EE172" w14:textId="77777777" w:rsidR="00234521" w:rsidRPr="008B1465" w:rsidRDefault="00234521" w:rsidP="00163663">
            <w:pPr>
              <w:spacing w:after="0" w:line="360" w:lineRule="auto"/>
              <w:jc w:val="both"/>
              <w:rPr>
                <w:rFonts w:ascii="Times New Roman" w:hAnsi="Times New Roman"/>
                <w:b/>
                <w:bCs/>
                <w:sz w:val="24"/>
                <w:szCs w:val="24"/>
              </w:rPr>
            </w:pPr>
            <w:r w:rsidRPr="008B1465">
              <w:rPr>
                <w:rFonts w:ascii="Times New Roman" w:hAnsi="Times New Roman"/>
                <w:b/>
                <w:bCs/>
                <w:sz w:val="24"/>
                <w:szCs w:val="24"/>
              </w:rPr>
              <w:t>Beta</w:t>
            </w:r>
          </w:p>
        </w:tc>
        <w:tc>
          <w:tcPr>
            <w:tcW w:w="1355" w:type="dxa"/>
            <w:tcBorders>
              <w:top w:val="thinThickSmallGap" w:sz="24" w:space="0" w:color="auto"/>
              <w:bottom w:val="thinThickSmallGap" w:sz="24" w:space="0" w:color="auto"/>
            </w:tcBorders>
          </w:tcPr>
          <w:p w14:paraId="6D6BBFA8" w14:textId="77777777" w:rsidR="00234521" w:rsidRPr="008B1465" w:rsidRDefault="00234521" w:rsidP="00163663">
            <w:pPr>
              <w:spacing w:after="0" w:line="360" w:lineRule="auto"/>
              <w:jc w:val="both"/>
              <w:rPr>
                <w:rFonts w:ascii="Times New Roman" w:hAnsi="Times New Roman"/>
                <w:b/>
                <w:bCs/>
                <w:sz w:val="24"/>
                <w:szCs w:val="24"/>
              </w:rPr>
            </w:pPr>
            <w:r w:rsidRPr="008B1465">
              <w:rPr>
                <w:rFonts w:ascii="Times New Roman" w:hAnsi="Times New Roman"/>
                <w:b/>
                <w:bCs/>
                <w:sz w:val="24"/>
                <w:szCs w:val="24"/>
              </w:rPr>
              <w:t>t</w:t>
            </w:r>
          </w:p>
        </w:tc>
        <w:tc>
          <w:tcPr>
            <w:tcW w:w="1355" w:type="dxa"/>
            <w:tcBorders>
              <w:top w:val="thinThickSmallGap" w:sz="24" w:space="0" w:color="auto"/>
              <w:bottom w:val="thinThickSmallGap" w:sz="24" w:space="0" w:color="auto"/>
            </w:tcBorders>
          </w:tcPr>
          <w:p w14:paraId="59A489F0" w14:textId="77777777" w:rsidR="00234521" w:rsidRPr="008B1465" w:rsidRDefault="00234521" w:rsidP="00163663">
            <w:pPr>
              <w:spacing w:after="0" w:line="360" w:lineRule="auto"/>
              <w:jc w:val="both"/>
              <w:rPr>
                <w:rFonts w:ascii="Times New Roman" w:hAnsi="Times New Roman"/>
                <w:b/>
                <w:bCs/>
                <w:sz w:val="24"/>
                <w:szCs w:val="24"/>
              </w:rPr>
            </w:pPr>
            <w:r w:rsidRPr="008B1465">
              <w:rPr>
                <w:rFonts w:ascii="Times New Roman" w:hAnsi="Times New Roman"/>
                <w:b/>
                <w:bCs/>
                <w:sz w:val="24"/>
                <w:szCs w:val="24"/>
              </w:rPr>
              <w:t>Sig</w:t>
            </w:r>
          </w:p>
        </w:tc>
        <w:tc>
          <w:tcPr>
            <w:tcW w:w="1355" w:type="dxa"/>
            <w:tcBorders>
              <w:top w:val="thinThickSmallGap" w:sz="24" w:space="0" w:color="auto"/>
              <w:bottom w:val="thinThickSmallGap" w:sz="24" w:space="0" w:color="auto"/>
            </w:tcBorders>
          </w:tcPr>
          <w:p w14:paraId="184CAA69" w14:textId="77777777" w:rsidR="00234521" w:rsidRPr="008B1465" w:rsidRDefault="00234521" w:rsidP="00163663">
            <w:pPr>
              <w:spacing w:after="0" w:line="360" w:lineRule="auto"/>
              <w:jc w:val="both"/>
              <w:rPr>
                <w:rFonts w:ascii="Times New Roman" w:hAnsi="Times New Roman"/>
                <w:b/>
                <w:bCs/>
                <w:sz w:val="24"/>
                <w:szCs w:val="24"/>
              </w:rPr>
            </w:pPr>
            <w:r w:rsidRPr="008B1465">
              <w:rPr>
                <w:rFonts w:ascii="Times New Roman" w:hAnsi="Times New Roman"/>
                <w:b/>
                <w:bCs/>
                <w:sz w:val="24"/>
                <w:szCs w:val="24"/>
              </w:rPr>
              <w:t>T</w:t>
            </w:r>
          </w:p>
        </w:tc>
        <w:tc>
          <w:tcPr>
            <w:tcW w:w="1355" w:type="dxa"/>
            <w:tcBorders>
              <w:top w:val="thinThickSmallGap" w:sz="24" w:space="0" w:color="auto"/>
              <w:bottom w:val="thinThickSmallGap" w:sz="24" w:space="0" w:color="auto"/>
            </w:tcBorders>
          </w:tcPr>
          <w:p w14:paraId="5032390A" w14:textId="77777777" w:rsidR="00234521" w:rsidRPr="008B1465" w:rsidRDefault="00234521" w:rsidP="00163663">
            <w:pPr>
              <w:spacing w:after="0" w:line="360" w:lineRule="auto"/>
              <w:jc w:val="both"/>
              <w:rPr>
                <w:rFonts w:ascii="Times New Roman" w:hAnsi="Times New Roman"/>
                <w:b/>
                <w:bCs/>
                <w:sz w:val="24"/>
                <w:szCs w:val="24"/>
              </w:rPr>
            </w:pPr>
            <w:r w:rsidRPr="008B1465">
              <w:rPr>
                <w:rFonts w:ascii="Times New Roman" w:hAnsi="Times New Roman"/>
                <w:b/>
                <w:bCs/>
                <w:sz w:val="24"/>
                <w:szCs w:val="24"/>
              </w:rPr>
              <w:t>VIF</w:t>
            </w:r>
          </w:p>
        </w:tc>
      </w:tr>
      <w:tr w:rsidR="00234521" w:rsidRPr="008B1465" w14:paraId="422C0A61" w14:textId="77777777" w:rsidTr="00D94430">
        <w:trPr>
          <w:trHeight w:val="377"/>
        </w:trPr>
        <w:tc>
          <w:tcPr>
            <w:tcW w:w="1354" w:type="dxa"/>
            <w:tcBorders>
              <w:top w:val="thinThickSmallGap" w:sz="24" w:space="0" w:color="auto"/>
            </w:tcBorders>
          </w:tcPr>
          <w:p w14:paraId="21BBD8E4" w14:textId="77777777" w:rsidR="00234521" w:rsidRPr="008B1465" w:rsidRDefault="00234521" w:rsidP="00163663">
            <w:pPr>
              <w:spacing w:after="0" w:line="360" w:lineRule="auto"/>
              <w:jc w:val="both"/>
              <w:rPr>
                <w:rFonts w:ascii="Times New Roman" w:hAnsi="Times New Roman"/>
                <w:b/>
                <w:bCs/>
                <w:sz w:val="24"/>
                <w:szCs w:val="24"/>
              </w:rPr>
            </w:pPr>
            <w:r w:rsidRPr="008B1465">
              <w:rPr>
                <w:rFonts w:ascii="Times New Roman" w:hAnsi="Times New Roman"/>
                <w:b/>
                <w:bCs/>
                <w:sz w:val="24"/>
                <w:szCs w:val="24"/>
              </w:rPr>
              <w:t>Constant</w:t>
            </w:r>
          </w:p>
        </w:tc>
        <w:tc>
          <w:tcPr>
            <w:tcW w:w="1354" w:type="dxa"/>
            <w:tcBorders>
              <w:top w:val="thinThickSmallGap" w:sz="24" w:space="0" w:color="auto"/>
            </w:tcBorders>
          </w:tcPr>
          <w:p w14:paraId="3E7C6FC8" w14:textId="77777777" w:rsidR="00234521" w:rsidRPr="008B1465" w:rsidRDefault="00234521" w:rsidP="00163663">
            <w:pPr>
              <w:spacing w:after="0" w:line="360" w:lineRule="auto"/>
              <w:jc w:val="both"/>
              <w:rPr>
                <w:rFonts w:ascii="Times New Roman" w:hAnsi="Times New Roman"/>
                <w:sz w:val="24"/>
                <w:szCs w:val="24"/>
              </w:rPr>
            </w:pPr>
            <w:r w:rsidRPr="008B1465">
              <w:rPr>
                <w:rFonts w:ascii="Times New Roman" w:hAnsi="Times New Roman"/>
                <w:sz w:val="24"/>
                <w:szCs w:val="24"/>
              </w:rPr>
              <w:t>12.192</w:t>
            </w:r>
          </w:p>
        </w:tc>
        <w:tc>
          <w:tcPr>
            <w:tcW w:w="1355" w:type="dxa"/>
            <w:tcBorders>
              <w:top w:val="thinThickSmallGap" w:sz="24" w:space="0" w:color="auto"/>
            </w:tcBorders>
          </w:tcPr>
          <w:p w14:paraId="46D91409" w14:textId="77777777" w:rsidR="00234521" w:rsidRPr="008B1465" w:rsidRDefault="00234521" w:rsidP="00163663">
            <w:pPr>
              <w:spacing w:after="0" w:line="360" w:lineRule="auto"/>
              <w:jc w:val="both"/>
              <w:rPr>
                <w:rFonts w:ascii="Times New Roman" w:hAnsi="Times New Roman"/>
                <w:sz w:val="24"/>
                <w:szCs w:val="24"/>
              </w:rPr>
            </w:pPr>
            <w:r w:rsidRPr="008B1465">
              <w:rPr>
                <w:rFonts w:ascii="Times New Roman" w:hAnsi="Times New Roman"/>
                <w:sz w:val="24"/>
                <w:szCs w:val="24"/>
              </w:rPr>
              <w:t xml:space="preserve">   -</w:t>
            </w:r>
          </w:p>
        </w:tc>
        <w:tc>
          <w:tcPr>
            <w:tcW w:w="1355" w:type="dxa"/>
            <w:tcBorders>
              <w:top w:val="thinThickSmallGap" w:sz="24" w:space="0" w:color="auto"/>
            </w:tcBorders>
          </w:tcPr>
          <w:p w14:paraId="10E288F2" w14:textId="77777777" w:rsidR="00234521" w:rsidRPr="008B1465" w:rsidRDefault="00234521" w:rsidP="00163663">
            <w:pPr>
              <w:spacing w:after="0" w:line="360" w:lineRule="auto"/>
              <w:jc w:val="both"/>
              <w:rPr>
                <w:rFonts w:ascii="Times New Roman" w:hAnsi="Times New Roman"/>
                <w:sz w:val="24"/>
                <w:szCs w:val="24"/>
              </w:rPr>
            </w:pPr>
            <w:r w:rsidRPr="008B1465">
              <w:rPr>
                <w:rFonts w:ascii="Times New Roman" w:hAnsi="Times New Roman"/>
                <w:sz w:val="24"/>
                <w:szCs w:val="24"/>
              </w:rPr>
              <w:t>10.159</w:t>
            </w:r>
          </w:p>
        </w:tc>
        <w:tc>
          <w:tcPr>
            <w:tcW w:w="1355" w:type="dxa"/>
            <w:tcBorders>
              <w:top w:val="thinThickSmallGap" w:sz="24" w:space="0" w:color="auto"/>
            </w:tcBorders>
          </w:tcPr>
          <w:p w14:paraId="5DAC6010" w14:textId="77777777" w:rsidR="00234521" w:rsidRPr="008B1465" w:rsidRDefault="00234521" w:rsidP="00163663">
            <w:pPr>
              <w:spacing w:after="0" w:line="360" w:lineRule="auto"/>
              <w:jc w:val="both"/>
              <w:rPr>
                <w:rFonts w:ascii="Times New Roman" w:hAnsi="Times New Roman"/>
                <w:sz w:val="24"/>
                <w:szCs w:val="24"/>
              </w:rPr>
            </w:pPr>
            <w:r w:rsidRPr="008B1465">
              <w:rPr>
                <w:rFonts w:ascii="Times New Roman" w:hAnsi="Times New Roman"/>
                <w:sz w:val="24"/>
                <w:szCs w:val="24"/>
              </w:rPr>
              <w:t>.000</w:t>
            </w:r>
          </w:p>
        </w:tc>
        <w:tc>
          <w:tcPr>
            <w:tcW w:w="1355" w:type="dxa"/>
            <w:tcBorders>
              <w:top w:val="thinThickSmallGap" w:sz="24" w:space="0" w:color="auto"/>
            </w:tcBorders>
          </w:tcPr>
          <w:p w14:paraId="38EE2FD6" w14:textId="77777777" w:rsidR="00234521" w:rsidRPr="008B1465" w:rsidRDefault="00234521" w:rsidP="00163663">
            <w:pPr>
              <w:spacing w:after="0" w:line="360" w:lineRule="auto"/>
              <w:jc w:val="both"/>
              <w:rPr>
                <w:rFonts w:ascii="Times New Roman" w:hAnsi="Times New Roman"/>
                <w:sz w:val="24"/>
                <w:szCs w:val="24"/>
              </w:rPr>
            </w:pPr>
          </w:p>
        </w:tc>
        <w:tc>
          <w:tcPr>
            <w:tcW w:w="1355" w:type="dxa"/>
            <w:tcBorders>
              <w:top w:val="thinThickSmallGap" w:sz="24" w:space="0" w:color="auto"/>
            </w:tcBorders>
          </w:tcPr>
          <w:p w14:paraId="24ADFF68" w14:textId="77777777" w:rsidR="00234521" w:rsidRPr="008B1465" w:rsidRDefault="00234521" w:rsidP="00163663">
            <w:pPr>
              <w:spacing w:after="0" w:line="360" w:lineRule="auto"/>
              <w:jc w:val="both"/>
              <w:rPr>
                <w:rFonts w:ascii="Times New Roman" w:hAnsi="Times New Roman"/>
                <w:sz w:val="24"/>
                <w:szCs w:val="24"/>
              </w:rPr>
            </w:pPr>
          </w:p>
        </w:tc>
      </w:tr>
      <w:tr w:rsidR="00234521" w:rsidRPr="008B1465" w14:paraId="0E62E39A" w14:textId="77777777" w:rsidTr="00D94430">
        <w:trPr>
          <w:trHeight w:val="377"/>
        </w:trPr>
        <w:tc>
          <w:tcPr>
            <w:tcW w:w="1354" w:type="dxa"/>
          </w:tcPr>
          <w:p w14:paraId="2E96FDA9" w14:textId="77777777" w:rsidR="00234521" w:rsidRPr="008B1465" w:rsidRDefault="00234521" w:rsidP="00163663">
            <w:pPr>
              <w:spacing w:after="0" w:line="360" w:lineRule="auto"/>
              <w:jc w:val="both"/>
              <w:rPr>
                <w:rFonts w:ascii="Times New Roman" w:hAnsi="Times New Roman"/>
                <w:b/>
                <w:bCs/>
                <w:sz w:val="24"/>
                <w:szCs w:val="24"/>
              </w:rPr>
            </w:pPr>
            <w:r w:rsidRPr="008B1465">
              <w:rPr>
                <w:rFonts w:ascii="Times New Roman" w:hAnsi="Times New Roman"/>
                <w:b/>
                <w:bCs/>
                <w:sz w:val="24"/>
                <w:szCs w:val="24"/>
              </w:rPr>
              <w:t>LS</w:t>
            </w:r>
          </w:p>
        </w:tc>
        <w:tc>
          <w:tcPr>
            <w:tcW w:w="1354" w:type="dxa"/>
          </w:tcPr>
          <w:p w14:paraId="718E0EBD" w14:textId="77777777" w:rsidR="00234521" w:rsidRPr="008B1465" w:rsidRDefault="00234521" w:rsidP="00163663">
            <w:pPr>
              <w:spacing w:after="0" w:line="360" w:lineRule="auto"/>
              <w:jc w:val="both"/>
              <w:rPr>
                <w:rFonts w:ascii="Times New Roman" w:hAnsi="Times New Roman"/>
                <w:sz w:val="24"/>
                <w:szCs w:val="24"/>
              </w:rPr>
            </w:pPr>
            <w:r w:rsidRPr="008B1465">
              <w:rPr>
                <w:rFonts w:ascii="Times New Roman" w:hAnsi="Times New Roman"/>
                <w:sz w:val="24"/>
                <w:szCs w:val="24"/>
              </w:rPr>
              <w:t>.097</w:t>
            </w:r>
          </w:p>
        </w:tc>
        <w:tc>
          <w:tcPr>
            <w:tcW w:w="1355" w:type="dxa"/>
          </w:tcPr>
          <w:p w14:paraId="71D85A66" w14:textId="77777777" w:rsidR="00234521" w:rsidRPr="008B1465" w:rsidRDefault="00234521" w:rsidP="00163663">
            <w:pPr>
              <w:spacing w:after="0" w:line="360" w:lineRule="auto"/>
              <w:jc w:val="both"/>
              <w:rPr>
                <w:rFonts w:ascii="Times New Roman" w:hAnsi="Times New Roman"/>
                <w:sz w:val="24"/>
                <w:szCs w:val="24"/>
              </w:rPr>
            </w:pPr>
            <w:r w:rsidRPr="008B1465">
              <w:rPr>
                <w:rFonts w:ascii="Times New Roman" w:hAnsi="Times New Roman"/>
                <w:sz w:val="24"/>
                <w:szCs w:val="24"/>
              </w:rPr>
              <w:t>.140</w:t>
            </w:r>
          </w:p>
        </w:tc>
        <w:tc>
          <w:tcPr>
            <w:tcW w:w="1355" w:type="dxa"/>
          </w:tcPr>
          <w:p w14:paraId="1410F112" w14:textId="77777777" w:rsidR="00234521" w:rsidRPr="008B1465" w:rsidRDefault="00234521" w:rsidP="00163663">
            <w:pPr>
              <w:spacing w:after="0" w:line="360" w:lineRule="auto"/>
              <w:jc w:val="both"/>
              <w:rPr>
                <w:rFonts w:ascii="Times New Roman" w:hAnsi="Times New Roman"/>
                <w:sz w:val="24"/>
                <w:szCs w:val="24"/>
              </w:rPr>
            </w:pPr>
            <w:r w:rsidRPr="008B1465">
              <w:rPr>
                <w:rFonts w:ascii="Times New Roman" w:hAnsi="Times New Roman"/>
                <w:sz w:val="24"/>
                <w:szCs w:val="24"/>
              </w:rPr>
              <w:t>4.179</w:t>
            </w:r>
          </w:p>
        </w:tc>
        <w:tc>
          <w:tcPr>
            <w:tcW w:w="1355" w:type="dxa"/>
          </w:tcPr>
          <w:p w14:paraId="68FCF64F" w14:textId="77777777" w:rsidR="00234521" w:rsidRPr="008B1465" w:rsidRDefault="00234521" w:rsidP="00163663">
            <w:pPr>
              <w:spacing w:after="0" w:line="360" w:lineRule="auto"/>
              <w:jc w:val="both"/>
              <w:rPr>
                <w:rFonts w:ascii="Times New Roman" w:hAnsi="Times New Roman"/>
                <w:sz w:val="24"/>
                <w:szCs w:val="24"/>
              </w:rPr>
            </w:pPr>
            <w:r w:rsidRPr="008B1465">
              <w:rPr>
                <w:rFonts w:ascii="Times New Roman" w:hAnsi="Times New Roman"/>
                <w:sz w:val="24"/>
                <w:szCs w:val="24"/>
              </w:rPr>
              <w:t>.000</w:t>
            </w:r>
          </w:p>
        </w:tc>
        <w:tc>
          <w:tcPr>
            <w:tcW w:w="1355" w:type="dxa"/>
          </w:tcPr>
          <w:p w14:paraId="4B822C6F" w14:textId="77777777" w:rsidR="00234521" w:rsidRPr="008B1465" w:rsidRDefault="00234521" w:rsidP="00163663">
            <w:pPr>
              <w:spacing w:after="0" w:line="360" w:lineRule="auto"/>
              <w:jc w:val="both"/>
              <w:rPr>
                <w:rFonts w:ascii="Times New Roman" w:hAnsi="Times New Roman"/>
                <w:sz w:val="24"/>
                <w:szCs w:val="24"/>
              </w:rPr>
            </w:pPr>
            <w:r w:rsidRPr="008B1465">
              <w:rPr>
                <w:rFonts w:ascii="Times New Roman" w:hAnsi="Times New Roman"/>
                <w:sz w:val="24"/>
                <w:szCs w:val="24"/>
              </w:rPr>
              <w:t>.989</w:t>
            </w:r>
          </w:p>
        </w:tc>
        <w:tc>
          <w:tcPr>
            <w:tcW w:w="1355" w:type="dxa"/>
          </w:tcPr>
          <w:p w14:paraId="5BEF8234" w14:textId="77777777" w:rsidR="00234521" w:rsidRPr="008B1465" w:rsidRDefault="00234521" w:rsidP="00163663">
            <w:pPr>
              <w:spacing w:after="0" w:line="360" w:lineRule="auto"/>
              <w:jc w:val="both"/>
              <w:rPr>
                <w:rFonts w:ascii="Times New Roman" w:hAnsi="Times New Roman"/>
                <w:sz w:val="24"/>
                <w:szCs w:val="24"/>
              </w:rPr>
            </w:pPr>
            <w:r w:rsidRPr="008B1465">
              <w:rPr>
                <w:rFonts w:ascii="Times New Roman" w:hAnsi="Times New Roman"/>
                <w:sz w:val="24"/>
                <w:szCs w:val="24"/>
              </w:rPr>
              <w:t>1.012</w:t>
            </w:r>
          </w:p>
        </w:tc>
      </w:tr>
      <w:tr w:rsidR="00234521" w:rsidRPr="008B1465" w14:paraId="1CA23F2C" w14:textId="77777777" w:rsidTr="00D94430">
        <w:trPr>
          <w:trHeight w:val="386"/>
        </w:trPr>
        <w:tc>
          <w:tcPr>
            <w:tcW w:w="1354" w:type="dxa"/>
          </w:tcPr>
          <w:p w14:paraId="02C25534" w14:textId="77777777" w:rsidR="00234521" w:rsidRPr="008B1465" w:rsidRDefault="00234521" w:rsidP="00163663">
            <w:pPr>
              <w:spacing w:after="0" w:line="360" w:lineRule="auto"/>
              <w:jc w:val="both"/>
              <w:rPr>
                <w:rFonts w:ascii="Times New Roman" w:hAnsi="Times New Roman"/>
                <w:b/>
                <w:bCs/>
                <w:sz w:val="24"/>
                <w:szCs w:val="24"/>
              </w:rPr>
            </w:pPr>
            <w:r w:rsidRPr="008B1465">
              <w:rPr>
                <w:rFonts w:ascii="Times New Roman" w:hAnsi="Times New Roman"/>
                <w:b/>
                <w:bCs/>
                <w:sz w:val="24"/>
                <w:szCs w:val="24"/>
              </w:rPr>
              <w:t>ADE</w:t>
            </w:r>
          </w:p>
        </w:tc>
        <w:tc>
          <w:tcPr>
            <w:tcW w:w="1354" w:type="dxa"/>
          </w:tcPr>
          <w:p w14:paraId="744B5F97" w14:textId="77777777" w:rsidR="00234521" w:rsidRPr="008B1465" w:rsidRDefault="00234521" w:rsidP="00163663">
            <w:pPr>
              <w:spacing w:after="0" w:line="360" w:lineRule="auto"/>
              <w:jc w:val="both"/>
              <w:rPr>
                <w:rFonts w:ascii="Times New Roman" w:hAnsi="Times New Roman"/>
                <w:sz w:val="24"/>
                <w:szCs w:val="24"/>
              </w:rPr>
            </w:pPr>
            <w:r w:rsidRPr="008B1465">
              <w:rPr>
                <w:rFonts w:ascii="Times New Roman" w:hAnsi="Times New Roman"/>
                <w:sz w:val="24"/>
                <w:szCs w:val="24"/>
              </w:rPr>
              <w:t>.533</w:t>
            </w:r>
          </w:p>
        </w:tc>
        <w:tc>
          <w:tcPr>
            <w:tcW w:w="1355" w:type="dxa"/>
          </w:tcPr>
          <w:p w14:paraId="0A9F0A70" w14:textId="77777777" w:rsidR="00234521" w:rsidRPr="008B1465" w:rsidRDefault="00234521" w:rsidP="00163663">
            <w:pPr>
              <w:spacing w:after="0" w:line="360" w:lineRule="auto"/>
              <w:jc w:val="both"/>
              <w:rPr>
                <w:rFonts w:ascii="Times New Roman" w:hAnsi="Times New Roman"/>
                <w:sz w:val="24"/>
                <w:szCs w:val="24"/>
              </w:rPr>
            </w:pPr>
            <w:r w:rsidRPr="008B1465">
              <w:rPr>
                <w:rFonts w:ascii="Times New Roman" w:hAnsi="Times New Roman"/>
                <w:sz w:val="24"/>
                <w:szCs w:val="24"/>
              </w:rPr>
              <w:t>.805</w:t>
            </w:r>
          </w:p>
        </w:tc>
        <w:tc>
          <w:tcPr>
            <w:tcW w:w="1355" w:type="dxa"/>
          </w:tcPr>
          <w:p w14:paraId="1260285B" w14:textId="77777777" w:rsidR="00234521" w:rsidRPr="008B1465" w:rsidRDefault="00234521" w:rsidP="00163663">
            <w:pPr>
              <w:spacing w:after="0" w:line="360" w:lineRule="auto"/>
              <w:jc w:val="both"/>
              <w:rPr>
                <w:rFonts w:ascii="Times New Roman" w:hAnsi="Times New Roman"/>
                <w:sz w:val="24"/>
                <w:szCs w:val="24"/>
              </w:rPr>
            </w:pPr>
            <w:r w:rsidRPr="008B1465">
              <w:rPr>
                <w:rFonts w:ascii="Times New Roman" w:hAnsi="Times New Roman"/>
                <w:sz w:val="24"/>
                <w:szCs w:val="24"/>
              </w:rPr>
              <w:t>18.615</w:t>
            </w:r>
          </w:p>
        </w:tc>
        <w:tc>
          <w:tcPr>
            <w:tcW w:w="1355" w:type="dxa"/>
          </w:tcPr>
          <w:p w14:paraId="0DF8F158" w14:textId="77777777" w:rsidR="00234521" w:rsidRPr="008B1465" w:rsidRDefault="00234521" w:rsidP="00163663">
            <w:pPr>
              <w:spacing w:after="0" w:line="360" w:lineRule="auto"/>
              <w:jc w:val="both"/>
              <w:rPr>
                <w:rFonts w:ascii="Times New Roman" w:hAnsi="Times New Roman"/>
                <w:sz w:val="24"/>
                <w:szCs w:val="24"/>
              </w:rPr>
            </w:pPr>
            <w:r w:rsidRPr="008B1465">
              <w:rPr>
                <w:rFonts w:ascii="Times New Roman" w:hAnsi="Times New Roman"/>
                <w:sz w:val="24"/>
                <w:szCs w:val="24"/>
              </w:rPr>
              <w:t>.000</w:t>
            </w:r>
          </w:p>
        </w:tc>
        <w:tc>
          <w:tcPr>
            <w:tcW w:w="1355" w:type="dxa"/>
          </w:tcPr>
          <w:p w14:paraId="224F7EFC" w14:textId="77777777" w:rsidR="00234521" w:rsidRPr="008B1465" w:rsidRDefault="00234521" w:rsidP="00163663">
            <w:pPr>
              <w:spacing w:after="0" w:line="360" w:lineRule="auto"/>
              <w:jc w:val="both"/>
              <w:rPr>
                <w:rFonts w:ascii="Times New Roman" w:hAnsi="Times New Roman"/>
                <w:sz w:val="24"/>
                <w:szCs w:val="24"/>
              </w:rPr>
            </w:pPr>
            <w:r w:rsidRPr="008B1465">
              <w:rPr>
                <w:rFonts w:ascii="Times New Roman" w:hAnsi="Times New Roman"/>
                <w:sz w:val="24"/>
                <w:szCs w:val="24"/>
              </w:rPr>
              <w:t>.592</w:t>
            </w:r>
          </w:p>
        </w:tc>
        <w:tc>
          <w:tcPr>
            <w:tcW w:w="1355" w:type="dxa"/>
          </w:tcPr>
          <w:p w14:paraId="5EC73DFF" w14:textId="77777777" w:rsidR="00234521" w:rsidRPr="008B1465" w:rsidRDefault="00234521" w:rsidP="00163663">
            <w:pPr>
              <w:spacing w:after="0" w:line="360" w:lineRule="auto"/>
              <w:jc w:val="both"/>
              <w:rPr>
                <w:rFonts w:ascii="Times New Roman" w:hAnsi="Times New Roman"/>
                <w:sz w:val="24"/>
                <w:szCs w:val="24"/>
              </w:rPr>
            </w:pPr>
            <w:r w:rsidRPr="008B1465">
              <w:rPr>
                <w:rFonts w:ascii="Times New Roman" w:hAnsi="Times New Roman"/>
                <w:sz w:val="24"/>
                <w:szCs w:val="24"/>
              </w:rPr>
              <w:t>1.689</w:t>
            </w:r>
          </w:p>
        </w:tc>
      </w:tr>
      <w:tr w:rsidR="00234521" w:rsidRPr="008B1465" w14:paraId="4D8E12C9" w14:textId="77777777" w:rsidTr="00D94430">
        <w:trPr>
          <w:trHeight w:val="377"/>
        </w:trPr>
        <w:tc>
          <w:tcPr>
            <w:tcW w:w="1354" w:type="dxa"/>
            <w:tcBorders>
              <w:bottom w:val="nil"/>
            </w:tcBorders>
          </w:tcPr>
          <w:p w14:paraId="175E452B" w14:textId="77777777" w:rsidR="00234521" w:rsidRPr="008B1465" w:rsidRDefault="00234521" w:rsidP="00163663">
            <w:pPr>
              <w:spacing w:after="0" w:line="360" w:lineRule="auto"/>
              <w:jc w:val="both"/>
              <w:rPr>
                <w:rFonts w:ascii="Times New Roman" w:hAnsi="Times New Roman"/>
                <w:b/>
                <w:bCs/>
                <w:sz w:val="24"/>
                <w:szCs w:val="24"/>
              </w:rPr>
            </w:pPr>
            <w:r w:rsidRPr="008B1465">
              <w:rPr>
                <w:rFonts w:ascii="Times New Roman" w:hAnsi="Times New Roman"/>
                <w:b/>
                <w:bCs/>
                <w:sz w:val="24"/>
                <w:szCs w:val="24"/>
              </w:rPr>
              <w:t>IF</w:t>
            </w:r>
          </w:p>
        </w:tc>
        <w:tc>
          <w:tcPr>
            <w:tcW w:w="1354" w:type="dxa"/>
            <w:tcBorders>
              <w:bottom w:val="nil"/>
            </w:tcBorders>
          </w:tcPr>
          <w:p w14:paraId="16902F5B" w14:textId="77777777" w:rsidR="00234521" w:rsidRPr="008B1465" w:rsidRDefault="00234521" w:rsidP="00163663">
            <w:pPr>
              <w:spacing w:after="0" w:line="360" w:lineRule="auto"/>
              <w:jc w:val="both"/>
              <w:rPr>
                <w:rFonts w:ascii="Times New Roman" w:hAnsi="Times New Roman"/>
                <w:sz w:val="24"/>
                <w:szCs w:val="24"/>
              </w:rPr>
            </w:pPr>
            <w:r w:rsidRPr="008B1465">
              <w:rPr>
                <w:rFonts w:ascii="Times New Roman" w:hAnsi="Times New Roman"/>
                <w:sz w:val="24"/>
                <w:szCs w:val="24"/>
              </w:rPr>
              <w:t>.411</w:t>
            </w:r>
          </w:p>
        </w:tc>
        <w:tc>
          <w:tcPr>
            <w:tcW w:w="1355" w:type="dxa"/>
            <w:tcBorders>
              <w:bottom w:val="nil"/>
            </w:tcBorders>
          </w:tcPr>
          <w:p w14:paraId="34757A65" w14:textId="77777777" w:rsidR="00234521" w:rsidRPr="008B1465" w:rsidRDefault="00234521" w:rsidP="00163663">
            <w:pPr>
              <w:spacing w:after="0" w:line="360" w:lineRule="auto"/>
              <w:jc w:val="both"/>
              <w:rPr>
                <w:rFonts w:ascii="Times New Roman" w:hAnsi="Times New Roman"/>
                <w:sz w:val="24"/>
                <w:szCs w:val="24"/>
              </w:rPr>
            </w:pPr>
            <w:r w:rsidRPr="008B1465">
              <w:rPr>
                <w:rFonts w:ascii="Times New Roman" w:hAnsi="Times New Roman"/>
                <w:sz w:val="24"/>
                <w:szCs w:val="24"/>
              </w:rPr>
              <w:t>.409</w:t>
            </w:r>
          </w:p>
        </w:tc>
        <w:tc>
          <w:tcPr>
            <w:tcW w:w="1355" w:type="dxa"/>
            <w:tcBorders>
              <w:bottom w:val="nil"/>
            </w:tcBorders>
          </w:tcPr>
          <w:p w14:paraId="19E54158" w14:textId="77777777" w:rsidR="00234521" w:rsidRPr="008B1465" w:rsidRDefault="00234521" w:rsidP="00163663">
            <w:pPr>
              <w:spacing w:after="0" w:line="360" w:lineRule="auto"/>
              <w:jc w:val="both"/>
              <w:rPr>
                <w:rFonts w:ascii="Times New Roman" w:hAnsi="Times New Roman"/>
                <w:sz w:val="24"/>
                <w:szCs w:val="24"/>
              </w:rPr>
            </w:pPr>
            <w:r w:rsidRPr="008B1465">
              <w:rPr>
                <w:rFonts w:ascii="Times New Roman" w:hAnsi="Times New Roman"/>
                <w:sz w:val="24"/>
                <w:szCs w:val="24"/>
              </w:rPr>
              <w:t>12.181</w:t>
            </w:r>
          </w:p>
        </w:tc>
        <w:tc>
          <w:tcPr>
            <w:tcW w:w="1355" w:type="dxa"/>
            <w:tcBorders>
              <w:bottom w:val="nil"/>
            </w:tcBorders>
          </w:tcPr>
          <w:p w14:paraId="0B089FD8" w14:textId="77777777" w:rsidR="00234521" w:rsidRPr="008B1465" w:rsidRDefault="00234521" w:rsidP="00163663">
            <w:pPr>
              <w:spacing w:after="0" w:line="360" w:lineRule="auto"/>
              <w:jc w:val="both"/>
              <w:rPr>
                <w:rFonts w:ascii="Times New Roman" w:hAnsi="Times New Roman"/>
                <w:sz w:val="24"/>
                <w:szCs w:val="24"/>
              </w:rPr>
            </w:pPr>
            <w:r w:rsidRPr="008B1465">
              <w:rPr>
                <w:rFonts w:ascii="Times New Roman" w:hAnsi="Times New Roman"/>
                <w:sz w:val="24"/>
                <w:szCs w:val="24"/>
              </w:rPr>
              <w:t>.000</w:t>
            </w:r>
          </w:p>
        </w:tc>
        <w:tc>
          <w:tcPr>
            <w:tcW w:w="1355" w:type="dxa"/>
            <w:tcBorders>
              <w:bottom w:val="nil"/>
            </w:tcBorders>
          </w:tcPr>
          <w:p w14:paraId="64E8D0E5" w14:textId="77777777" w:rsidR="00234521" w:rsidRPr="008B1465" w:rsidRDefault="00234521" w:rsidP="00163663">
            <w:pPr>
              <w:spacing w:after="0" w:line="360" w:lineRule="auto"/>
              <w:jc w:val="both"/>
              <w:rPr>
                <w:rFonts w:ascii="Times New Roman" w:hAnsi="Times New Roman"/>
                <w:sz w:val="24"/>
                <w:szCs w:val="24"/>
              </w:rPr>
            </w:pPr>
            <w:r w:rsidRPr="008B1465">
              <w:rPr>
                <w:rFonts w:ascii="Times New Roman" w:hAnsi="Times New Roman"/>
                <w:sz w:val="24"/>
                <w:szCs w:val="24"/>
              </w:rPr>
              <w:t>.983</w:t>
            </w:r>
          </w:p>
        </w:tc>
        <w:tc>
          <w:tcPr>
            <w:tcW w:w="1355" w:type="dxa"/>
            <w:tcBorders>
              <w:bottom w:val="nil"/>
            </w:tcBorders>
          </w:tcPr>
          <w:p w14:paraId="52A2E092" w14:textId="77777777" w:rsidR="00234521" w:rsidRPr="008B1465" w:rsidRDefault="00234521" w:rsidP="00163663">
            <w:pPr>
              <w:spacing w:after="0" w:line="360" w:lineRule="auto"/>
              <w:jc w:val="both"/>
              <w:rPr>
                <w:rFonts w:ascii="Times New Roman" w:hAnsi="Times New Roman"/>
                <w:sz w:val="24"/>
                <w:szCs w:val="24"/>
              </w:rPr>
            </w:pPr>
            <w:r w:rsidRPr="008B1465">
              <w:rPr>
                <w:rFonts w:ascii="Times New Roman" w:hAnsi="Times New Roman"/>
                <w:sz w:val="24"/>
                <w:szCs w:val="24"/>
              </w:rPr>
              <w:t>1.017</w:t>
            </w:r>
          </w:p>
        </w:tc>
      </w:tr>
      <w:tr w:rsidR="00234521" w:rsidRPr="008B1465" w14:paraId="6B1F91C3" w14:textId="77777777" w:rsidTr="00D94430">
        <w:trPr>
          <w:trHeight w:val="377"/>
        </w:trPr>
        <w:tc>
          <w:tcPr>
            <w:tcW w:w="1354" w:type="dxa"/>
            <w:tcBorders>
              <w:top w:val="nil"/>
              <w:bottom w:val="nil"/>
            </w:tcBorders>
          </w:tcPr>
          <w:p w14:paraId="5E738960" w14:textId="77777777" w:rsidR="00234521" w:rsidRPr="008B1465" w:rsidRDefault="00234521" w:rsidP="00163663">
            <w:pPr>
              <w:spacing w:after="0" w:line="360" w:lineRule="auto"/>
              <w:jc w:val="both"/>
              <w:rPr>
                <w:rFonts w:ascii="Times New Roman" w:hAnsi="Times New Roman"/>
                <w:b/>
                <w:bCs/>
                <w:sz w:val="24"/>
                <w:szCs w:val="24"/>
              </w:rPr>
            </w:pPr>
            <w:r w:rsidRPr="008B1465">
              <w:rPr>
                <w:rFonts w:ascii="Times New Roman" w:hAnsi="Times New Roman"/>
                <w:b/>
                <w:bCs/>
                <w:sz w:val="24"/>
                <w:szCs w:val="24"/>
              </w:rPr>
              <w:t>SCCP</w:t>
            </w:r>
          </w:p>
        </w:tc>
        <w:tc>
          <w:tcPr>
            <w:tcW w:w="1354" w:type="dxa"/>
            <w:tcBorders>
              <w:top w:val="nil"/>
              <w:bottom w:val="nil"/>
            </w:tcBorders>
          </w:tcPr>
          <w:p w14:paraId="116A1858" w14:textId="77777777" w:rsidR="00234521" w:rsidRPr="008B1465" w:rsidRDefault="00234521" w:rsidP="00163663">
            <w:pPr>
              <w:spacing w:after="0" w:line="360" w:lineRule="auto"/>
              <w:jc w:val="both"/>
              <w:rPr>
                <w:rFonts w:ascii="Times New Roman" w:hAnsi="Times New Roman"/>
                <w:sz w:val="24"/>
                <w:szCs w:val="24"/>
              </w:rPr>
            </w:pPr>
            <w:r w:rsidRPr="008B1465">
              <w:rPr>
                <w:rFonts w:ascii="Times New Roman" w:hAnsi="Times New Roman"/>
                <w:sz w:val="24"/>
                <w:szCs w:val="24"/>
              </w:rPr>
              <w:t>-.588</w:t>
            </w:r>
          </w:p>
        </w:tc>
        <w:tc>
          <w:tcPr>
            <w:tcW w:w="1355" w:type="dxa"/>
            <w:tcBorders>
              <w:top w:val="nil"/>
              <w:bottom w:val="nil"/>
            </w:tcBorders>
          </w:tcPr>
          <w:p w14:paraId="2E34B419" w14:textId="77777777" w:rsidR="00234521" w:rsidRPr="008B1465" w:rsidRDefault="00234521" w:rsidP="00163663">
            <w:pPr>
              <w:spacing w:after="0" w:line="360" w:lineRule="auto"/>
              <w:jc w:val="both"/>
              <w:rPr>
                <w:rFonts w:ascii="Times New Roman" w:hAnsi="Times New Roman"/>
                <w:sz w:val="24"/>
                <w:szCs w:val="24"/>
              </w:rPr>
            </w:pPr>
            <w:r w:rsidRPr="008B1465">
              <w:rPr>
                <w:rFonts w:ascii="Times New Roman" w:hAnsi="Times New Roman"/>
                <w:sz w:val="24"/>
                <w:szCs w:val="24"/>
              </w:rPr>
              <w:t>-.440</w:t>
            </w:r>
          </w:p>
        </w:tc>
        <w:tc>
          <w:tcPr>
            <w:tcW w:w="1355" w:type="dxa"/>
            <w:tcBorders>
              <w:top w:val="nil"/>
              <w:bottom w:val="nil"/>
            </w:tcBorders>
          </w:tcPr>
          <w:p w14:paraId="36EDEB8A" w14:textId="77777777" w:rsidR="00234521" w:rsidRPr="008B1465" w:rsidRDefault="00234521" w:rsidP="00163663">
            <w:pPr>
              <w:spacing w:after="0" w:line="360" w:lineRule="auto"/>
              <w:jc w:val="both"/>
              <w:rPr>
                <w:rFonts w:ascii="Times New Roman" w:hAnsi="Times New Roman"/>
                <w:sz w:val="24"/>
                <w:szCs w:val="24"/>
              </w:rPr>
            </w:pPr>
            <w:r w:rsidRPr="008B1465">
              <w:rPr>
                <w:rFonts w:ascii="Times New Roman" w:hAnsi="Times New Roman"/>
                <w:sz w:val="24"/>
                <w:szCs w:val="24"/>
              </w:rPr>
              <w:t>-10.110</w:t>
            </w:r>
          </w:p>
        </w:tc>
        <w:tc>
          <w:tcPr>
            <w:tcW w:w="1355" w:type="dxa"/>
            <w:tcBorders>
              <w:top w:val="nil"/>
              <w:bottom w:val="nil"/>
            </w:tcBorders>
          </w:tcPr>
          <w:p w14:paraId="6071D968" w14:textId="77777777" w:rsidR="00234521" w:rsidRPr="008B1465" w:rsidRDefault="00234521" w:rsidP="00163663">
            <w:pPr>
              <w:spacing w:after="0" w:line="360" w:lineRule="auto"/>
              <w:jc w:val="both"/>
              <w:rPr>
                <w:rFonts w:ascii="Times New Roman" w:hAnsi="Times New Roman"/>
                <w:sz w:val="24"/>
                <w:szCs w:val="24"/>
              </w:rPr>
            </w:pPr>
            <w:r w:rsidRPr="008B1465">
              <w:rPr>
                <w:rFonts w:ascii="Times New Roman" w:hAnsi="Times New Roman"/>
                <w:sz w:val="24"/>
                <w:szCs w:val="24"/>
              </w:rPr>
              <w:t>.000</w:t>
            </w:r>
          </w:p>
        </w:tc>
        <w:tc>
          <w:tcPr>
            <w:tcW w:w="1355" w:type="dxa"/>
            <w:tcBorders>
              <w:top w:val="nil"/>
              <w:bottom w:val="nil"/>
            </w:tcBorders>
          </w:tcPr>
          <w:p w14:paraId="0AAE678A" w14:textId="77777777" w:rsidR="00234521" w:rsidRPr="008B1465" w:rsidRDefault="00234521" w:rsidP="00163663">
            <w:pPr>
              <w:spacing w:after="0" w:line="360" w:lineRule="auto"/>
              <w:jc w:val="both"/>
              <w:rPr>
                <w:rFonts w:ascii="Times New Roman" w:hAnsi="Times New Roman"/>
                <w:sz w:val="24"/>
                <w:szCs w:val="24"/>
              </w:rPr>
            </w:pPr>
            <w:r w:rsidRPr="008B1465">
              <w:rPr>
                <w:rFonts w:ascii="Times New Roman" w:hAnsi="Times New Roman"/>
                <w:sz w:val="24"/>
                <w:szCs w:val="24"/>
              </w:rPr>
              <w:t>.586</w:t>
            </w:r>
          </w:p>
        </w:tc>
        <w:tc>
          <w:tcPr>
            <w:tcW w:w="1355" w:type="dxa"/>
            <w:tcBorders>
              <w:top w:val="nil"/>
              <w:bottom w:val="nil"/>
            </w:tcBorders>
          </w:tcPr>
          <w:p w14:paraId="5FC6DD2B" w14:textId="77777777" w:rsidR="00234521" w:rsidRPr="008B1465" w:rsidRDefault="00234521" w:rsidP="00163663">
            <w:pPr>
              <w:spacing w:after="0" w:line="360" w:lineRule="auto"/>
              <w:jc w:val="both"/>
              <w:rPr>
                <w:rFonts w:ascii="Times New Roman" w:hAnsi="Times New Roman"/>
                <w:sz w:val="24"/>
                <w:szCs w:val="24"/>
              </w:rPr>
            </w:pPr>
            <w:r w:rsidRPr="008B1465">
              <w:rPr>
                <w:rFonts w:ascii="Times New Roman" w:hAnsi="Times New Roman"/>
                <w:sz w:val="24"/>
                <w:szCs w:val="24"/>
              </w:rPr>
              <w:t>1.707</w:t>
            </w:r>
          </w:p>
        </w:tc>
      </w:tr>
    </w:tbl>
    <w:p w14:paraId="3527C932" w14:textId="77777777" w:rsidR="00234521" w:rsidRPr="008B1465" w:rsidRDefault="00234521" w:rsidP="00234521">
      <w:pPr>
        <w:pStyle w:val="NoSpacing"/>
        <w:rPr>
          <w:rFonts w:ascii="Times New Roman" w:hAnsi="Times New Roman"/>
          <w:b/>
          <w:bCs/>
          <w:sz w:val="18"/>
          <w:szCs w:val="18"/>
        </w:rPr>
      </w:pPr>
      <w:r w:rsidRPr="008B1465">
        <w:rPr>
          <w:rFonts w:ascii="Times New Roman" w:hAnsi="Times New Roman"/>
          <w:b/>
          <w:bCs/>
          <w:sz w:val="18"/>
          <w:szCs w:val="18"/>
        </w:rPr>
        <w:t>R= .776</w:t>
      </w:r>
    </w:p>
    <w:p w14:paraId="525E579C" w14:textId="77777777" w:rsidR="00234521" w:rsidRPr="008B1465" w:rsidRDefault="00234521" w:rsidP="00234521">
      <w:pPr>
        <w:pStyle w:val="NoSpacing"/>
        <w:rPr>
          <w:rFonts w:ascii="Times New Roman" w:hAnsi="Times New Roman"/>
          <w:b/>
          <w:bCs/>
          <w:sz w:val="18"/>
          <w:szCs w:val="18"/>
        </w:rPr>
      </w:pPr>
      <w:r w:rsidRPr="008B1465">
        <w:rPr>
          <w:rFonts w:ascii="Times New Roman" w:hAnsi="Times New Roman"/>
          <w:b/>
          <w:bCs/>
          <w:sz w:val="18"/>
          <w:szCs w:val="18"/>
        </w:rPr>
        <w:t>R</w:t>
      </w:r>
      <w:r w:rsidRPr="008B1465">
        <w:rPr>
          <w:rFonts w:ascii="Times New Roman" w:hAnsi="Times New Roman"/>
          <w:b/>
          <w:bCs/>
          <w:sz w:val="18"/>
          <w:szCs w:val="18"/>
          <w:vertAlign w:val="superscript"/>
        </w:rPr>
        <w:t xml:space="preserve">2 </w:t>
      </w:r>
      <w:r w:rsidRPr="008B1465">
        <w:rPr>
          <w:rFonts w:ascii="Times New Roman" w:hAnsi="Times New Roman"/>
          <w:b/>
          <w:bCs/>
          <w:sz w:val="18"/>
          <w:szCs w:val="18"/>
        </w:rPr>
        <w:t>= .602</w:t>
      </w:r>
    </w:p>
    <w:p w14:paraId="0853CA5A" w14:textId="77777777" w:rsidR="00234521" w:rsidRPr="008B1465" w:rsidRDefault="00234521" w:rsidP="00234521">
      <w:pPr>
        <w:pStyle w:val="NoSpacing"/>
        <w:rPr>
          <w:rFonts w:ascii="Times New Roman" w:hAnsi="Times New Roman"/>
          <w:b/>
          <w:bCs/>
          <w:sz w:val="18"/>
          <w:szCs w:val="18"/>
        </w:rPr>
      </w:pPr>
      <w:r w:rsidRPr="008B1465">
        <w:rPr>
          <w:rFonts w:ascii="Times New Roman" w:hAnsi="Times New Roman"/>
          <w:b/>
          <w:bCs/>
          <w:sz w:val="18"/>
          <w:szCs w:val="18"/>
        </w:rPr>
        <w:t>Adj.R</w:t>
      </w:r>
      <w:r w:rsidRPr="008B1465">
        <w:rPr>
          <w:rFonts w:ascii="Times New Roman" w:hAnsi="Times New Roman"/>
          <w:b/>
          <w:bCs/>
          <w:sz w:val="18"/>
          <w:szCs w:val="18"/>
          <w:vertAlign w:val="superscript"/>
        </w:rPr>
        <w:t xml:space="preserve">2 </w:t>
      </w:r>
      <w:r w:rsidRPr="008B1465">
        <w:rPr>
          <w:rFonts w:ascii="Times New Roman" w:hAnsi="Times New Roman"/>
          <w:b/>
          <w:bCs/>
          <w:sz w:val="18"/>
          <w:szCs w:val="18"/>
        </w:rPr>
        <w:t>= .598</w:t>
      </w:r>
    </w:p>
    <w:p w14:paraId="11868789" w14:textId="77777777" w:rsidR="00234521" w:rsidRPr="008B1465" w:rsidRDefault="00234521" w:rsidP="00234521">
      <w:pPr>
        <w:pStyle w:val="NoSpacing"/>
        <w:rPr>
          <w:rFonts w:ascii="Times New Roman" w:hAnsi="Times New Roman"/>
          <w:b/>
          <w:bCs/>
          <w:sz w:val="18"/>
          <w:szCs w:val="18"/>
        </w:rPr>
      </w:pPr>
      <w:r w:rsidRPr="008B1465">
        <w:rPr>
          <w:rFonts w:ascii="Times New Roman" w:hAnsi="Times New Roman"/>
          <w:b/>
          <w:bCs/>
          <w:sz w:val="18"/>
          <w:szCs w:val="18"/>
        </w:rPr>
        <w:t>F (4,359) = 135.998</w:t>
      </w:r>
    </w:p>
    <w:p w14:paraId="710A4605" w14:textId="77777777" w:rsidR="00234521" w:rsidRPr="008B1465" w:rsidRDefault="00234521" w:rsidP="00E86D36">
      <w:pPr>
        <w:pStyle w:val="NoSpacing"/>
        <w:pBdr>
          <w:bottom w:val="thinThickSmallGap" w:sz="24" w:space="1" w:color="auto"/>
        </w:pBdr>
        <w:rPr>
          <w:rFonts w:ascii="Times New Roman" w:hAnsi="Times New Roman"/>
          <w:b/>
          <w:bCs/>
          <w:sz w:val="18"/>
          <w:szCs w:val="18"/>
        </w:rPr>
      </w:pPr>
      <w:r w:rsidRPr="008B1465">
        <w:rPr>
          <w:rFonts w:ascii="Times New Roman" w:hAnsi="Times New Roman"/>
          <w:b/>
          <w:bCs/>
          <w:sz w:val="18"/>
          <w:szCs w:val="18"/>
        </w:rPr>
        <w:t>Sig= 0.0131</w:t>
      </w:r>
    </w:p>
    <w:p w14:paraId="322D10F3" w14:textId="77777777" w:rsidR="00234521" w:rsidRPr="008B1465" w:rsidRDefault="00234521" w:rsidP="00ED7FE7">
      <w:pPr>
        <w:pStyle w:val="NoSpacing"/>
        <w:pBdr>
          <w:top w:val="single" w:sz="4" w:space="1" w:color="auto"/>
        </w:pBdr>
        <w:rPr>
          <w:rFonts w:ascii="Times New Roman" w:hAnsi="Times New Roman"/>
          <w:b/>
          <w:bCs/>
          <w:sz w:val="18"/>
          <w:szCs w:val="18"/>
        </w:rPr>
      </w:pPr>
      <w:r w:rsidRPr="008B1465">
        <w:rPr>
          <w:rFonts w:ascii="Times New Roman" w:hAnsi="Times New Roman"/>
          <w:b/>
          <w:bCs/>
          <w:sz w:val="18"/>
          <w:szCs w:val="18"/>
        </w:rPr>
        <w:t>Durbin-Watson = 1.967</w:t>
      </w:r>
    </w:p>
    <w:p w14:paraId="05EFF9BF" w14:textId="7F8CA33E" w:rsidR="00234521" w:rsidRPr="008B1465" w:rsidRDefault="00234521" w:rsidP="00ED7FE7">
      <w:pPr>
        <w:pStyle w:val="NoSpacing"/>
        <w:rPr>
          <w:rFonts w:ascii="Times New Roman" w:hAnsi="Times New Roman"/>
          <w:b/>
          <w:bCs/>
          <w:sz w:val="18"/>
          <w:szCs w:val="18"/>
        </w:rPr>
      </w:pPr>
      <w:r w:rsidRPr="008B1465">
        <w:rPr>
          <w:rFonts w:ascii="Times New Roman" w:hAnsi="Times New Roman"/>
          <w:b/>
          <w:bCs/>
          <w:sz w:val="18"/>
          <w:szCs w:val="18"/>
        </w:rPr>
        <w:t>Source: Researchers’ Computation 2023, SPSS 25.0</w:t>
      </w:r>
    </w:p>
    <w:p w14:paraId="608D86D4" w14:textId="77777777" w:rsidR="00D44000" w:rsidRPr="008B1465" w:rsidRDefault="00D44000" w:rsidP="00D44000">
      <w:pPr>
        <w:spacing w:after="0" w:line="360" w:lineRule="auto"/>
        <w:jc w:val="both"/>
        <w:rPr>
          <w:rFonts w:ascii="Times New Roman" w:hAnsi="Times New Roman"/>
          <w:sz w:val="24"/>
          <w:szCs w:val="24"/>
        </w:rPr>
      </w:pPr>
      <w:r w:rsidRPr="008B1465">
        <w:rPr>
          <w:rFonts w:ascii="Times New Roman" w:hAnsi="Times New Roman"/>
          <w:sz w:val="24"/>
          <w:szCs w:val="24"/>
        </w:rPr>
        <w:t xml:space="preserve">To establish linear </w:t>
      </w:r>
      <w:r>
        <w:rPr>
          <w:rFonts w:ascii="Times New Roman" w:hAnsi="Times New Roman"/>
          <w:sz w:val="24"/>
          <w:szCs w:val="24"/>
        </w:rPr>
        <w:t>effect of</w:t>
      </w:r>
      <w:r w:rsidRPr="008B1465">
        <w:rPr>
          <w:rFonts w:ascii="Times New Roman" w:hAnsi="Times New Roman"/>
          <w:sz w:val="24"/>
          <w:szCs w:val="24"/>
        </w:rPr>
        <w:t xml:space="preserve"> forensic accounting techniques </w:t>
      </w:r>
      <w:r>
        <w:rPr>
          <w:rFonts w:ascii="Times New Roman" w:hAnsi="Times New Roman"/>
          <w:sz w:val="24"/>
          <w:szCs w:val="24"/>
        </w:rPr>
        <w:t>on</w:t>
      </w:r>
      <w:r w:rsidRPr="008B1465">
        <w:rPr>
          <w:rFonts w:ascii="Times New Roman" w:hAnsi="Times New Roman"/>
          <w:sz w:val="24"/>
          <w:szCs w:val="24"/>
        </w:rPr>
        <w:t xml:space="preserve"> value for money practices, multiple regression analysis was employed. Table 4.1</w:t>
      </w:r>
      <w:r>
        <w:rPr>
          <w:rFonts w:ascii="Times New Roman" w:hAnsi="Times New Roman"/>
          <w:sz w:val="24"/>
          <w:szCs w:val="24"/>
        </w:rPr>
        <w:t>3</w:t>
      </w:r>
      <w:r w:rsidRPr="008B1465">
        <w:rPr>
          <w:rFonts w:ascii="Times New Roman" w:hAnsi="Times New Roman"/>
          <w:sz w:val="24"/>
          <w:szCs w:val="24"/>
        </w:rPr>
        <w:t xml:space="preserve"> collinearity and serial auto correlation diagnostic statistics were run. Variance Inflation Factor (VIF) ranges from 1.012 to 1.707 which by far lower than the upper limit of ten (10) and Tolerance ranges from 0.586 and 0.989 which is higher than 0.1threshhold. This indicates that, the model does not have the problem of multicollinearity. </w:t>
      </w:r>
    </w:p>
    <w:p w14:paraId="624CC217" w14:textId="3020F891" w:rsidR="00234521" w:rsidRDefault="00234521" w:rsidP="00234521">
      <w:pPr>
        <w:spacing w:after="0" w:line="360" w:lineRule="auto"/>
        <w:jc w:val="both"/>
        <w:rPr>
          <w:rFonts w:ascii="Times New Roman" w:hAnsi="Times New Roman"/>
          <w:sz w:val="24"/>
          <w:szCs w:val="24"/>
        </w:rPr>
      </w:pPr>
      <w:r w:rsidRPr="008B1465">
        <w:rPr>
          <w:rFonts w:ascii="Times New Roman" w:hAnsi="Times New Roman"/>
          <w:sz w:val="24"/>
          <w:szCs w:val="24"/>
        </w:rPr>
        <w:t>Table 4.1</w:t>
      </w:r>
      <w:r w:rsidR="0066058E">
        <w:rPr>
          <w:rFonts w:ascii="Times New Roman" w:hAnsi="Times New Roman"/>
          <w:sz w:val="24"/>
          <w:szCs w:val="24"/>
        </w:rPr>
        <w:t>3</w:t>
      </w:r>
      <w:r w:rsidRPr="008B1465">
        <w:rPr>
          <w:rFonts w:ascii="Times New Roman" w:hAnsi="Times New Roman"/>
          <w:sz w:val="24"/>
          <w:szCs w:val="24"/>
        </w:rPr>
        <w:t xml:space="preserve"> showed that, Durbin-Watson is 1.967. This implies that, there is no problem of serial auto correlation in the study. The analysis also shows that </w:t>
      </w:r>
      <w:bookmarkStart w:id="129" w:name="_Hlk136630516"/>
      <w:r w:rsidRPr="008B1465">
        <w:rPr>
          <w:rFonts w:ascii="Times New Roman" w:hAnsi="Times New Roman"/>
          <w:sz w:val="24"/>
          <w:szCs w:val="24"/>
        </w:rPr>
        <w:t xml:space="preserve">R = 0.776, F (4,359) = 135.998, p&lt; .05. </w:t>
      </w:r>
      <w:bookmarkEnd w:id="129"/>
      <w:r w:rsidRPr="008B1465">
        <w:rPr>
          <w:rFonts w:ascii="Times New Roman" w:hAnsi="Times New Roman"/>
          <w:sz w:val="24"/>
          <w:szCs w:val="24"/>
        </w:rPr>
        <w:t>Besides, close examination of Table 4.1</w:t>
      </w:r>
      <w:r w:rsidR="0066058E">
        <w:rPr>
          <w:rFonts w:ascii="Times New Roman" w:hAnsi="Times New Roman"/>
          <w:sz w:val="24"/>
          <w:szCs w:val="24"/>
        </w:rPr>
        <w:t>3</w:t>
      </w:r>
      <w:r w:rsidRPr="008B1465">
        <w:rPr>
          <w:rFonts w:ascii="Times New Roman" w:hAnsi="Times New Roman"/>
          <w:sz w:val="24"/>
          <w:szCs w:val="24"/>
        </w:rPr>
        <w:t xml:space="preserve"> show </w:t>
      </w:r>
      <w:r w:rsidR="00351649" w:rsidRPr="008B1465">
        <w:rPr>
          <w:rFonts w:ascii="Times New Roman" w:hAnsi="Times New Roman"/>
          <w:sz w:val="24"/>
          <w:szCs w:val="24"/>
        </w:rPr>
        <w:t xml:space="preserve">β </w:t>
      </w:r>
      <w:r w:rsidRPr="008B1465">
        <w:rPr>
          <w:rFonts w:ascii="Times New Roman" w:hAnsi="Times New Roman"/>
          <w:sz w:val="24"/>
          <w:szCs w:val="24"/>
        </w:rPr>
        <w:t xml:space="preserve">value corresponding to constant (12.192) is positive (t=10.159, p&lt; .05) that is, there exists a positive and significant relationship between forensic accounting and value for money practices. The implication is that, the more expenditure incurred on forensic accounting techniques affects the value added (fund) to the assets of the organisation under consideration (federal universities in southwest, Nigeria). </w:t>
      </w:r>
    </w:p>
    <w:p w14:paraId="7BEC9B21" w14:textId="77777777" w:rsidR="006972C5" w:rsidRPr="008B1465" w:rsidRDefault="006972C5" w:rsidP="00234521">
      <w:pPr>
        <w:spacing w:after="0" w:line="360" w:lineRule="auto"/>
        <w:jc w:val="both"/>
        <w:rPr>
          <w:rFonts w:ascii="Times New Roman" w:hAnsi="Times New Roman"/>
          <w:sz w:val="24"/>
          <w:szCs w:val="24"/>
        </w:rPr>
      </w:pPr>
    </w:p>
    <w:p w14:paraId="35BEE4EB" w14:textId="77777777" w:rsidR="00234521" w:rsidRPr="008B1465" w:rsidRDefault="00234521" w:rsidP="00234521">
      <w:pPr>
        <w:pStyle w:val="Heading3"/>
      </w:pPr>
      <w:bookmarkStart w:id="130" w:name="_Toc145951129"/>
      <w:r w:rsidRPr="008B1465">
        <w:t>Effect of Forensic Accounting Techniques on Creative Accounting practices</w:t>
      </w:r>
      <w:bookmarkEnd w:id="130"/>
      <w:r w:rsidRPr="008B1465">
        <w:t xml:space="preserve"> </w:t>
      </w:r>
    </w:p>
    <w:p w14:paraId="4B305078" w14:textId="40AEDB7D" w:rsidR="006B5702" w:rsidRPr="007A5360" w:rsidRDefault="006B5702" w:rsidP="006B5702">
      <w:pPr>
        <w:pStyle w:val="Caption"/>
        <w:keepNext/>
        <w:jc w:val="center"/>
        <w:rPr>
          <w:rFonts w:ascii="Times New Roman" w:hAnsi="Times New Roman"/>
          <w:i w:val="0"/>
          <w:iCs w:val="0"/>
          <w:color w:val="000000" w:themeColor="text1"/>
          <w:sz w:val="24"/>
          <w:szCs w:val="24"/>
        </w:rPr>
      </w:pPr>
      <w:bookmarkStart w:id="131" w:name="_Toc145952347"/>
      <w:r w:rsidRPr="007A5360">
        <w:rPr>
          <w:rFonts w:ascii="Times New Roman" w:hAnsi="Times New Roman"/>
          <w:i w:val="0"/>
          <w:iCs w:val="0"/>
          <w:color w:val="000000" w:themeColor="text1"/>
          <w:sz w:val="24"/>
          <w:szCs w:val="24"/>
        </w:rPr>
        <w:t xml:space="preserve">Table </w:t>
      </w:r>
      <w:r w:rsidR="000F6857">
        <w:rPr>
          <w:rFonts w:ascii="Times New Roman" w:hAnsi="Times New Roman"/>
          <w:i w:val="0"/>
          <w:iCs w:val="0"/>
          <w:color w:val="000000" w:themeColor="text1"/>
          <w:sz w:val="24"/>
          <w:szCs w:val="24"/>
        </w:rPr>
        <w:fldChar w:fldCharType="begin"/>
      </w:r>
      <w:r w:rsidR="000F6857">
        <w:rPr>
          <w:rFonts w:ascii="Times New Roman" w:hAnsi="Times New Roman"/>
          <w:i w:val="0"/>
          <w:iCs w:val="0"/>
          <w:color w:val="000000" w:themeColor="text1"/>
          <w:sz w:val="24"/>
          <w:szCs w:val="24"/>
        </w:rPr>
        <w:instrText xml:space="preserve"> STYLEREF 1 \s </w:instrText>
      </w:r>
      <w:r w:rsidR="000F6857">
        <w:rPr>
          <w:rFonts w:ascii="Times New Roman" w:hAnsi="Times New Roman"/>
          <w:i w:val="0"/>
          <w:iCs w:val="0"/>
          <w:color w:val="000000" w:themeColor="text1"/>
          <w:sz w:val="24"/>
          <w:szCs w:val="24"/>
        </w:rPr>
        <w:fldChar w:fldCharType="separate"/>
      </w:r>
      <w:r w:rsidR="007B5846">
        <w:rPr>
          <w:rFonts w:ascii="Times New Roman" w:hAnsi="Times New Roman"/>
          <w:i w:val="0"/>
          <w:iCs w:val="0"/>
          <w:noProof/>
          <w:color w:val="000000" w:themeColor="text1"/>
          <w:sz w:val="24"/>
          <w:szCs w:val="24"/>
        </w:rPr>
        <w:t>4</w:t>
      </w:r>
      <w:r w:rsidR="000F6857">
        <w:rPr>
          <w:rFonts w:ascii="Times New Roman" w:hAnsi="Times New Roman"/>
          <w:i w:val="0"/>
          <w:iCs w:val="0"/>
          <w:color w:val="000000" w:themeColor="text1"/>
          <w:sz w:val="24"/>
          <w:szCs w:val="24"/>
        </w:rPr>
        <w:fldChar w:fldCharType="end"/>
      </w:r>
      <w:r w:rsidR="000F6857">
        <w:rPr>
          <w:rFonts w:ascii="Times New Roman" w:hAnsi="Times New Roman"/>
          <w:i w:val="0"/>
          <w:iCs w:val="0"/>
          <w:color w:val="000000" w:themeColor="text1"/>
          <w:sz w:val="24"/>
          <w:szCs w:val="24"/>
        </w:rPr>
        <w:t>.</w:t>
      </w:r>
      <w:r w:rsidR="000F6857">
        <w:rPr>
          <w:rFonts w:ascii="Times New Roman" w:hAnsi="Times New Roman"/>
          <w:i w:val="0"/>
          <w:iCs w:val="0"/>
          <w:color w:val="000000" w:themeColor="text1"/>
          <w:sz w:val="24"/>
          <w:szCs w:val="24"/>
        </w:rPr>
        <w:fldChar w:fldCharType="begin"/>
      </w:r>
      <w:r w:rsidR="000F6857">
        <w:rPr>
          <w:rFonts w:ascii="Times New Roman" w:hAnsi="Times New Roman"/>
          <w:i w:val="0"/>
          <w:iCs w:val="0"/>
          <w:color w:val="000000" w:themeColor="text1"/>
          <w:sz w:val="24"/>
          <w:szCs w:val="24"/>
        </w:rPr>
        <w:instrText xml:space="preserve"> SEQ Table \* ARABIC \s 1 </w:instrText>
      </w:r>
      <w:r w:rsidR="000F6857">
        <w:rPr>
          <w:rFonts w:ascii="Times New Roman" w:hAnsi="Times New Roman"/>
          <w:i w:val="0"/>
          <w:iCs w:val="0"/>
          <w:color w:val="000000" w:themeColor="text1"/>
          <w:sz w:val="24"/>
          <w:szCs w:val="24"/>
        </w:rPr>
        <w:fldChar w:fldCharType="separate"/>
      </w:r>
      <w:r w:rsidR="007B5846">
        <w:rPr>
          <w:rFonts w:ascii="Times New Roman" w:hAnsi="Times New Roman"/>
          <w:i w:val="0"/>
          <w:iCs w:val="0"/>
          <w:noProof/>
          <w:color w:val="000000" w:themeColor="text1"/>
          <w:sz w:val="24"/>
          <w:szCs w:val="24"/>
        </w:rPr>
        <w:t>14</w:t>
      </w:r>
      <w:r w:rsidR="000F6857">
        <w:rPr>
          <w:rFonts w:ascii="Times New Roman" w:hAnsi="Times New Roman"/>
          <w:i w:val="0"/>
          <w:iCs w:val="0"/>
          <w:color w:val="000000" w:themeColor="text1"/>
          <w:sz w:val="24"/>
          <w:szCs w:val="24"/>
        </w:rPr>
        <w:fldChar w:fldCharType="end"/>
      </w:r>
      <w:r w:rsidRPr="007A5360">
        <w:rPr>
          <w:rFonts w:ascii="Times New Roman" w:hAnsi="Times New Roman"/>
          <w:i w:val="0"/>
          <w:iCs w:val="0"/>
          <w:color w:val="000000" w:themeColor="text1"/>
          <w:sz w:val="24"/>
          <w:szCs w:val="24"/>
        </w:rPr>
        <w:t>: Effect of Forensic Accounting Techniques on Creative Accounting Practices</w:t>
      </w:r>
      <w:bookmarkEnd w:id="131"/>
    </w:p>
    <w:tbl>
      <w:tblPr>
        <w:tblW w:w="0" w:type="auto"/>
        <w:tblInd w:w="-5" w:type="dxa"/>
        <w:tblBorders>
          <w:top w:val="single" w:sz="4" w:space="0" w:color="auto"/>
          <w:bottom w:val="single" w:sz="4" w:space="0" w:color="auto"/>
        </w:tblBorders>
        <w:tblLook w:val="04A0" w:firstRow="1" w:lastRow="0" w:firstColumn="1" w:lastColumn="0" w:noHBand="0" w:noVBand="1"/>
      </w:tblPr>
      <w:tblGrid>
        <w:gridCol w:w="1461"/>
        <w:gridCol w:w="1197"/>
        <w:gridCol w:w="1341"/>
        <w:gridCol w:w="1406"/>
        <w:gridCol w:w="1309"/>
        <w:gridCol w:w="1309"/>
        <w:gridCol w:w="1342"/>
      </w:tblGrid>
      <w:tr w:rsidR="00A67C3C" w:rsidRPr="008B1465" w14:paraId="6D71CECF" w14:textId="77777777" w:rsidTr="00A67C3C">
        <w:tc>
          <w:tcPr>
            <w:tcW w:w="1461" w:type="dxa"/>
            <w:tcBorders>
              <w:top w:val="thinThickSmallGap" w:sz="24" w:space="0" w:color="auto"/>
              <w:bottom w:val="thinThickSmallGap" w:sz="24" w:space="0" w:color="auto"/>
            </w:tcBorders>
          </w:tcPr>
          <w:p w14:paraId="692C9DC9" w14:textId="7A244AD8" w:rsidR="00A67C3C" w:rsidRPr="008B1465" w:rsidRDefault="00A67C3C" w:rsidP="00163663">
            <w:pPr>
              <w:spacing w:after="0" w:line="360" w:lineRule="auto"/>
              <w:rPr>
                <w:rFonts w:ascii="Times New Roman" w:hAnsi="Times New Roman"/>
                <w:b/>
                <w:bCs/>
                <w:sz w:val="24"/>
                <w:szCs w:val="24"/>
              </w:rPr>
            </w:pPr>
            <w:r w:rsidRPr="008B1465">
              <w:rPr>
                <w:rFonts w:ascii="Times New Roman" w:hAnsi="Times New Roman"/>
                <w:b/>
                <w:bCs/>
                <w:sz w:val="24"/>
                <w:szCs w:val="24"/>
              </w:rPr>
              <w:t>Variable</w:t>
            </w:r>
            <w:r>
              <w:rPr>
                <w:rFonts w:ascii="Times New Roman" w:hAnsi="Times New Roman"/>
                <w:b/>
                <w:bCs/>
                <w:sz w:val="24"/>
                <w:szCs w:val="24"/>
              </w:rPr>
              <w:t>s</w:t>
            </w:r>
          </w:p>
        </w:tc>
        <w:tc>
          <w:tcPr>
            <w:tcW w:w="1197" w:type="dxa"/>
            <w:tcBorders>
              <w:top w:val="thinThickSmallGap" w:sz="24" w:space="0" w:color="auto"/>
              <w:bottom w:val="thinThickSmallGap" w:sz="24" w:space="0" w:color="auto"/>
            </w:tcBorders>
          </w:tcPr>
          <w:p w14:paraId="19614FE4" w14:textId="02845EB9" w:rsidR="00A67C3C" w:rsidRPr="008B1465" w:rsidRDefault="00180A55" w:rsidP="00163663">
            <w:pPr>
              <w:spacing w:after="0" w:line="360" w:lineRule="auto"/>
              <w:rPr>
                <w:rFonts w:ascii="Times New Roman" w:hAnsi="Times New Roman"/>
                <w:b/>
                <w:bCs/>
                <w:sz w:val="24"/>
                <w:szCs w:val="24"/>
              </w:rPr>
            </w:pPr>
            <w:r>
              <w:rPr>
                <w:rFonts w:ascii="Times New Roman" w:hAnsi="Times New Roman"/>
                <w:b/>
                <w:bCs/>
                <w:sz w:val="24"/>
                <w:szCs w:val="24"/>
              </w:rPr>
              <w:t>B</w:t>
            </w:r>
          </w:p>
        </w:tc>
        <w:tc>
          <w:tcPr>
            <w:tcW w:w="1341" w:type="dxa"/>
            <w:tcBorders>
              <w:top w:val="thinThickSmallGap" w:sz="24" w:space="0" w:color="auto"/>
              <w:bottom w:val="thinThickSmallGap" w:sz="24" w:space="0" w:color="auto"/>
            </w:tcBorders>
          </w:tcPr>
          <w:p w14:paraId="6FAE08AD" w14:textId="6165CC73" w:rsidR="00A67C3C" w:rsidRPr="008B1465" w:rsidRDefault="00A67C3C" w:rsidP="00163663">
            <w:pPr>
              <w:spacing w:after="0" w:line="360" w:lineRule="auto"/>
              <w:rPr>
                <w:rFonts w:ascii="Times New Roman" w:hAnsi="Times New Roman"/>
                <w:b/>
                <w:bCs/>
                <w:sz w:val="24"/>
                <w:szCs w:val="24"/>
              </w:rPr>
            </w:pPr>
            <w:r w:rsidRPr="008B1465">
              <w:rPr>
                <w:rFonts w:ascii="Times New Roman" w:hAnsi="Times New Roman"/>
                <w:b/>
                <w:bCs/>
                <w:sz w:val="24"/>
                <w:szCs w:val="24"/>
              </w:rPr>
              <w:t>Beta</w:t>
            </w:r>
          </w:p>
        </w:tc>
        <w:tc>
          <w:tcPr>
            <w:tcW w:w="1406" w:type="dxa"/>
            <w:tcBorders>
              <w:top w:val="thinThickSmallGap" w:sz="24" w:space="0" w:color="auto"/>
              <w:bottom w:val="thinThickSmallGap" w:sz="24" w:space="0" w:color="auto"/>
            </w:tcBorders>
          </w:tcPr>
          <w:p w14:paraId="028FBAD4" w14:textId="77777777" w:rsidR="00A67C3C" w:rsidRPr="008B1465" w:rsidRDefault="00A67C3C" w:rsidP="00163663">
            <w:pPr>
              <w:spacing w:after="0" w:line="360" w:lineRule="auto"/>
              <w:rPr>
                <w:rFonts w:ascii="Times New Roman" w:hAnsi="Times New Roman"/>
                <w:b/>
                <w:bCs/>
                <w:sz w:val="24"/>
                <w:szCs w:val="24"/>
              </w:rPr>
            </w:pPr>
            <w:r w:rsidRPr="008B1465">
              <w:rPr>
                <w:rFonts w:ascii="Times New Roman" w:hAnsi="Times New Roman"/>
                <w:b/>
                <w:bCs/>
                <w:sz w:val="24"/>
                <w:szCs w:val="24"/>
              </w:rPr>
              <w:t>t</w:t>
            </w:r>
          </w:p>
        </w:tc>
        <w:tc>
          <w:tcPr>
            <w:tcW w:w="1309" w:type="dxa"/>
            <w:tcBorders>
              <w:top w:val="thinThickSmallGap" w:sz="24" w:space="0" w:color="auto"/>
              <w:bottom w:val="thinThickSmallGap" w:sz="24" w:space="0" w:color="auto"/>
            </w:tcBorders>
          </w:tcPr>
          <w:p w14:paraId="5EFF12BB" w14:textId="77777777" w:rsidR="00A67C3C" w:rsidRPr="008B1465" w:rsidRDefault="00A67C3C" w:rsidP="00163663">
            <w:pPr>
              <w:spacing w:after="0" w:line="360" w:lineRule="auto"/>
              <w:rPr>
                <w:rFonts w:ascii="Times New Roman" w:hAnsi="Times New Roman"/>
                <w:b/>
                <w:bCs/>
                <w:sz w:val="24"/>
                <w:szCs w:val="24"/>
              </w:rPr>
            </w:pPr>
            <w:r w:rsidRPr="008B1465">
              <w:rPr>
                <w:rFonts w:ascii="Times New Roman" w:hAnsi="Times New Roman"/>
                <w:b/>
                <w:bCs/>
                <w:sz w:val="24"/>
                <w:szCs w:val="24"/>
              </w:rPr>
              <w:t>Sig</w:t>
            </w:r>
          </w:p>
        </w:tc>
        <w:tc>
          <w:tcPr>
            <w:tcW w:w="1309" w:type="dxa"/>
            <w:tcBorders>
              <w:top w:val="thinThickSmallGap" w:sz="24" w:space="0" w:color="auto"/>
              <w:bottom w:val="thinThickSmallGap" w:sz="24" w:space="0" w:color="auto"/>
            </w:tcBorders>
          </w:tcPr>
          <w:p w14:paraId="7A7E8738" w14:textId="77777777" w:rsidR="00A67C3C" w:rsidRPr="008B1465" w:rsidRDefault="00A67C3C" w:rsidP="00163663">
            <w:pPr>
              <w:spacing w:after="0" w:line="360" w:lineRule="auto"/>
              <w:rPr>
                <w:rFonts w:ascii="Times New Roman" w:hAnsi="Times New Roman"/>
                <w:b/>
                <w:bCs/>
                <w:sz w:val="24"/>
                <w:szCs w:val="24"/>
              </w:rPr>
            </w:pPr>
            <w:r w:rsidRPr="008B1465">
              <w:rPr>
                <w:rFonts w:ascii="Times New Roman" w:hAnsi="Times New Roman"/>
                <w:b/>
                <w:bCs/>
                <w:sz w:val="24"/>
                <w:szCs w:val="24"/>
              </w:rPr>
              <w:t>T</w:t>
            </w:r>
          </w:p>
        </w:tc>
        <w:tc>
          <w:tcPr>
            <w:tcW w:w="1342" w:type="dxa"/>
            <w:tcBorders>
              <w:top w:val="thinThickSmallGap" w:sz="24" w:space="0" w:color="auto"/>
              <w:bottom w:val="thinThickSmallGap" w:sz="24" w:space="0" w:color="auto"/>
            </w:tcBorders>
          </w:tcPr>
          <w:p w14:paraId="631666C7" w14:textId="77777777" w:rsidR="00A67C3C" w:rsidRPr="008B1465" w:rsidRDefault="00A67C3C" w:rsidP="00163663">
            <w:pPr>
              <w:spacing w:after="0" w:line="360" w:lineRule="auto"/>
              <w:rPr>
                <w:rFonts w:ascii="Times New Roman" w:hAnsi="Times New Roman"/>
                <w:b/>
                <w:bCs/>
                <w:sz w:val="24"/>
                <w:szCs w:val="24"/>
              </w:rPr>
            </w:pPr>
            <w:r w:rsidRPr="008B1465">
              <w:rPr>
                <w:rFonts w:ascii="Times New Roman" w:hAnsi="Times New Roman"/>
                <w:b/>
                <w:bCs/>
                <w:sz w:val="24"/>
                <w:szCs w:val="24"/>
              </w:rPr>
              <w:t>VIF</w:t>
            </w:r>
          </w:p>
        </w:tc>
      </w:tr>
      <w:tr w:rsidR="00A67C3C" w:rsidRPr="008B1465" w14:paraId="6D67E4DB" w14:textId="77777777" w:rsidTr="00A67C3C">
        <w:tc>
          <w:tcPr>
            <w:tcW w:w="1461" w:type="dxa"/>
            <w:tcBorders>
              <w:top w:val="thinThickSmallGap" w:sz="24" w:space="0" w:color="auto"/>
            </w:tcBorders>
          </w:tcPr>
          <w:p w14:paraId="4217D854" w14:textId="77777777" w:rsidR="00A67C3C" w:rsidRPr="008B1465" w:rsidRDefault="00A67C3C" w:rsidP="00163663">
            <w:pPr>
              <w:spacing w:after="0" w:line="360" w:lineRule="auto"/>
              <w:jc w:val="both"/>
              <w:rPr>
                <w:rFonts w:ascii="Times New Roman" w:hAnsi="Times New Roman"/>
                <w:b/>
                <w:bCs/>
                <w:sz w:val="24"/>
                <w:szCs w:val="24"/>
              </w:rPr>
            </w:pPr>
            <w:r w:rsidRPr="008B1465">
              <w:rPr>
                <w:rFonts w:ascii="Times New Roman" w:hAnsi="Times New Roman"/>
                <w:b/>
                <w:bCs/>
                <w:sz w:val="24"/>
                <w:szCs w:val="24"/>
              </w:rPr>
              <w:t>Constant</w:t>
            </w:r>
          </w:p>
        </w:tc>
        <w:tc>
          <w:tcPr>
            <w:tcW w:w="1197" w:type="dxa"/>
            <w:tcBorders>
              <w:top w:val="thinThickSmallGap" w:sz="24" w:space="0" w:color="auto"/>
            </w:tcBorders>
          </w:tcPr>
          <w:p w14:paraId="26C743C2" w14:textId="6610FB66" w:rsidR="00A67C3C" w:rsidRPr="008B1465" w:rsidRDefault="00BD0DF5" w:rsidP="00163663">
            <w:pPr>
              <w:spacing w:after="0" w:line="360" w:lineRule="auto"/>
              <w:jc w:val="both"/>
              <w:rPr>
                <w:rFonts w:ascii="Times New Roman" w:hAnsi="Times New Roman"/>
                <w:sz w:val="24"/>
                <w:szCs w:val="24"/>
              </w:rPr>
            </w:pPr>
            <w:r>
              <w:rPr>
                <w:rFonts w:ascii="Times New Roman" w:hAnsi="Times New Roman"/>
                <w:sz w:val="24"/>
                <w:szCs w:val="24"/>
              </w:rPr>
              <w:t>11.025</w:t>
            </w:r>
          </w:p>
        </w:tc>
        <w:tc>
          <w:tcPr>
            <w:tcW w:w="1341" w:type="dxa"/>
            <w:tcBorders>
              <w:top w:val="thinThickSmallGap" w:sz="24" w:space="0" w:color="auto"/>
            </w:tcBorders>
          </w:tcPr>
          <w:p w14:paraId="27D2F58B" w14:textId="454297D3" w:rsidR="00A67C3C" w:rsidRPr="008B1465" w:rsidRDefault="00A67C3C" w:rsidP="00163663">
            <w:pPr>
              <w:spacing w:after="0" w:line="360" w:lineRule="auto"/>
              <w:jc w:val="both"/>
              <w:rPr>
                <w:rFonts w:ascii="Times New Roman" w:hAnsi="Times New Roman"/>
                <w:sz w:val="24"/>
                <w:szCs w:val="24"/>
              </w:rPr>
            </w:pPr>
          </w:p>
        </w:tc>
        <w:tc>
          <w:tcPr>
            <w:tcW w:w="1406" w:type="dxa"/>
            <w:tcBorders>
              <w:top w:val="thinThickSmallGap" w:sz="24" w:space="0" w:color="auto"/>
            </w:tcBorders>
          </w:tcPr>
          <w:p w14:paraId="6322A5F8" w14:textId="77777777" w:rsidR="00A67C3C" w:rsidRPr="008B1465" w:rsidRDefault="00A67C3C" w:rsidP="00163663">
            <w:pPr>
              <w:spacing w:after="0" w:line="360" w:lineRule="auto"/>
              <w:jc w:val="both"/>
              <w:rPr>
                <w:rFonts w:ascii="Times New Roman" w:hAnsi="Times New Roman"/>
                <w:sz w:val="24"/>
                <w:szCs w:val="24"/>
              </w:rPr>
            </w:pPr>
            <w:r w:rsidRPr="008B1465">
              <w:rPr>
                <w:rFonts w:ascii="Times New Roman" w:hAnsi="Times New Roman"/>
                <w:sz w:val="24"/>
                <w:szCs w:val="24"/>
              </w:rPr>
              <w:t>4.147</w:t>
            </w:r>
          </w:p>
        </w:tc>
        <w:tc>
          <w:tcPr>
            <w:tcW w:w="1309" w:type="dxa"/>
            <w:tcBorders>
              <w:top w:val="thinThickSmallGap" w:sz="24" w:space="0" w:color="auto"/>
            </w:tcBorders>
          </w:tcPr>
          <w:p w14:paraId="4345F814" w14:textId="77777777" w:rsidR="00A67C3C" w:rsidRPr="008B1465" w:rsidRDefault="00A67C3C" w:rsidP="00163663">
            <w:pPr>
              <w:spacing w:after="0" w:line="360" w:lineRule="auto"/>
              <w:jc w:val="both"/>
              <w:rPr>
                <w:rFonts w:ascii="Times New Roman" w:hAnsi="Times New Roman"/>
                <w:sz w:val="24"/>
                <w:szCs w:val="24"/>
              </w:rPr>
            </w:pPr>
            <w:r w:rsidRPr="008B1465">
              <w:rPr>
                <w:rFonts w:ascii="Times New Roman" w:hAnsi="Times New Roman"/>
                <w:sz w:val="24"/>
                <w:szCs w:val="24"/>
              </w:rPr>
              <w:t>.000</w:t>
            </w:r>
          </w:p>
        </w:tc>
        <w:tc>
          <w:tcPr>
            <w:tcW w:w="1309" w:type="dxa"/>
            <w:tcBorders>
              <w:top w:val="thinThickSmallGap" w:sz="24" w:space="0" w:color="auto"/>
            </w:tcBorders>
          </w:tcPr>
          <w:p w14:paraId="6E4B0110" w14:textId="77777777" w:rsidR="00A67C3C" w:rsidRPr="008B1465" w:rsidRDefault="00A67C3C" w:rsidP="00163663">
            <w:pPr>
              <w:spacing w:after="0" w:line="360" w:lineRule="auto"/>
              <w:jc w:val="both"/>
              <w:rPr>
                <w:rFonts w:ascii="Times New Roman" w:hAnsi="Times New Roman"/>
                <w:sz w:val="24"/>
                <w:szCs w:val="24"/>
              </w:rPr>
            </w:pPr>
          </w:p>
        </w:tc>
        <w:tc>
          <w:tcPr>
            <w:tcW w:w="1342" w:type="dxa"/>
            <w:tcBorders>
              <w:top w:val="thinThickSmallGap" w:sz="24" w:space="0" w:color="auto"/>
            </w:tcBorders>
          </w:tcPr>
          <w:p w14:paraId="4E74AEEF" w14:textId="77777777" w:rsidR="00A67C3C" w:rsidRPr="008B1465" w:rsidRDefault="00A67C3C" w:rsidP="00163663">
            <w:pPr>
              <w:spacing w:after="0" w:line="360" w:lineRule="auto"/>
              <w:jc w:val="both"/>
              <w:rPr>
                <w:rFonts w:ascii="Times New Roman" w:hAnsi="Times New Roman"/>
                <w:sz w:val="24"/>
                <w:szCs w:val="24"/>
              </w:rPr>
            </w:pPr>
          </w:p>
        </w:tc>
      </w:tr>
      <w:tr w:rsidR="00A67C3C" w:rsidRPr="008B1465" w14:paraId="61E37527" w14:textId="77777777" w:rsidTr="00A67C3C">
        <w:tc>
          <w:tcPr>
            <w:tcW w:w="1461" w:type="dxa"/>
          </w:tcPr>
          <w:p w14:paraId="45C3A430" w14:textId="77777777" w:rsidR="00A67C3C" w:rsidRPr="008B1465" w:rsidRDefault="00A67C3C" w:rsidP="00163663">
            <w:pPr>
              <w:spacing w:after="0" w:line="360" w:lineRule="auto"/>
              <w:jc w:val="both"/>
              <w:rPr>
                <w:rFonts w:ascii="Times New Roman" w:hAnsi="Times New Roman"/>
                <w:b/>
                <w:bCs/>
                <w:sz w:val="24"/>
                <w:szCs w:val="24"/>
              </w:rPr>
            </w:pPr>
            <w:r w:rsidRPr="008B1465">
              <w:rPr>
                <w:rFonts w:ascii="Times New Roman" w:hAnsi="Times New Roman"/>
                <w:b/>
                <w:bCs/>
                <w:sz w:val="24"/>
                <w:szCs w:val="24"/>
              </w:rPr>
              <w:t>SCCP</w:t>
            </w:r>
          </w:p>
        </w:tc>
        <w:tc>
          <w:tcPr>
            <w:tcW w:w="1197" w:type="dxa"/>
          </w:tcPr>
          <w:p w14:paraId="3C3843C4" w14:textId="07D30E2F" w:rsidR="00A67C3C" w:rsidRPr="008B1465" w:rsidRDefault="00BD0DF5" w:rsidP="00163663">
            <w:pPr>
              <w:spacing w:after="0" w:line="360" w:lineRule="auto"/>
              <w:jc w:val="both"/>
              <w:rPr>
                <w:rFonts w:ascii="Times New Roman" w:hAnsi="Times New Roman"/>
                <w:sz w:val="24"/>
                <w:szCs w:val="24"/>
              </w:rPr>
            </w:pPr>
            <w:r>
              <w:rPr>
                <w:rFonts w:ascii="Times New Roman" w:hAnsi="Times New Roman"/>
                <w:sz w:val="24"/>
                <w:szCs w:val="24"/>
              </w:rPr>
              <w:t>-.08</w:t>
            </w:r>
          </w:p>
        </w:tc>
        <w:tc>
          <w:tcPr>
            <w:tcW w:w="1341" w:type="dxa"/>
          </w:tcPr>
          <w:p w14:paraId="7D7E9E60" w14:textId="457F359B" w:rsidR="00A67C3C" w:rsidRPr="008B1465" w:rsidRDefault="00A67C3C" w:rsidP="00163663">
            <w:pPr>
              <w:spacing w:after="0" w:line="360" w:lineRule="auto"/>
              <w:jc w:val="both"/>
              <w:rPr>
                <w:rFonts w:ascii="Times New Roman" w:hAnsi="Times New Roman"/>
                <w:sz w:val="24"/>
                <w:szCs w:val="24"/>
              </w:rPr>
            </w:pPr>
            <w:r w:rsidRPr="008B1465">
              <w:rPr>
                <w:rFonts w:ascii="Times New Roman" w:hAnsi="Times New Roman"/>
                <w:sz w:val="24"/>
                <w:szCs w:val="24"/>
              </w:rPr>
              <w:t>-.021</w:t>
            </w:r>
          </w:p>
        </w:tc>
        <w:tc>
          <w:tcPr>
            <w:tcW w:w="1406" w:type="dxa"/>
          </w:tcPr>
          <w:p w14:paraId="7D8EBA03" w14:textId="77777777" w:rsidR="00A67C3C" w:rsidRPr="008B1465" w:rsidRDefault="00A67C3C" w:rsidP="00163663">
            <w:pPr>
              <w:spacing w:after="0" w:line="360" w:lineRule="auto"/>
              <w:jc w:val="both"/>
              <w:rPr>
                <w:rFonts w:ascii="Times New Roman" w:hAnsi="Times New Roman"/>
                <w:sz w:val="24"/>
                <w:szCs w:val="24"/>
              </w:rPr>
            </w:pPr>
            <w:r w:rsidRPr="008B1465">
              <w:rPr>
                <w:rFonts w:ascii="Times New Roman" w:hAnsi="Times New Roman"/>
                <w:sz w:val="24"/>
                <w:szCs w:val="24"/>
              </w:rPr>
              <w:t>-3.007</w:t>
            </w:r>
          </w:p>
        </w:tc>
        <w:tc>
          <w:tcPr>
            <w:tcW w:w="1309" w:type="dxa"/>
          </w:tcPr>
          <w:p w14:paraId="67831014" w14:textId="77777777" w:rsidR="00A67C3C" w:rsidRPr="008B1465" w:rsidRDefault="00A67C3C" w:rsidP="00163663">
            <w:pPr>
              <w:spacing w:after="0" w:line="360" w:lineRule="auto"/>
              <w:jc w:val="both"/>
              <w:rPr>
                <w:rFonts w:ascii="Times New Roman" w:hAnsi="Times New Roman"/>
                <w:sz w:val="24"/>
                <w:szCs w:val="24"/>
              </w:rPr>
            </w:pPr>
            <w:r w:rsidRPr="008B1465">
              <w:rPr>
                <w:rFonts w:ascii="Times New Roman" w:hAnsi="Times New Roman"/>
                <w:sz w:val="24"/>
                <w:szCs w:val="24"/>
              </w:rPr>
              <w:t>.002</w:t>
            </w:r>
          </w:p>
        </w:tc>
        <w:tc>
          <w:tcPr>
            <w:tcW w:w="1309" w:type="dxa"/>
          </w:tcPr>
          <w:p w14:paraId="2A0CCD5F" w14:textId="77777777" w:rsidR="00A67C3C" w:rsidRPr="008B1465" w:rsidRDefault="00A67C3C" w:rsidP="00163663">
            <w:pPr>
              <w:spacing w:after="0" w:line="360" w:lineRule="auto"/>
              <w:jc w:val="both"/>
              <w:rPr>
                <w:rFonts w:ascii="Times New Roman" w:hAnsi="Times New Roman"/>
                <w:sz w:val="24"/>
                <w:szCs w:val="24"/>
              </w:rPr>
            </w:pPr>
            <w:r w:rsidRPr="008B1465">
              <w:rPr>
                <w:rFonts w:ascii="Times New Roman" w:hAnsi="Times New Roman"/>
                <w:sz w:val="24"/>
                <w:szCs w:val="24"/>
              </w:rPr>
              <w:t>.983</w:t>
            </w:r>
          </w:p>
        </w:tc>
        <w:tc>
          <w:tcPr>
            <w:tcW w:w="1342" w:type="dxa"/>
          </w:tcPr>
          <w:p w14:paraId="482F83E3" w14:textId="77777777" w:rsidR="00A67C3C" w:rsidRPr="008B1465" w:rsidRDefault="00A67C3C" w:rsidP="00163663">
            <w:pPr>
              <w:spacing w:after="0" w:line="360" w:lineRule="auto"/>
              <w:jc w:val="both"/>
              <w:rPr>
                <w:rFonts w:ascii="Times New Roman" w:hAnsi="Times New Roman"/>
                <w:sz w:val="24"/>
                <w:szCs w:val="24"/>
              </w:rPr>
            </w:pPr>
            <w:r w:rsidRPr="008B1465">
              <w:rPr>
                <w:rFonts w:ascii="Times New Roman" w:hAnsi="Times New Roman"/>
                <w:sz w:val="24"/>
                <w:szCs w:val="24"/>
              </w:rPr>
              <w:t>1.017</w:t>
            </w:r>
          </w:p>
        </w:tc>
      </w:tr>
      <w:tr w:rsidR="00A67C3C" w:rsidRPr="008B1465" w14:paraId="284D5C54" w14:textId="77777777" w:rsidTr="00A67C3C">
        <w:tc>
          <w:tcPr>
            <w:tcW w:w="1461" w:type="dxa"/>
          </w:tcPr>
          <w:p w14:paraId="6E124344" w14:textId="77777777" w:rsidR="00A67C3C" w:rsidRPr="008B1465" w:rsidRDefault="00A67C3C" w:rsidP="00163663">
            <w:pPr>
              <w:spacing w:after="0" w:line="360" w:lineRule="auto"/>
              <w:jc w:val="both"/>
              <w:rPr>
                <w:rFonts w:ascii="Times New Roman" w:hAnsi="Times New Roman"/>
                <w:b/>
                <w:bCs/>
                <w:sz w:val="24"/>
                <w:szCs w:val="24"/>
              </w:rPr>
            </w:pPr>
            <w:r w:rsidRPr="008B1465">
              <w:rPr>
                <w:rFonts w:ascii="Times New Roman" w:hAnsi="Times New Roman"/>
                <w:b/>
                <w:bCs/>
                <w:sz w:val="24"/>
                <w:szCs w:val="24"/>
              </w:rPr>
              <w:t>IF</w:t>
            </w:r>
          </w:p>
        </w:tc>
        <w:tc>
          <w:tcPr>
            <w:tcW w:w="1197" w:type="dxa"/>
          </w:tcPr>
          <w:p w14:paraId="0A767F14" w14:textId="3A0D9069" w:rsidR="00A67C3C" w:rsidRPr="008B1465" w:rsidRDefault="00E25296" w:rsidP="00163663">
            <w:pPr>
              <w:spacing w:after="0" w:line="360" w:lineRule="auto"/>
              <w:jc w:val="both"/>
              <w:rPr>
                <w:rFonts w:ascii="Times New Roman" w:hAnsi="Times New Roman"/>
                <w:sz w:val="24"/>
                <w:szCs w:val="24"/>
              </w:rPr>
            </w:pPr>
            <w:r>
              <w:rPr>
                <w:rFonts w:ascii="Times New Roman" w:hAnsi="Times New Roman"/>
                <w:sz w:val="24"/>
                <w:szCs w:val="24"/>
              </w:rPr>
              <w:t>-1.32</w:t>
            </w:r>
          </w:p>
        </w:tc>
        <w:tc>
          <w:tcPr>
            <w:tcW w:w="1341" w:type="dxa"/>
          </w:tcPr>
          <w:p w14:paraId="4DAB6956" w14:textId="558C827B" w:rsidR="00A67C3C" w:rsidRPr="008B1465" w:rsidRDefault="00A67C3C" w:rsidP="00163663">
            <w:pPr>
              <w:spacing w:after="0" w:line="360" w:lineRule="auto"/>
              <w:jc w:val="both"/>
              <w:rPr>
                <w:rFonts w:ascii="Times New Roman" w:hAnsi="Times New Roman"/>
                <w:sz w:val="24"/>
                <w:szCs w:val="24"/>
              </w:rPr>
            </w:pPr>
            <w:r w:rsidRPr="008B1465">
              <w:rPr>
                <w:rFonts w:ascii="Times New Roman" w:hAnsi="Times New Roman"/>
                <w:sz w:val="24"/>
                <w:szCs w:val="24"/>
              </w:rPr>
              <w:t>-.632</w:t>
            </w:r>
          </w:p>
        </w:tc>
        <w:tc>
          <w:tcPr>
            <w:tcW w:w="1406" w:type="dxa"/>
          </w:tcPr>
          <w:p w14:paraId="43F4D5CB" w14:textId="77777777" w:rsidR="00A67C3C" w:rsidRPr="008B1465" w:rsidRDefault="00A67C3C" w:rsidP="00163663">
            <w:pPr>
              <w:spacing w:after="0" w:line="360" w:lineRule="auto"/>
              <w:jc w:val="both"/>
              <w:rPr>
                <w:rFonts w:ascii="Times New Roman" w:hAnsi="Times New Roman"/>
                <w:sz w:val="24"/>
                <w:szCs w:val="24"/>
              </w:rPr>
            </w:pPr>
            <w:r w:rsidRPr="008B1465">
              <w:rPr>
                <w:rFonts w:ascii="Times New Roman" w:hAnsi="Times New Roman"/>
                <w:sz w:val="24"/>
                <w:szCs w:val="24"/>
              </w:rPr>
              <w:t>-72.93</w:t>
            </w:r>
          </w:p>
        </w:tc>
        <w:tc>
          <w:tcPr>
            <w:tcW w:w="1309" w:type="dxa"/>
          </w:tcPr>
          <w:p w14:paraId="22BAA683" w14:textId="77777777" w:rsidR="00A67C3C" w:rsidRPr="008B1465" w:rsidRDefault="00A67C3C" w:rsidP="00163663">
            <w:pPr>
              <w:spacing w:after="0" w:line="360" w:lineRule="auto"/>
              <w:jc w:val="both"/>
              <w:rPr>
                <w:rFonts w:ascii="Times New Roman" w:hAnsi="Times New Roman"/>
                <w:sz w:val="24"/>
                <w:szCs w:val="24"/>
              </w:rPr>
            </w:pPr>
            <w:r w:rsidRPr="008B1465">
              <w:rPr>
                <w:rFonts w:ascii="Times New Roman" w:hAnsi="Times New Roman"/>
                <w:sz w:val="24"/>
                <w:szCs w:val="24"/>
              </w:rPr>
              <w:t>.000</w:t>
            </w:r>
          </w:p>
        </w:tc>
        <w:tc>
          <w:tcPr>
            <w:tcW w:w="1309" w:type="dxa"/>
          </w:tcPr>
          <w:p w14:paraId="6D92BA4A" w14:textId="77777777" w:rsidR="00A67C3C" w:rsidRPr="008B1465" w:rsidRDefault="00A67C3C" w:rsidP="00163663">
            <w:pPr>
              <w:spacing w:after="0" w:line="360" w:lineRule="auto"/>
              <w:jc w:val="both"/>
              <w:rPr>
                <w:rFonts w:ascii="Times New Roman" w:hAnsi="Times New Roman"/>
                <w:sz w:val="24"/>
                <w:szCs w:val="24"/>
              </w:rPr>
            </w:pPr>
            <w:r w:rsidRPr="008B1465">
              <w:rPr>
                <w:rFonts w:ascii="Times New Roman" w:hAnsi="Times New Roman"/>
                <w:sz w:val="24"/>
                <w:szCs w:val="24"/>
              </w:rPr>
              <w:t>.586</w:t>
            </w:r>
          </w:p>
        </w:tc>
        <w:tc>
          <w:tcPr>
            <w:tcW w:w="1342" w:type="dxa"/>
          </w:tcPr>
          <w:p w14:paraId="3101ACC2" w14:textId="77777777" w:rsidR="00A67C3C" w:rsidRPr="008B1465" w:rsidRDefault="00A67C3C" w:rsidP="00163663">
            <w:pPr>
              <w:spacing w:after="0" w:line="360" w:lineRule="auto"/>
              <w:jc w:val="both"/>
              <w:rPr>
                <w:rFonts w:ascii="Times New Roman" w:hAnsi="Times New Roman"/>
                <w:sz w:val="24"/>
                <w:szCs w:val="24"/>
              </w:rPr>
            </w:pPr>
            <w:r w:rsidRPr="008B1465">
              <w:rPr>
                <w:rFonts w:ascii="Times New Roman" w:hAnsi="Times New Roman"/>
                <w:sz w:val="24"/>
                <w:szCs w:val="24"/>
              </w:rPr>
              <w:t>1.707</w:t>
            </w:r>
          </w:p>
        </w:tc>
      </w:tr>
      <w:tr w:rsidR="00A67C3C" w:rsidRPr="008B1465" w14:paraId="432EA75B" w14:textId="77777777" w:rsidTr="005765C0">
        <w:tc>
          <w:tcPr>
            <w:tcW w:w="1461" w:type="dxa"/>
          </w:tcPr>
          <w:p w14:paraId="3ADBD1CA" w14:textId="77777777" w:rsidR="00A67C3C" w:rsidRPr="008B1465" w:rsidRDefault="00A67C3C" w:rsidP="00163663">
            <w:pPr>
              <w:spacing w:after="0" w:line="360" w:lineRule="auto"/>
              <w:jc w:val="both"/>
              <w:rPr>
                <w:rFonts w:ascii="Times New Roman" w:hAnsi="Times New Roman"/>
                <w:b/>
                <w:bCs/>
                <w:sz w:val="24"/>
                <w:szCs w:val="24"/>
              </w:rPr>
            </w:pPr>
            <w:r w:rsidRPr="008B1465">
              <w:rPr>
                <w:rFonts w:ascii="Times New Roman" w:hAnsi="Times New Roman"/>
                <w:b/>
                <w:bCs/>
                <w:sz w:val="24"/>
                <w:szCs w:val="24"/>
              </w:rPr>
              <w:t>LS</w:t>
            </w:r>
          </w:p>
        </w:tc>
        <w:tc>
          <w:tcPr>
            <w:tcW w:w="1197" w:type="dxa"/>
            <w:tcBorders>
              <w:bottom w:val="nil"/>
            </w:tcBorders>
          </w:tcPr>
          <w:p w14:paraId="3A90EF1D" w14:textId="05AFC2CC" w:rsidR="00A67C3C" w:rsidRPr="008B1465" w:rsidRDefault="00E25296" w:rsidP="00163663">
            <w:pPr>
              <w:spacing w:after="0" w:line="360" w:lineRule="auto"/>
              <w:jc w:val="both"/>
              <w:rPr>
                <w:rFonts w:ascii="Times New Roman" w:hAnsi="Times New Roman"/>
                <w:sz w:val="24"/>
                <w:szCs w:val="24"/>
              </w:rPr>
            </w:pPr>
            <w:r>
              <w:rPr>
                <w:rFonts w:ascii="Times New Roman" w:hAnsi="Times New Roman"/>
                <w:sz w:val="24"/>
                <w:szCs w:val="24"/>
              </w:rPr>
              <w:t>-.35</w:t>
            </w:r>
          </w:p>
        </w:tc>
        <w:tc>
          <w:tcPr>
            <w:tcW w:w="1341" w:type="dxa"/>
            <w:tcBorders>
              <w:bottom w:val="nil"/>
            </w:tcBorders>
          </w:tcPr>
          <w:p w14:paraId="1E0C12F8" w14:textId="7EF5E64C" w:rsidR="00A67C3C" w:rsidRPr="008B1465" w:rsidRDefault="00A67C3C" w:rsidP="00163663">
            <w:pPr>
              <w:spacing w:after="0" w:line="360" w:lineRule="auto"/>
              <w:jc w:val="both"/>
              <w:rPr>
                <w:rFonts w:ascii="Times New Roman" w:hAnsi="Times New Roman"/>
                <w:sz w:val="24"/>
                <w:szCs w:val="24"/>
              </w:rPr>
            </w:pPr>
            <w:r w:rsidRPr="008B1465">
              <w:rPr>
                <w:rFonts w:ascii="Times New Roman" w:hAnsi="Times New Roman"/>
                <w:sz w:val="24"/>
                <w:szCs w:val="24"/>
              </w:rPr>
              <w:t>-.020</w:t>
            </w:r>
          </w:p>
        </w:tc>
        <w:tc>
          <w:tcPr>
            <w:tcW w:w="1406" w:type="dxa"/>
            <w:tcBorders>
              <w:bottom w:val="nil"/>
            </w:tcBorders>
          </w:tcPr>
          <w:p w14:paraId="50406CBD" w14:textId="77777777" w:rsidR="00A67C3C" w:rsidRPr="008B1465" w:rsidRDefault="00A67C3C" w:rsidP="00163663">
            <w:pPr>
              <w:spacing w:after="0" w:line="360" w:lineRule="auto"/>
              <w:jc w:val="both"/>
              <w:rPr>
                <w:rFonts w:ascii="Times New Roman" w:hAnsi="Times New Roman"/>
                <w:sz w:val="24"/>
                <w:szCs w:val="24"/>
              </w:rPr>
            </w:pPr>
            <w:r w:rsidRPr="008B1465">
              <w:rPr>
                <w:rFonts w:ascii="Times New Roman" w:hAnsi="Times New Roman"/>
                <w:sz w:val="24"/>
                <w:szCs w:val="24"/>
              </w:rPr>
              <w:t>-3.011</w:t>
            </w:r>
          </w:p>
        </w:tc>
        <w:tc>
          <w:tcPr>
            <w:tcW w:w="1309" w:type="dxa"/>
            <w:tcBorders>
              <w:bottom w:val="nil"/>
            </w:tcBorders>
          </w:tcPr>
          <w:p w14:paraId="529874C9" w14:textId="77777777" w:rsidR="00A67C3C" w:rsidRPr="008B1465" w:rsidRDefault="00A67C3C" w:rsidP="00163663">
            <w:pPr>
              <w:spacing w:after="0" w:line="360" w:lineRule="auto"/>
              <w:jc w:val="both"/>
              <w:rPr>
                <w:rFonts w:ascii="Times New Roman" w:hAnsi="Times New Roman"/>
                <w:sz w:val="24"/>
                <w:szCs w:val="24"/>
              </w:rPr>
            </w:pPr>
            <w:r w:rsidRPr="008B1465">
              <w:rPr>
                <w:rFonts w:ascii="Times New Roman" w:hAnsi="Times New Roman"/>
                <w:sz w:val="24"/>
                <w:szCs w:val="24"/>
              </w:rPr>
              <w:t>.003</w:t>
            </w:r>
          </w:p>
        </w:tc>
        <w:tc>
          <w:tcPr>
            <w:tcW w:w="1309" w:type="dxa"/>
            <w:tcBorders>
              <w:bottom w:val="nil"/>
            </w:tcBorders>
          </w:tcPr>
          <w:p w14:paraId="3DC532F6" w14:textId="77777777" w:rsidR="00A67C3C" w:rsidRPr="008B1465" w:rsidRDefault="00A67C3C" w:rsidP="00163663">
            <w:pPr>
              <w:spacing w:after="0" w:line="360" w:lineRule="auto"/>
              <w:jc w:val="both"/>
              <w:rPr>
                <w:rFonts w:ascii="Times New Roman" w:hAnsi="Times New Roman"/>
                <w:sz w:val="24"/>
                <w:szCs w:val="24"/>
              </w:rPr>
            </w:pPr>
            <w:r w:rsidRPr="008B1465">
              <w:rPr>
                <w:rFonts w:ascii="Times New Roman" w:hAnsi="Times New Roman"/>
                <w:sz w:val="24"/>
                <w:szCs w:val="24"/>
              </w:rPr>
              <w:t>.989</w:t>
            </w:r>
          </w:p>
        </w:tc>
        <w:tc>
          <w:tcPr>
            <w:tcW w:w="1342" w:type="dxa"/>
            <w:tcBorders>
              <w:bottom w:val="nil"/>
            </w:tcBorders>
          </w:tcPr>
          <w:p w14:paraId="5140EF71" w14:textId="77777777" w:rsidR="00A67C3C" w:rsidRPr="008B1465" w:rsidRDefault="00A67C3C" w:rsidP="00163663">
            <w:pPr>
              <w:spacing w:after="0" w:line="360" w:lineRule="auto"/>
              <w:jc w:val="both"/>
              <w:rPr>
                <w:rFonts w:ascii="Times New Roman" w:hAnsi="Times New Roman"/>
                <w:sz w:val="24"/>
                <w:szCs w:val="24"/>
              </w:rPr>
            </w:pPr>
            <w:r w:rsidRPr="008B1465">
              <w:rPr>
                <w:rFonts w:ascii="Times New Roman" w:hAnsi="Times New Roman"/>
                <w:sz w:val="24"/>
                <w:szCs w:val="24"/>
              </w:rPr>
              <w:t>1.012</w:t>
            </w:r>
          </w:p>
        </w:tc>
      </w:tr>
      <w:tr w:rsidR="00A67C3C" w:rsidRPr="008B1465" w14:paraId="1E813AF4" w14:textId="77777777" w:rsidTr="005765C0">
        <w:tc>
          <w:tcPr>
            <w:tcW w:w="1461" w:type="dxa"/>
          </w:tcPr>
          <w:p w14:paraId="6FD717B6" w14:textId="77777777" w:rsidR="00A67C3C" w:rsidRPr="008B1465" w:rsidRDefault="00A67C3C" w:rsidP="00163663">
            <w:pPr>
              <w:spacing w:after="0" w:line="360" w:lineRule="auto"/>
              <w:jc w:val="both"/>
              <w:rPr>
                <w:rFonts w:ascii="Times New Roman" w:hAnsi="Times New Roman"/>
                <w:b/>
                <w:bCs/>
                <w:sz w:val="24"/>
                <w:szCs w:val="24"/>
              </w:rPr>
            </w:pPr>
            <w:r w:rsidRPr="008B1465">
              <w:rPr>
                <w:rFonts w:ascii="Times New Roman" w:hAnsi="Times New Roman"/>
                <w:b/>
                <w:bCs/>
                <w:sz w:val="24"/>
                <w:szCs w:val="24"/>
              </w:rPr>
              <w:t>ADE</w:t>
            </w:r>
          </w:p>
        </w:tc>
        <w:tc>
          <w:tcPr>
            <w:tcW w:w="1197" w:type="dxa"/>
            <w:tcBorders>
              <w:top w:val="nil"/>
              <w:bottom w:val="nil"/>
            </w:tcBorders>
          </w:tcPr>
          <w:p w14:paraId="4C74F4FE" w14:textId="2AFD9486" w:rsidR="00A67C3C" w:rsidRPr="008B1465" w:rsidRDefault="00E25296" w:rsidP="00163663">
            <w:pPr>
              <w:spacing w:after="0" w:line="360" w:lineRule="auto"/>
              <w:jc w:val="both"/>
              <w:rPr>
                <w:rFonts w:ascii="Times New Roman" w:hAnsi="Times New Roman"/>
                <w:sz w:val="24"/>
                <w:szCs w:val="24"/>
              </w:rPr>
            </w:pPr>
            <w:r>
              <w:rPr>
                <w:rFonts w:ascii="Times New Roman" w:hAnsi="Times New Roman"/>
                <w:sz w:val="24"/>
                <w:szCs w:val="24"/>
              </w:rPr>
              <w:t>2.165</w:t>
            </w:r>
          </w:p>
        </w:tc>
        <w:tc>
          <w:tcPr>
            <w:tcW w:w="1341" w:type="dxa"/>
            <w:tcBorders>
              <w:top w:val="nil"/>
              <w:bottom w:val="nil"/>
            </w:tcBorders>
          </w:tcPr>
          <w:p w14:paraId="29B5902A" w14:textId="65320EF7" w:rsidR="00A67C3C" w:rsidRPr="008B1465" w:rsidRDefault="00A67C3C" w:rsidP="00163663">
            <w:pPr>
              <w:spacing w:after="0" w:line="360" w:lineRule="auto"/>
              <w:jc w:val="both"/>
              <w:rPr>
                <w:rFonts w:ascii="Times New Roman" w:hAnsi="Times New Roman"/>
                <w:sz w:val="24"/>
                <w:szCs w:val="24"/>
              </w:rPr>
            </w:pPr>
            <w:r w:rsidRPr="008B1465">
              <w:rPr>
                <w:rFonts w:ascii="Times New Roman" w:hAnsi="Times New Roman"/>
                <w:sz w:val="24"/>
                <w:szCs w:val="24"/>
              </w:rPr>
              <w:t>1.269</w:t>
            </w:r>
          </w:p>
        </w:tc>
        <w:tc>
          <w:tcPr>
            <w:tcW w:w="1406" w:type="dxa"/>
            <w:tcBorders>
              <w:top w:val="nil"/>
              <w:bottom w:val="nil"/>
            </w:tcBorders>
          </w:tcPr>
          <w:p w14:paraId="3568563A" w14:textId="77777777" w:rsidR="00A67C3C" w:rsidRPr="008B1465" w:rsidRDefault="00A67C3C" w:rsidP="00163663">
            <w:pPr>
              <w:spacing w:after="0" w:line="360" w:lineRule="auto"/>
              <w:jc w:val="both"/>
              <w:rPr>
                <w:rFonts w:ascii="Times New Roman" w:hAnsi="Times New Roman"/>
                <w:sz w:val="24"/>
                <w:szCs w:val="24"/>
              </w:rPr>
            </w:pPr>
            <w:r w:rsidRPr="008B1465">
              <w:rPr>
                <w:rFonts w:ascii="Times New Roman" w:hAnsi="Times New Roman"/>
                <w:sz w:val="24"/>
                <w:szCs w:val="24"/>
              </w:rPr>
              <w:t>147.383</w:t>
            </w:r>
          </w:p>
        </w:tc>
        <w:tc>
          <w:tcPr>
            <w:tcW w:w="1309" w:type="dxa"/>
            <w:tcBorders>
              <w:top w:val="nil"/>
              <w:bottom w:val="nil"/>
            </w:tcBorders>
          </w:tcPr>
          <w:p w14:paraId="7EC0C708" w14:textId="77777777" w:rsidR="00A67C3C" w:rsidRPr="008B1465" w:rsidRDefault="00A67C3C" w:rsidP="00163663">
            <w:pPr>
              <w:spacing w:after="0" w:line="360" w:lineRule="auto"/>
              <w:jc w:val="both"/>
              <w:rPr>
                <w:rFonts w:ascii="Times New Roman" w:hAnsi="Times New Roman"/>
                <w:sz w:val="24"/>
                <w:szCs w:val="24"/>
              </w:rPr>
            </w:pPr>
            <w:r w:rsidRPr="008B1465">
              <w:rPr>
                <w:rFonts w:ascii="Times New Roman" w:hAnsi="Times New Roman"/>
                <w:sz w:val="24"/>
                <w:szCs w:val="24"/>
              </w:rPr>
              <w:t>.000</w:t>
            </w:r>
          </w:p>
        </w:tc>
        <w:tc>
          <w:tcPr>
            <w:tcW w:w="1309" w:type="dxa"/>
            <w:tcBorders>
              <w:top w:val="nil"/>
              <w:bottom w:val="nil"/>
            </w:tcBorders>
          </w:tcPr>
          <w:p w14:paraId="44A0878D" w14:textId="77777777" w:rsidR="00A67C3C" w:rsidRPr="008B1465" w:rsidRDefault="00A67C3C" w:rsidP="00163663">
            <w:pPr>
              <w:spacing w:after="0" w:line="360" w:lineRule="auto"/>
              <w:jc w:val="both"/>
              <w:rPr>
                <w:rFonts w:ascii="Times New Roman" w:hAnsi="Times New Roman"/>
                <w:sz w:val="24"/>
                <w:szCs w:val="24"/>
              </w:rPr>
            </w:pPr>
            <w:r w:rsidRPr="008B1465">
              <w:rPr>
                <w:rFonts w:ascii="Times New Roman" w:hAnsi="Times New Roman"/>
                <w:sz w:val="24"/>
                <w:szCs w:val="24"/>
              </w:rPr>
              <w:t>.592</w:t>
            </w:r>
          </w:p>
        </w:tc>
        <w:tc>
          <w:tcPr>
            <w:tcW w:w="1342" w:type="dxa"/>
            <w:tcBorders>
              <w:top w:val="nil"/>
              <w:bottom w:val="nil"/>
            </w:tcBorders>
          </w:tcPr>
          <w:p w14:paraId="5D7CF99F" w14:textId="77777777" w:rsidR="00A67C3C" w:rsidRPr="008B1465" w:rsidRDefault="00A67C3C" w:rsidP="00163663">
            <w:pPr>
              <w:spacing w:after="0" w:line="360" w:lineRule="auto"/>
              <w:jc w:val="both"/>
              <w:rPr>
                <w:rFonts w:ascii="Times New Roman" w:hAnsi="Times New Roman"/>
                <w:sz w:val="24"/>
                <w:szCs w:val="24"/>
              </w:rPr>
            </w:pPr>
            <w:r w:rsidRPr="008B1465">
              <w:rPr>
                <w:rFonts w:ascii="Times New Roman" w:hAnsi="Times New Roman"/>
                <w:sz w:val="24"/>
                <w:szCs w:val="24"/>
              </w:rPr>
              <w:t>1.689</w:t>
            </w:r>
          </w:p>
        </w:tc>
      </w:tr>
      <w:tr w:rsidR="00A67C3C" w:rsidRPr="008B1465" w14:paraId="720ED840" w14:textId="77777777" w:rsidTr="005765C0">
        <w:tc>
          <w:tcPr>
            <w:tcW w:w="1461" w:type="dxa"/>
          </w:tcPr>
          <w:p w14:paraId="78A2706D" w14:textId="77777777" w:rsidR="00A67C3C" w:rsidRPr="008B1465" w:rsidRDefault="00A67C3C" w:rsidP="00163663">
            <w:pPr>
              <w:spacing w:before="0" w:beforeAutospacing="0" w:after="0" w:line="240" w:lineRule="auto"/>
              <w:ind w:left="-106"/>
              <w:rPr>
                <w:rFonts w:ascii="Times New Roman" w:hAnsi="Times New Roman"/>
                <w:b/>
                <w:bCs/>
                <w:sz w:val="18"/>
                <w:szCs w:val="18"/>
              </w:rPr>
            </w:pPr>
          </w:p>
        </w:tc>
        <w:tc>
          <w:tcPr>
            <w:tcW w:w="7904" w:type="dxa"/>
            <w:gridSpan w:val="6"/>
            <w:tcBorders>
              <w:top w:val="nil"/>
              <w:bottom w:val="nil"/>
            </w:tcBorders>
          </w:tcPr>
          <w:p w14:paraId="5EBF7596" w14:textId="25AA8DE4" w:rsidR="00A67C3C" w:rsidRPr="008B1465" w:rsidRDefault="00A67C3C" w:rsidP="00163663">
            <w:pPr>
              <w:spacing w:before="0" w:beforeAutospacing="0" w:after="0" w:line="240" w:lineRule="auto"/>
              <w:ind w:left="-106"/>
              <w:rPr>
                <w:rFonts w:ascii="Times New Roman" w:hAnsi="Times New Roman"/>
                <w:b/>
                <w:bCs/>
                <w:sz w:val="18"/>
                <w:szCs w:val="18"/>
              </w:rPr>
            </w:pPr>
          </w:p>
        </w:tc>
      </w:tr>
      <w:tr w:rsidR="00167E0E" w:rsidRPr="008B1465" w14:paraId="771EEF6B" w14:textId="77777777" w:rsidTr="005765C0">
        <w:tc>
          <w:tcPr>
            <w:tcW w:w="1461" w:type="dxa"/>
          </w:tcPr>
          <w:p w14:paraId="02FEE2FC" w14:textId="6B783275" w:rsidR="00167E0E" w:rsidRPr="008B1465" w:rsidRDefault="00167E0E" w:rsidP="00167E0E">
            <w:pPr>
              <w:spacing w:before="0" w:beforeAutospacing="0" w:after="0" w:line="240" w:lineRule="auto"/>
              <w:ind w:left="-106"/>
              <w:rPr>
                <w:rFonts w:ascii="Times New Roman" w:hAnsi="Times New Roman"/>
                <w:b/>
                <w:bCs/>
                <w:sz w:val="18"/>
                <w:szCs w:val="18"/>
              </w:rPr>
            </w:pPr>
            <w:r w:rsidRPr="008B1465">
              <w:rPr>
                <w:rFonts w:ascii="Times New Roman" w:hAnsi="Times New Roman"/>
                <w:b/>
                <w:bCs/>
                <w:sz w:val="18"/>
                <w:szCs w:val="18"/>
              </w:rPr>
              <w:t>R</w:t>
            </w:r>
            <w:r w:rsidRPr="008B1465">
              <w:rPr>
                <w:rFonts w:ascii="Times New Roman" w:hAnsi="Times New Roman"/>
                <w:b/>
                <w:bCs/>
                <w:sz w:val="18"/>
                <w:szCs w:val="18"/>
                <w:vertAlign w:val="superscript"/>
              </w:rPr>
              <w:t xml:space="preserve">2 </w:t>
            </w:r>
            <w:r w:rsidRPr="008B1465">
              <w:rPr>
                <w:rFonts w:ascii="Times New Roman" w:hAnsi="Times New Roman"/>
                <w:b/>
                <w:bCs/>
                <w:sz w:val="18"/>
                <w:szCs w:val="18"/>
              </w:rPr>
              <w:t>= .984</w:t>
            </w:r>
          </w:p>
        </w:tc>
        <w:tc>
          <w:tcPr>
            <w:tcW w:w="7904" w:type="dxa"/>
            <w:gridSpan w:val="6"/>
            <w:tcBorders>
              <w:top w:val="nil"/>
              <w:bottom w:val="nil"/>
            </w:tcBorders>
          </w:tcPr>
          <w:p w14:paraId="3E8B0A82" w14:textId="1B1224A5" w:rsidR="00167E0E" w:rsidRPr="008B1465" w:rsidRDefault="00167E0E" w:rsidP="00167E0E">
            <w:pPr>
              <w:spacing w:before="0" w:beforeAutospacing="0" w:after="0" w:line="240" w:lineRule="auto"/>
              <w:ind w:left="-106"/>
              <w:rPr>
                <w:rFonts w:ascii="Times New Roman" w:hAnsi="Times New Roman"/>
                <w:b/>
                <w:bCs/>
                <w:sz w:val="18"/>
                <w:szCs w:val="18"/>
              </w:rPr>
            </w:pPr>
          </w:p>
        </w:tc>
      </w:tr>
      <w:tr w:rsidR="00167E0E" w:rsidRPr="008B1465" w14:paraId="742CE55F" w14:textId="77777777" w:rsidTr="005765C0">
        <w:tc>
          <w:tcPr>
            <w:tcW w:w="1461" w:type="dxa"/>
            <w:tcBorders>
              <w:bottom w:val="nil"/>
            </w:tcBorders>
          </w:tcPr>
          <w:p w14:paraId="1CD01E55" w14:textId="7D34A6CA" w:rsidR="00167E0E" w:rsidRPr="008B1465" w:rsidRDefault="00167E0E" w:rsidP="00167E0E">
            <w:pPr>
              <w:spacing w:before="0" w:beforeAutospacing="0" w:after="0" w:line="240" w:lineRule="auto"/>
              <w:ind w:left="-106"/>
              <w:jc w:val="both"/>
              <w:rPr>
                <w:rFonts w:ascii="Times New Roman" w:hAnsi="Times New Roman"/>
                <w:b/>
                <w:bCs/>
                <w:sz w:val="18"/>
                <w:szCs w:val="18"/>
              </w:rPr>
            </w:pPr>
            <w:r w:rsidRPr="008B1465">
              <w:rPr>
                <w:rFonts w:ascii="Times New Roman" w:hAnsi="Times New Roman"/>
                <w:b/>
                <w:bCs/>
                <w:sz w:val="18"/>
                <w:szCs w:val="18"/>
              </w:rPr>
              <w:t>Adj. R</w:t>
            </w:r>
            <w:r w:rsidRPr="008B1465">
              <w:rPr>
                <w:rFonts w:ascii="Times New Roman" w:hAnsi="Times New Roman"/>
                <w:b/>
                <w:bCs/>
                <w:sz w:val="18"/>
                <w:szCs w:val="18"/>
                <w:vertAlign w:val="superscript"/>
              </w:rPr>
              <w:t xml:space="preserve">2 </w:t>
            </w:r>
            <w:r w:rsidRPr="008B1465">
              <w:rPr>
                <w:rFonts w:ascii="Times New Roman" w:hAnsi="Times New Roman"/>
                <w:b/>
                <w:bCs/>
                <w:sz w:val="18"/>
                <w:szCs w:val="18"/>
              </w:rPr>
              <w:t>= .984</w:t>
            </w:r>
          </w:p>
        </w:tc>
        <w:tc>
          <w:tcPr>
            <w:tcW w:w="7904" w:type="dxa"/>
            <w:gridSpan w:val="6"/>
            <w:tcBorders>
              <w:top w:val="nil"/>
              <w:bottom w:val="nil"/>
            </w:tcBorders>
          </w:tcPr>
          <w:p w14:paraId="78D3E609" w14:textId="221485FD" w:rsidR="00167E0E" w:rsidRPr="008B1465" w:rsidRDefault="00167E0E" w:rsidP="00167E0E">
            <w:pPr>
              <w:spacing w:before="0" w:beforeAutospacing="0" w:after="0" w:line="240" w:lineRule="auto"/>
              <w:ind w:left="-106"/>
              <w:jc w:val="both"/>
              <w:rPr>
                <w:rFonts w:ascii="Times New Roman" w:hAnsi="Times New Roman"/>
                <w:b/>
                <w:bCs/>
                <w:sz w:val="18"/>
                <w:szCs w:val="18"/>
              </w:rPr>
            </w:pPr>
          </w:p>
        </w:tc>
      </w:tr>
      <w:tr w:rsidR="00167E0E" w:rsidRPr="008B1465" w14:paraId="003B3777" w14:textId="77777777" w:rsidTr="00E60FE0">
        <w:tc>
          <w:tcPr>
            <w:tcW w:w="1461" w:type="dxa"/>
            <w:tcBorders>
              <w:bottom w:val="nil"/>
            </w:tcBorders>
          </w:tcPr>
          <w:p w14:paraId="07206BED" w14:textId="77777777" w:rsidR="00167E0E" w:rsidRPr="008B1465" w:rsidRDefault="00167E0E" w:rsidP="00A87D01">
            <w:pPr>
              <w:spacing w:before="0" w:beforeAutospacing="0" w:after="0" w:line="240" w:lineRule="auto"/>
              <w:jc w:val="both"/>
              <w:rPr>
                <w:rFonts w:ascii="Times New Roman" w:hAnsi="Times New Roman"/>
                <w:b/>
                <w:bCs/>
                <w:sz w:val="18"/>
                <w:szCs w:val="18"/>
              </w:rPr>
            </w:pPr>
          </w:p>
        </w:tc>
        <w:tc>
          <w:tcPr>
            <w:tcW w:w="7904" w:type="dxa"/>
            <w:gridSpan w:val="6"/>
            <w:tcBorders>
              <w:top w:val="nil"/>
              <w:bottom w:val="nil"/>
            </w:tcBorders>
          </w:tcPr>
          <w:p w14:paraId="01D9165A" w14:textId="77777777" w:rsidR="00167E0E" w:rsidRPr="008B1465" w:rsidRDefault="00167E0E" w:rsidP="00167E0E">
            <w:pPr>
              <w:spacing w:before="0" w:beforeAutospacing="0" w:after="0" w:line="240" w:lineRule="auto"/>
              <w:ind w:left="-106"/>
              <w:jc w:val="both"/>
              <w:rPr>
                <w:rFonts w:ascii="Times New Roman" w:hAnsi="Times New Roman"/>
                <w:b/>
                <w:bCs/>
                <w:sz w:val="18"/>
                <w:szCs w:val="18"/>
              </w:rPr>
            </w:pPr>
          </w:p>
        </w:tc>
      </w:tr>
      <w:tr w:rsidR="00167E0E" w:rsidRPr="008B1465" w14:paraId="3490EAE3" w14:textId="77777777" w:rsidTr="00E60FE0">
        <w:tc>
          <w:tcPr>
            <w:tcW w:w="1461" w:type="dxa"/>
            <w:tcBorders>
              <w:top w:val="nil"/>
              <w:bottom w:val="nil"/>
            </w:tcBorders>
          </w:tcPr>
          <w:p w14:paraId="65D52518" w14:textId="590E24D6" w:rsidR="00167E0E" w:rsidRPr="008B1465" w:rsidRDefault="00167E0E" w:rsidP="00167E0E">
            <w:pPr>
              <w:spacing w:before="0" w:beforeAutospacing="0" w:after="0" w:line="240" w:lineRule="auto"/>
              <w:ind w:left="-106"/>
              <w:jc w:val="both"/>
              <w:rPr>
                <w:rFonts w:ascii="Times New Roman" w:hAnsi="Times New Roman"/>
                <w:b/>
                <w:bCs/>
                <w:sz w:val="18"/>
                <w:szCs w:val="18"/>
              </w:rPr>
            </w:pPr>
            <w:r w:rsidRPr="008B1465">
              <w:rPr>
                <w:rFonts w:ascii="Times New Roman" w:hAnsi="Times New Roman"/>
                <w:b/>
                <w:bCs/>
                <w:sz w:val="18"/>
                <w:szCs w:val="18"/>
              </w:rPr>
              <w:t>F</w:t>
            </w:r>
            <w:r w:rsidR="00CA54DD">
              <w:rPr>
                <w:rFonts w:ascii="Times New Roman" w:hAnsi="Times New Roman"/>
                <w:b/>
                <w:bCs/>
                <w:sz w:val="18"/>
                <w:szCs w:val="18"/>
              </w:rPr>
              <w:t xml:space="preserve"> </w:t>
            </w:r>
            <w:r w:rsidRPr="008B1465">
              <w:rPr>
                <w:rFonts w:ascii="Times New Roman" w:hAnsi="Times New Roman"/>
                <w:b/>
                <w:bCs/>
                <w:sz w:val="18"/>
                <w:szCs w:val="18"/>
              </w:rPr>
              <w:t>(4,359= 5602.59</w:t>
            </w:r>
          </w:p>
        </w:tc>
        <w:tc>
          <w:tcPr>
            <w:tcW w:w="7904" w:type="dxa"/>
            <w:gridSpan w:val="6"/>
            <w:tcBorders>
              <w:top w:val="nil"/>
              <w:bottom w:val="nil"/>
            </w:tcBorders>
          </w:tcPr>
          <w:p w14:paraId="79686252" w14:textId="08650FA8" w:rsidR="00167E0E" w:rsidRPr="008B1465" w:rsidRDefault="00167E0E" w:rsidP="00167E0E">
            <w:pPr>
              <w:spacing w:before="0" w:beforeAutospacing="0" w:after="0" w:line="240" w:lineRule="auto"/>
              <w:ind w:left="-106"/>
              <w:jc w:val="both"/>
              <w:rPr>
                <w:rFonts w:ascii="Times New Roman" w:hAnsi="Times New Roman"/>
                <w:b/>
                <w:bCs/>
                <w:sz w:val="18"/>
                <w:szCs w:val="18"/>
              </w:rPr>
            </w:pPr>
          </w:p>
        </w:tc>
      </w:tr>
      <w:tr w:rsidR="00167E0E" w:rsidRPr="008B1465" w14:paraId="3C7EDE83" w14:textId="77777777" w:rsidTr="00E60FE0">
        <w:tc>
          <w:tcPr>
            <w:tcW w:w="1461" w:type="dxa"/>
            <w:tcBorders>
              <w:top w:val="nil"/>
              <w:bottom w:val="thinThickSmallGap" w:sz="24" w:space="0" w:color="auto"/>
            </w:tcBorders>
          </w:tcPr>
          <w:p w14:paraId="05C1ADD7" w14:textId="6A2B2DDD" w:rsidR="00167E0E" w:rsidRPr="008B1465" w:rsidRDefault="00167E0E" w:rsidP="00167E0E">
            <w:pPr>
              <w:spacing w:before="0" w:beforeAutospacing="0" w:after="0" w:line="240" w:lineRule="auto"/>
              <w:ind w:left="-106"/>
              <w:jc w:val="both"/>
              <w:rPr>
                <w:rFonts w:ascii="Times New Roman" w:hAnsi="Times New Roman"/>
                <w:b/>
                <w:bCs/>
                <w:sz w:val="18"/>
                <w:szCs w:val="18"/>
              </w:rPr>
            </w:pPr>
            <w:r w:rsidRPr="008B1465">
              <w:rPr>
                <w:rFonts w:ascii="Times New Roman" w:hAnsi="Times New Roman"/>
                <w:b/>
                <w:bCs/>
                <w:sz w:val="18"/>
                <w:szCs w:val="18"/>
              </w:rPr>
              <w:t>Sig= 0.011</w:t>
            </w:r>
          </w:p>
        </w:tc>
        <w:tc>
          <w:tcPr>
            <w:tcW w:w="7904" w:type="dxa"/>
            <w:gridSpan w:val="6"/>
            <w:tcBorders>
              <w:top w:val="nil"/>
              <w:bottom w:val="thinThickSmallGap" w:sz="24" w:space="0" w:color="auto"/>
            </w:tcBorders>
          </w:tcPr>
          <w:p w14:paraId="7236D463" w14:textId="77777777" w:rsidR="00167E0E" w:rsidRPr="008B1465" w:rsidRDefault="00167E0E" w:rsidP="00167E0E">
            <w:pPr>
              <w:spacing w:before="0" w:beforeAutospacing="0" w:after="0" w:line="240" w:lineRule="auto"/>
              <w:ind w:left="-106"/>
              <w:jc w:val="both"/>
              <w:rPr>
                <w:rFonts w:ascii="Times New Roman" w:hAnsi="Times New Roman"/>
                <w:b/>
                <w:bCs/>
                <w:sz w:val="18"/>
                <w:szCs w:val="18"/>
              </w:rPr>
            </w:pPr>
          </w:p>
        </w:tc>
      </w:tr>
    </w:tbl>
    <w:p w14:paraId="368FCD20" w14:textId="77777777" w:rsidR="00234521" w:rsidRPr="008B1465" w:rsidRDefault="00234521" w:rsidP="00676036">
      <w:pPr>
        <w:spacing w:before="0" w:beforeAutospacing="0" w:after="0" w:line="240" w:lineRule="auto"/>
        <w:rPr>
          <w:rFonts w:ascii="Times New Roman" w:hAnsi="Times New Roman"/>
          <w:b/>
          <w:bCs/>
          <w:sz w:val="18"/>
          <w:szCs w:val="18"/>
        </w:rPr>
      </w:pPr>
      <w:r w:rsidRPr="008B1465">
        <w:rPr>
          <w:rFonts w:ascii="Times New Roman" w:hAnsi="Times New Roman"/>
          <w:b/>
          <w:bCs/>
          <w:sz w:val="18"/>
          <w:szCs w:val="18"/>
        </w:rPr>
        <w:t>Durbin-Watson =1.918</w:t>
      </w:r>
    </w:p>
    <w:p w14:paraId="45BD031D" w14:textId="515F8D6A" w:rsidR="00234521" w:rsidRPr="008B1465" w:rsidRDefault="00234521" w:rsidP="00676036">
      <w:pPr>
        <w:pStyle w:val="NoSpacing"/>
        <w:rPr>
          <w:rFonts w:ascii="Times New Roman" w:hAnsi="Times New Roman"/>
          <w:b/>
          <w:bCs/>
          <w:sz w:val="18"/>
          <w:szCs w:val="18"/>
        </w:rPr>
      </w:pPr>
      <w:r w:rsidRPr="008B1465">
        <w:rPr>
          <w:rFonts w:ascii="Times New Roman" w:hAnsi="Times New Roman"/>
          <w:b/>
          <w:bCs/>
          <w:sz w:val="18"/>
          <w:szCs w:val="18"/>
        </w:rPr>
        <w:t>Source: Researchers’ Computation 2023, SPSS 25.0</w:t>
      </w:r>
    </w:p>
    <w:p w14:paraId="703A2276" w14:textId="77777777" w:rsidR="00D44000" w:rsidRPr="008B1465" w:rsidRDefault="00D44000" w:rsidP="00D44000">
      <w:pPr>
        <w:spacing w:after="0" w:line="360" w:lineRule="auto"/>
        <w:jc w:val="both"/>
        <w:rPr>
          <w:rFonts w:ascii="Times New Roman" w:hAnsi="Times New Roman"/>
          <w:sz w:val="24"/>
          <w:szCs w:val="24"/>
        </w:rPr>
      </w:pPr>
      <w:r w:rsidRPr="008B1465">
        <w:rPr>
          <w:rFonts w:ascii="Times New Roman" w:hAnsi="Times New Roman"/>
          <w:sz w:val="24"/>
          <w:szCs w:val="24"/>
        </w:rPr>
        <w:t xml:space="preserve">Multiple linear regression was used to evaluate the influence of forensic accounting techniques on creative accounting practices. Both collinearity and serial auto correlation Diagnostic statistics were computed to ensure that the assumptions underlying multiple regression analysis were not violated. </w:t>
      </w:r>
    </w:p>
    <w:p w14:paraId="7F2D5C1A" w14:textId="0C749ACE" w:rsidR="00234521" w:rsidRPr="008B1465" w:rsidRDefault="00234521" w:rsidP="00234521">
      <w:pPr>
        <w:spacing w:after="0" w:line="360" w:lineRule="auto"/>
        <w:jc w:val="both"/>
        <w:rPr>
          <w:rFonts w:ascii="Times New Roman" w:hAnsi="Times New Roman"/>
          <w:sz w:val="24"/>
          <w:szCs w:val="24"/>
        </w:rPr>
      </w:pPr>
      <w:r w:rsidRPr="008B1465">
        <w:rPr>
          <w:rFonts w:ascii="Times New Roman" w:hAnsi="Times New Roman"/>
          <w:sz w:val="24"/>
          <w:szCs w:val="24"/>
        </w:rPr>
        <w:t>The result shows that tolerance values range from .586 to .989 which is far higher than 0.1 and VIF ranges from 1.012 to 1.707 which is far lower than ‘10’ upper limit. This indicates that there is no possible problem of collinearity. Besides, Durbin-Watson value of 1.918 implies that there is no serial auto correlation problem with the model, hence, the model was applied. The regression output on the Table 4.1</w:t>
      </w:r>
      <w:r w:rsidR="0010618D">
        <w:rPr>
          <w:rFonts w:ascii="Times New Roman" w:hAnsi="Times New Roman"/>
          <w:sz w:val="24"/>
          <w:szCs w:val="24"/>
        </w:rPr>
        <w:t>4</w:t>
      </w:r>
      <w:r w:rsidRPr="008B1465">
        <w:rPr>
          <w:rFonts w:ascii="Times New Roman" w:hAnsi="Times New Roman"/>
          <w:sz w:val="24"/>
          <w:szCs w:val="24"/>
        </w:rPr>
        <w:t xml:space="preserve"> shows that the model is fit to predict creative accounting practices F (4,359) =5602.59, p&lt; .05. Furthermore, the joint effects of forensic accounting techniques on creative accounting practices is statistically significant, R</w:t>
      </w:r>
      <w:r w:rsidRPr="008B1465">
        <w:rPr>
          <w:rFonts w:ascii="Times New Roman" w:hAnsi="Times New Roman"/>
          <w:sz w:val="24"/>
          <w:szCs w:val="24"/>
          <w:vertAlign w:val="superscript"/>
        </w:rPr>
        <w:t xml:space="preserve">2 </w:t>
      </w:r>
      <w:r w:rsidRPr="008B1465">
        <w:rPr>
          <w:rFonts w:ascii="Times New Roman" w:hAnsi="Times New Roman"/>
          <w:sz w:val="24"/>
          <w:szCs w:val="24"/>
        </w:rPr>
        <w:t xml:space="preserve">=.984, F (4,359) = 5602.59, p&lt;.05. </w:t>
      </w:r>
    </w:p>
    <w:p w14:paraId="0A335938" w14:textId="36BD8CE1" w:rsidR="00234521" w:rsidRPr="008B1465" w:rsidRDefault="00234521" w:rsidP="00234521">
      <w:pPr>
        <w:spacing w:after="0" w:line="360" w:lineRule="auto"/>
        <w:jc w:val="both"/>
        <w:rPr>
          <w:rFonts w:ascii="Times New Roman" w:hAnsi="Times New Roman"/>
          <w:sz w:val="24"/>
          <w:szCs w:val="24"/>
        </w:rPr>
      </w:pPr>
      <w:r w:rsidRPr="008B1465">
        <w:rPr>
          <w:rFonts w:ascii="Times New Roman" w:hAnsi="Times New Roman"/>
          <w:sz w:val="24"/>
          <w:szCs w:val="24"/>
        </w:rPr>
        <w:t>Table 4.1</w:t>
      </w:r>
      <w:r w:rsidR="0010618D">
        <w:rPr>
          <w:rFonts w:ascii="Times New Roman" w:hAnsi="Times New Roman"/>
          <w:sz w:val="24"/>
          <w:szCs w:val="24"/>
        </w:rPr>
        <w:t>4</w:t>
      </w:r>
      <w:r w:rsidRPr="008B1465">
        <w:rPr>
          <w:rFonts w:ascii="Times New Roman" w:hAnsi="Times New Roman"/>
          <w:sz w:val="24"/>
          <w:szCs w:val="24"/>
        </w:rPr>
        <w:t xml:space="preserve"> shows individual contribution of linear grouping of forensic accounting techniques</w:t>
      </w:r>
      <w:r w:rsidR="0025745D" w:rsidRPr="008B1465">
        <w:rPr>
          <w:rFonts w:ascii="Times New Roman" w:hAnsi="Times New Roman"/>
          <w:sz w:val="24"/>
          <w:szCs w:val="24"/>
        </w:rPr>
        <w:t xml:space="preserve"> as:</w:t>
      </w:r>
      <w:r w:rsidRPr="008B1465">
        <w:rPr>
          <w:rFonts w:ascii="Times New Roman" w:hAnsi="Times New Roman"/>
          <w:sz w:val="24"/>
          <w:szCs w:val="24"/>
        </w:rPr>
        <w:t xml:space="preserve"> SCCP (β= -.021, t= -3.007, p&lt; .05), IF (β= -.632, t= -72.93, LS (β= -.020, t = -3.011, p&lt; .05), and ADE (β=1.269, t=147.38, p&lt; .05), </w:t>
      </w:r>
      <w:r w:rsidR="0025745D" w:rsidRPr="008B1465">
        <w:rPr>
          <w:rFonts w:ascii="Times New Roman" w:hAnsi="Times New Roman"/>
          <w:sz w:val="24"/>
          <w:szCs w:val="24"/>
        </w:rPr>
        <w:t>which</w:t>
      </w:r>
      <w:r w:rsidRPr="008B1465">
        <w:rPr>
          <w:rFonts w:ascii="Times New Roman" w:hAnsi="Times New Roman"/>
          <w:sz w:val="24"/>
          <w:szCs w:val="24"/>
        </w:rPr>
        <w:t xml:space="preserve"> shows that all the variables significantly impacted on creative accounting practices. A close evaluation of coefficients shows that three of them (SCCP, IF and LS) show decreasing function</w:t>
      </w:r>
      <w:r w:rsidR="0025745D" w:rsidRPr="008B1465">
        <w:rPr>
          <w:rFonts w:ascii="Times New Roman" w:hAnsi="Times New Roman"/>
          <w:sz w:val="24"/>
          <w:szCs w:val="24"/>
        </w:rPr>
        <w:t>, indicating</w:t>
      </w:r>
      <w:r w:rsidRPr="008B1465">
        <w:rPr>
          <w:rFonts w:ascii="Times New Roman" w:hAnsi="Times New Roman"/>
          <w:sz w:val="24"/>
          <w:szCs w:val="24"/>
        </w:rPr>
        <w:t xml:space="preserve"> availability of forensic accounting with adequate improvement will</w:t>
      </w:r>
      <w:r w:rsidR="00EE513B" w:rsidRPr="008B1465">
        <w:rPr>
          <w:rFonts w:ascii="Times New Roman" w:hAnsi="Times New Roman"/>
          <w:sz w:val="24"/>
          <w:szCs w:val="24"/>
        </w:rPr>
        <w:t xml:space="preserve"> lead to</w:t>
      </w:r>
      <w:r w:rsidRPr="008B1465">
        <w:rPr>
          <w:rFonts w:ascii="Times New Roman" w:hAnsi="Times New Roman"/>
          <w:sz w:val="24"/>
          <w:szCs w:val="24"/>
        </w:rPr>
        <w:t xml:space="preserve"> reduction on </w:t>
      </w:r>
      <w:r w:rsidR="00D553DA" w:rsidRPr="008B1465">
        <w:rPr>
          <w:rFonts w:ascii="Times New Roman" w:hAnsi="Times New Roman"/>
          <w:sz w:val="24"/>
          <w:szCs w:val="24"/>
        </w:rPr>
        <w:t>fraudulent practices.</w:t>
      </w:r>
    </w:p>
    <w:p w14:paraId="6EF271E9" w14:textId="39A7128A" w:rsidR="00234521" w:rsidRPr="008B1465" w:rsidRDefault="000F39F3" w:rsidP="00234521">
      <w:pPr>
        <w:pStyle w:val="Heading3"/>
      </w:pPr>
      <w:bookmarkStart w:id="132" w:name="_Toc145951130"/>
      <w:r>
        <w:t>Effect of</w:t>
      </w:r>
      <w:r w:rsidR="00234521" w:rsidRPr="008B1465">
        <w:t xml:space="preserve"> Forensic Accounting Techniques </w:t>
      </w:r>
      <w:r>
        <w:t>on</w:t>
      </w:r>
      <w:r w:rsidR="00234521" w:rsidRPr="008B1465">
        <w:t xml:space="preserve"> Procurement Practices</w:t>
      </w:r>
      <w:bookmarkEnd w:id="132"/>
    </w:p>
    <w:p w14:paraId="7B01E482" w14:textId="4DE9F05E" w:rsidR="00DE0B41" w:rsidRPr="00DE0B41" w:rsidRDefault="00DE0B41" w:rsidP="006C3A1E">
      <w:pPr>
        <w:pStyle w:val="Caption"/>
        <w:keepNext/>
        <w:jc w:val="center"/>
        <w:rPr>
          <w:rFonts w:ascii="Times New Roman" w:hAnsi="Times New Roman"/>
          <w:i w:val="0"/>
          <w:iCs w:val="0"/>
          <w:color w:val="auto"/>
          <w:sz w:val="24"/>
          <w:szCs w:val="24"/>
        </w:rPr>
      </w:pPr>
      <w:bookmarkStart w:id="133" w:name="_Toc145952348"/>
      <w:r w:rsidRPr="00DE0B41">
        <w:rPr>
          <w:rFonts w:ascii="Times New Roman" w:hAnsi="Times New Roman"/>
          <w:i w:val="0"/>
          <w:iCs w:val="0"/>
          <w:color w:val="auto"/>
          <w:sz w:val="24"/>
          <w:szCs w:val="24"/>
        </w:rPr>
        <w:t xml:space="preserve">Table </w:t>
      </w:r>
      <w:r w:rsidR="000F6857">
        <w:rPr>
          <w:rFonts w:ascii="Times New Roman" w:hAnsi="Times New Roman"/>
          <w:i w:val="0"/>
          <w:iCs w:val="0"/>
          <w:color w:val="auto"/>
          <w:sz w:val="24"/>
          <w:szCs w:val="24"/>
        </w:rPr>
        <w:fldChar w:fldCharType="begin"/>
      </w:r>
      <w:r w:rsidR="000F6857">
        <w:rPr>
          <w:rFonts w:ascii="Times New Roman" w:hAnsi="Times New Roman"/>
          <w:i w:val="0"/>
          <w:iCs w:val="0"/>
          <w:color w:val="auto"/>
          <w:sz w:val="24"/>
          <w:szCs w:val="24"/>
        </w:rPr>
        <w:instrText xml:space="preserve"> STYLEREF 1 \s </w:instrText>
      </w:r>
      <w:r w:rsidR="000F6857">
        <w:rPr>
          <w:rFonts w:ascii="Times New Roman" w:hAnsi="Times New Roman"/>
          <w:i w:val="0"/>
          <w:iCs w:val="0"/>
          <w:color w:val="auto"/>
          <w:sz w:val="24"/>
          <w:szCs w:val="24"/>
        </w:rPr>
        <w:fldChar w:fldCharType="separate"/>
      </w:r>
      <w:r w:rsidR="007B5846">
        <w:rPr>
          <w:rFonts w:ascii="Times New Roman" w:hAnsi="Times New Roman"/>
          <w:i w:val="0"/>
          <w:iCs w:val="0"/>
          <w:noProof/>
          <w:color w:val="auto"/>
          <w:sz w:val="24"/>
          <w:szCs w:val="24"/>
        </w:rPr>
        <w:t>4</w:t>
      </w:r>
      <w:r w:rsidR="000F6857">
        <w:rPr>
          <w:rFonts w:ascii="Times New Roman" w:hAnsi="Times New Roman"/>
          <w:i w:val="0"/>
          <w:iCs w:val="0"/>
          <w:color w:val="auto"/>
          <w:sz w:val="24"/>
          <w:szCs w:val="24"/>
        </w:rPr>
        <w:fldChar w:fldCharType="end"/>
      </w:r>
      <w:r w:rsidR="000F6857">
        <w:rPr>
          <w:rFonts w:ascii="Times New Roman" w:hAnsi="Times New Roman"/>
          <w:i w:val="0"/>
          <w:iCs w:val="0"/>
          <w:color w:val="auto"/>
          <w:sz w:val="24"/>
          <w:szCs w:val="24"/>
        </w:rPr>
        <w:t>.</w:t>
      </w:r>
      <w:r w:rsidR="000F6857">
        <w:rPr>
          <w:rFonts w:ascii="Times New Roman" w:hAnsi="Times New Roman"/>
          <w:i w:val="0"/>
          <w:iCs w:val="0"/>
          <w:color w:val="auto"/>
          <w:sz w:val="24"/>
          <w:szCs w:val="24"/>
        </w:rPr>
        <w:fldChar w:fldCharType="begin"/>
      </w:r>
      <w:r w:rsidR="000F6857">
        <w:rPr>
          <w:rFonts w:ascii="Times New Roman" w:hAnsi="Times New Roman"/>
          <w:i w:val="0"/>
          <w:iCs w:val="0"/>
          <w:color w:val="auto"/>
          <w:sz w:val="24"/>
          <w:szCs w:val="24"/>
        </w:rPr>
        <w:instrText xml:space="preserve"> SEQ Table \* ARABIC \s 1 </w:instrText>
      </w:r>
      <w:r w:rsidR="000F6857">
        <w:rPr>
          <w:rFonts w:ascii="Times New Roman" w:hAnsi="Times New Roman"/>
          <w:i w:val="0"/>
          <w:iCs w:val="0"/>
          <w:color w:val="auto"/>
          <w:sz w:val="24"/>
          <w:szCs w:val="24"/>
        </w:rPr>
        <w:fldChar w:fldCharType="separate"/>
      </w:r>
      <w:r w:rsidR="007B5846">
        <w:rPr>
          <w:rFonts w:ascii="Times New Roman" w:hAnsi="Times New Roman"/>
          <w:i w:val="0"/>
          <w:iCs w:val="0"/>
          <w:noProof/>
          <w:color w:val="auto"/>
          <w:sz w:val="24"/>
          <w:szCs w:val="24"/>
        </w:rPr>
        <w:t>15</w:t>
      </w:r>
      <w:r w:rsidR="000F6857">
        <w:rPr>
          <w:rFonts w:ascii="Times New Roman" w:hAnsi="Times New Roman"/>
          <w:i w:val="0"/>
          <w:iCs w:val="0"/>
          <w:color w:val="auto"/>
          <w:sz w:val="24"/>
          <w:szCs w:val="24"/>
        </w:rPr>
        <w:fldChar w:fldCharType="end"/>
      </w:r>
      <w:r w:rsidRPr="00DE0B41">
        <w:rPr>
          <w:rFonts w:ascii="Times New Roman" w:hAnsi="Times New Roman"/>
          <w:i w:val="0"/>
          <w:iCs w:val="0"/>
          <w:color w:val="auto"/>
          <w:sz w:val="24"/>
          <w:szCs w:val="24"/>
        </w:rPr>
        <w:t xml:space="preserve">: </w:t>
      </w:r>
      <w:r w:rsidR="000F39F3">
        <w:rPr>
          <w:rFonts w:ascii="Times New Roman" w:hAnsi="Times New Roman"/>
          <w:i w:val="0"/>
          <w:iCs w:val="0"/>
          <w:color w:val="auto"/>
          <w:sz w:val="24"/>
          <w:szCs w:val="24"/>
        </w:rPr>
        <w:t>Effect of</w:t>
      </w:r>
      <w:r w:rsidRPr="00DE0B41">
        <w:rPr>
          <w:rFonts w:ascii="Times New Roman" w:hAnsi="Times New Roman"/>
          <w:i w:val="0"/>
          <w:iCs w:val="0"/>
          <w:color w:val="auto"/>
          <w:sz w:val="24"/>
          <w:szCs w:val="24"/>
        </w:rPr>
        <w:t xml:space="preserve"> Forensic Accounting Techniques </w:t>
      </w:r>
      <w:r w:rsidR="000F39F3">
        <w:rPr>
          <w:rFonts w:ascii="Times New Roman" w:hAnsi="Times New Roman"/>
          <w:i w:val="0"/>
          <w:iCs w:val="0"/>
          <w:color w:val="auto"/>
          <w:sz w:val="24"/>
          <w:szCs w:val="24"/>
        </w:rPr>
        <w:t>on</w:t>
      </w:r>
      <w:r w:rsidRPr="00DE0B41">
        <w:rPr>
          <w:rFonts w:ascii="Times New Roman" w:hAnsi="Times New Roman"/>
          <w:i w:val="0"/>
          <w:iCs w:val="0"/>
          <w:color w:val="auto"/>
          <w:sz w:val="24"/>
          <w:szCs w:val="24"/>
        </w:rPr>
        <w:t xml:space="preserve"> Procurement Practices</w:t>
      </w:r>
      <w:bookmarkEnd w:id="133"/>
    </w:p>
    <w:tbl>
      <w:tblPr>
        <w:tblW w:w="0" w:type="auto"/>
        <w:tblInd w:w="-5" w:type="dxa"/>
        <w:tblBorders>
          <w:top w:val="single" w:sz="4" w:space="0" w:color="auto"/>
          <w:bottom w:val="single" w:sz="4" w:space="0" w:color="auto"/>
        </w:tblBorders>
        <w:tblLook w:val="04A0" w:firstRow="1" w:lastRow="0" w:firstColumn="1" w:lastColumn="0" w:noHBand="0" w:noVBand="1"/>
      </w:tblPr>
      <w:tblGrid>
        <w:gridCol w:w="1343"/>
        <w:gridCol w:w="1393"/>
        <w:gridCol w:w="1316"/>
        <w:gridCol w:w="1370"/>
        <w:gridCol w:w="1303"/>
        <w:gridCol w:w="1303"/>
        <w:gridCol w:w="1337"/>
      </w:tblGrid>
      <w:tr w:rsidR="00180A55" w:rsidRPr="008B1465" w14:paraId="670417AB" w14:textId="77777777" w:rsidTr="00B92375">
        <w:tc>
          <w:tcPr>
            <w:tcW w:w="1265" w:type="dxa"/>
            <w:tcBorders>
              <w:top w:val="thinThickSmallGap" w:sz="24" w:space="0" w:color="auto"/>
              <w:bottom w:val="thinThickSmallGap" w:sz="24" w:space="0" w:color="auto"/>
            </w:tcBorders>
          </w:tcPr>
          <w:p w14:paraId="4F4E793B" w14:textId="77777777" w:rsidR="00180A55" w:rsidRPr="008B1465" w:rsidRDefault="00180A55" w:rsidP="00163663">
            <w:pPr>
              <w:spacing w:after="0" w:line="360" w:lineRule="auto"/>
              <w:rPr>
                <w:rFonts w:ascii="Times New Roman" w:hAnsi="Times New Roman"/>
                <w:b/>
                <w:bCs/>
                <w:sz w:val="24"/>
                <w:szCs w:val="24"/>
              </w:rPr>
            </w:pPr>
            <w:r w:rsidRPr="008B1465">
              <w:rPr>
                <w:rFonts w:ascii="Times New Roman" w:hAnsi="Times New Roman"/>
                <w:b/>
                <w:bCs/>
                <w:sz w:val="24"/>
                <w:szCs w:val="24"/>
              </w:rPr>
              <w:t>Variables</w:t>
            </w:r>
          </w:p>
        </w:tc>
        <w:tc>
          <w:tcPr>
            <w:tcW w:w="1408" w:type="dxa"/>
            <w:tcBorders>
              <w:top w:val="thinThickSmallGap" w:sz="24" w:space="0" w:color="auto"/>
              <w:bottom w:val="thinThickSmallGap" w:sz="24" w:space="0" w:color="auto"/>
            </w:tcBorders>
          </w:tcPr>
          <w:p w14:paraId="0A52D886" w14:textId="3A87B445" w:rsidR="00180A55" w:rsidRPr="008B1465" w:rsidRDefault="00DA745F" w:rsidP="00163663">
            <w:pPr>
              <w:spacing w:after="0" w:line="360" w:lineRule="auto"/>
              <w:rPr>
                <w:rFonts w:ascii="Times New Roman" w:hAnsi="Times New Roman"/>
                <w:b/>
                <w:bCs/>
                <w:sz w:val="24"/>
                <w:szCs w:val="24"/>
              </w:rPr>
            </w:pPr>
            <w:r>
              <w:rPr>
                <w:rFonts w:ascii="Times New Roman" w:hAnsi="Times New Roman"/>
                <w:b/>
                <w:bCs/>
                <w:sz w:val="24"/>
                <w:szCs w:val="24"/>
              </w:rPr>
              <w:t>B</w:t>
            </w:r>
          </w:p>
        </w:tc>
        <w:tc>
          <w:tcPr>
            <w:tcW w:w="1329" w:type="dxa"/>
            <w:tcBorders>
              <w:top w:val="thinThickSmallGap" w:sz="24" w:space="0" w:color="auto"/>
              <w:bottom w:val="thinThickSmallGap" w:sz="24" w:space="0" w:color="auto"/>
            </w:tcBorders>
          </w:tcPr>
          <w:p w14:paraId="108DAD06" w14:textId="5CAD95A6" w:rsidR="00180A55" w:rsidRPr="008B1465" w:rsidRDefault="00180A55" w:rsidP="00163663">
            <w:pPr>
              <w:spacing w:after="0" w:line="360" w:lineRule="auto"/>
              <w:rPr>
                <w:rFonts w:ascii="Times New Roman" w:hAnsi="Times New Roman"/>
                <w:b/>
                <w:bCs/>
                <w:sz w:val="24"/>
                <w:szCs w:val="24"/>
              </w:rPr>
            </w:pPr>
            <w:r w:rsidRPr="008B1465">
              <w:rPr>
                <w:rFonts w:ascii="Times New Roman" w:hAnsi="Times New Roman"/>
                <w:b/>
                <w:bCs/>
                <w:sz w:val="24"/>
                <w:szCs w:val="24"/>
              </w:rPr>
              <w:t>Beta</w:t>
            </w:r>
          </w:p>
        </w:tc>
        <w:tc>
          <w:tcPr>
            <w:tcW w:w="1380" w:type="dxa"/>
            <w:tcBorders>
              <w:top w:val="thinThickSmallGap" w:sz="24" w:space="0" w:color="auto"/>
              <w:bottom w:val="thinThickSmallGap" w:sz="24" w:space="0" w:color="auto"/>
            </w:tcBorders>
          </w:tcPr>
          <w:p w14:paraId="26336878" w14:textId="77777777" w:rsidR="00180A55" w:rsidRPr="008B1465" w:rsidRDefault="00180A55" w:rsidP="00163663">
            <w:pPr>
              <w:spacing w:after="0" w:line="360" w:lineRule="auto"/>
              <w:rPr>
                <w:rFonts w:ascii="Times New Roman" w:hAnsi="Times New Roman"/>
                <w:b/>
                <w:bCs/>
                <w:sz w:val="24"/>
                <w:szCs w:val="24"/>
              </w:rPr>
            </w:pPr>
            <w:r w:rsidRPr="008B1465">
              <w:rPr>
                <w:rFonts w:ascii="Times New Roman" w:hAnsi="Times New Roman"/>
                <w:b/>
                <w:bCs/>
                <w:sz w:val="24"/>
                <w:szCs w:val="24"/>
              </w:rPr>
              <w:t>t</w:t>
            </w:r>
          </w:p>
        </w:tc>
        <w:tc>
          <w:tcPr>
            <w:tcW w:w="1317" w:type="dxa"/>
            <w:tcBorders>
              <w:top w:val="thinThickSmallGap" w:sz="24" w:space="0" w:color="auto"/>
              <w:bottom w:val="thinThickSmallGap" w:sz="24" w:space="0" w:color="auto"/>
            </w:tcBorders>
          </w:tcPr>
          <w:p w14:paraId="1D3B7A4B" w14:textId="77777777" w:rsidR="00180A55" w:rsidRPr="008B1465" w:rsidRDefault="00180A55" w:rsidP="00163663">
            <w:pPr>
              <w:spacing w:after="0" w:line="360" w:lineRule="auto"/>
              <w:rPr>
                <w:rFonts w:ascii="Times New Roman" w:hAnsi="Times New Roman"/>
                <w:b/>
                <w:bCs/>
                <w:sz w:val="24"/>
                <w:szCs w:val="24"/>
              </w:rPr>
            </w:pPr>
            <w:r w:rsidRPr="008B1465">
              <w:rPr>
                <w:rFonts w:ascii="Times New Roman" w:hAnsi="Times New Roman"/>
                <w:b/>
                <w:bCs/>
                <w:sz w:val="24"/>
                <w:szCs w:val="24"/>
              </w:rPr>
              <w:t>Sig</w:t>
            </w:r>
          </w:p>
        </w:tc>
        <w:tc>
          <w:tcPr>
            <w:tcW w:w="1317" w:type="dxa"/>
            <w:tcBorders>
              <w:top w:val="thinThickSmallGap" w:sz="24" w:space="0" w:color="auto"/>
              <w:bottom w:val="thinThickSmallGap" w:sz="24" w:space="0" w:color="auto"/>
            </w:tcBorders>
          </w:tcPr>
          <w:p w14:paraId="0DCF59A7" w14:textId="77777777" w:rsidR="00180A55" w:rsidRPr="008B1465" w:rsidRDefault="00180A55" w:rsidP="00163663">
            <w:pPr>
              <w:spacing w:after="0" w:line="360" w:lineRule="auto"/>
              <w:rPr>
                <w:rFonts w:ascii="Times New Roman" w:hAnsi="Times New Roman"/>
                <w:b/>
                <w:bCs/>
                <w:sz w:val="24"/>
                <w:szCs w:val="24"/>
              </w:rPr>
            </w:pPr>
            <w:r w:rsidRPr="008B1465">
              <w:rPr>
                <w:rFonts w:ascii="Times New Roman" w:hAnsi="Times New Roman"/>
                <w:b/>
                <w:bCs/>
                <w:sz w:val="24"/>
                <w:szCs w:val="24"/>
              </w:rPr>
              <w:t>T</w:t>
            </w:r>
          </w:p>
        </w:tc>
        <w:tc>
          <w:tcPr>
            <w:tcW w:w="1349" w:type="dxa"/>
            <w:tcBorders>
              <w:top w:val="thinThickSmallGap" w:sz="24" w:space="0" w:color="auto"/>
              <w:bottom w:val="thinThickSmallGap" w:sz="24" w:space="0" w:color="auto"/>
            </w:tcBorders>
          </w:tcPr>
          <w:p w14:paraId="66AF1D4E" w14:textId="77777777" w:rsidR="00180A55" w:rsidRPr="008B1465" w:rsidRDefault="00180A55" w:rsidP="00163663">
            <w:pPr>
              <w:spacing w:after="0" w:line="360" w:lineRule="auto"/>
              <w:rPr>
                <w:rFonts w:ascii="Times New Roman" w:hAnsi="Times New Roman"/>
                <w:b/>
                <w:bCs/>
                <w:sz w:val="24"/>
                <w:szCs w:val="24"/>
              </w:rPr>
            </w:pPr>
            <w:r w:rsidRPr="008B1465">
              <w:rPr>
                <w:rFonts w:ascii="Times New Roman" w:hAnsi="Times New Roman"/>
                <w:b/>
                <w:bCs/>
                <w:sz w:val="24"/>
                <w:szCs w:val="24"/>
              </w:rPr>
              <w:t>VIF</w:t>
            </w:r>
          </w:p>
        </w:tc>
      </w:tr>
      <w:tr w:rsidR="00180A55" w:rsidRPr="008B1465" w14:paraId="725D2A7B" w14:textId="77777777" w:rsidTr="00B92375">
        <w:tc>
          <w:tcPr>
            <w:tcW w:w="1265" w:type="dxa"/>
            <w:tcBorders>
              <w:top w:val="thinThickSmallGap" w:sz="24" w:space="0" w:color="auto"/>
            </w:tcBorders>
          </w:tcPr>
          <w:p w14:paraId="230CEF43" w14:textId="77777777" w:rsidR="00180A55" w:rsidRPr="008B1465" w:rsidRDefault="00180A55" w:rsidP="00163663">
            <w:pPr>
              <w:spacing w:after="0" w:line="360" w:lineRule="auto"/>
              <w:jc w:val="both"/>
              <w:rPr>
                <w:rFonts w:ascii="Times New Roman" w:hAnsi="Times New Roman"/>
                <w:b/>
                <w:bCs/>
                <w:sz w:val="24"/>
                <w:szCs w:val="24"/>
              </w:rPr>
            </w:pPr>
            <w:r w:rsidRPr="008B1465">
              <w:rPr>
                <w:rFonts w:ascii="Times New Roman" w:hAnsi="Times New Roman"/>
                <w:b/>
                <w:bCs/>
                <w:sz w:val="24"/>
                <w:szCs w:val="24"/>
              </w:rPr>
              <w:t>Constant</w:t>
            </w:r>
          </w:p>
        </w:tc>
        <w:tc>
          <w:tcPr>
            <w:tcW w:w="1408" w:type="dxa"/>
            <w:tcBorders>
              <w:top w:val="thinThickSmallGap" w:sz="24" w:space="0" w:color="auto"/>
            </w:tcBorders>
          </w:tcPr>
          <w:p w14:paraId="42A773C0" w14:textId="702B0B1F" w:rsidR="00180A55" w:rsidRPr="008B1465" w:rsidRDefault="0071408C" w:rsidP="00163663">
            <w:pPr>
              <w:spacing w:after="0" w:line="360" w:lineRule="auto"/>
              <w:jc w:val="both"/>
              <w:rPr>
                <w:rFonts w:ascii="Times New Roman" w:hAnsi="Times New Roman"/>
                <w:sz w:val="24"/>
                <w:szCs w:val="24"/>
              </w:rPr>
            </w:pPr>
            <w:r>
              <w:rPr>
                <w:rFonts w:ascii="Times New Roman" w:hAnsi="Times New Roman"/>
                <w:sz w:val="24"/>
                <w:szCs w:val="24"/>
              </w:rPr>
              <w:t>5.419</w:t>
            </w:r>
          </w:p>
        </w:tc>
        <w:tc>
          <w:tcPr>
            <w:tcW w:w="1329" w:type="dxa"/>
            <w:tcBorders>
              <w:top w:val="thinThickSmallGap" w:sz="24" w:space="0" w:color="auto"/>
            </w:tcBorders>
          </w:tcPr>
          <w:p w14:paraId="4243A5A5" w14:textId="274950A4" w:rsidR="00180A55" w:rsidRPr="008B1465" w:rsidRDefault="00180A55" w:rsidP="00163663">
            <w:pPr>
              <w:spacing w:after="0" w:line="360" w:lineRule="auto"/>
              <w:jc w:val="both"/>
              <w:rPr>
                <w:rFonts w:ascii="Times New Roman" w:hAnsi="Times New Roman"/>
                <w:sz w:val="24"/>
                <w:szCs w:val="24"/>
              </w:rPr>
            </w:pPr>
          </w:p>
        </w:tc>
        <w:tc>
          <w:tcPr>
            <w:tcW w:w="1380" w:type="dxa"/>
            <w:tcBorders>
              <w:top w:val="thinThickSmallGap" w:sz="24" w:space="0" w:color="auto"/>
            </w:tcBorders>
          </w:tcPr>
          <w:p w14:paraId="38368FA5" w14:textId="77777777" w:rsidR="00180A55" w:rsidRPr="008B1465" w:rsidRDefault="00180A55" w:rsidP="00163663">
            <w:pPr>
              <w:spacing w:after="0" w:line="360" w:lineRule="auto"/>
              <w:jc w:val="both"/>
              <w:rPr>
                <w:rFonts w:ascii="Times New Roman" w:hAnsi="Times New Roman"/>
                <w:sz w:val="24"/>
                <w:szCs w:val="24"/>
              </w:rPr>
            </w:pPr>
            <w:r w:rsidRPr="008B1465">
              <w:rPr>
                <w:rFonts w:ascii="Times New Roman" w:hAnsi="Times New Roman"/>
                <w:sz w:val="24"/>
                <w:szCs w:val="24"/>
              </w:rPr>
              <w:t>8.881</w:t>
            </w:r>
          </w:p>
        </w:tc>
        <w:tc>
          <w:tcPr>
            <w:tcW w:w="1317" w:type="dxa"/>
            <w:tcBorders>
              <w:top w:val="thinThickSmallGap" w:sz="24" w:space="0" w:color="auto"/>
            </w:tcBorders>
          </w:tcPr>
          <w:p w14:paraId="20318B94" w14:textId="77777777" w:rsidR="00180A55" w:rsidRPr="008B1465" w:rsidRDefault="00180A55" w:rsidP="00163663">
            <w:pPr>
              <w:spacing w:after="0" w:line="360" w:lineRule="auto"/>
              <w:jc w:val="both"/>
              <w:rPr>
                <w:rFonts w:ascii="Times New Roman" w:hAnsi="Times New Roman"/>
                <w:sz w:val="24"/>
                <w:szCs w:val="24"/>
              </w:rPr>
            </w:pPr>
            <w:r w:rsidRPr="008B1465">
              <w:rPr>
                <w:rFonts w:ascii="Times New Roman" w:hAnsi="Times New Roman"/>
                <w:sz w:val="24"/>
                <w:szCs w:val="24"/>
              </w:rPr>
              <w:t>.000</w:t>
            </w:r>
          </w:p>
        </w:tc>
        <w:tc>
          <w:tcPr>
            <w:tcW w:w="1317" w:type="dxa"/>
            <w:tcBorders>
              <w:top w:val="thinThickSmallGap" w:sz="24" w:space="0" w:color="auto"/>
            </w:tcBorders>
          </w:tcPr>
          <w:p w14:paraId="27C4700E" w14:textId="77777777" w:rsidR="00180A55" w:rsidRPr="008B1465" w:rsidRDefault="00180A55" w:rsidP="00163663">
            <w:pPr>
              <w:spacing w:after="0" w:line="360" w:lineRule="auto"/>
              <w:jc w:val="both"/>
              <w:rPr>
                <w:rFonts w:ascii="Times New Roman" w:hAnsi="Times New Roman"/>
                <w:sz w:val="24"/>
                <w:szCs w:val="24"/>
              </w:rPr>
            </w:pPr>
          </w:p>
        </w:tc>
        <w:tc>
          <w:tcPr>
            <w:tcW w:w="1349" w:type="dxa"/>
            <w:tcBorders>
              <w:top w:val="thinThickSmallGap" w:sz="24" w:space="0" w:color="auto"/>
            </w:tcBorders>
          </w:tcPr>
          <w:p w14:paraId="360B80E9" w14:textId="77777777" w:rsidR="00180A55" w:rsidRPr="008B1465" w:rsidRDefault="00180A55" w:rsidP="00163663">
            <w:pPr>
              <w:spacing w:after="0" w:line="360" w:lineRule="auto"/>
              <w:jc w:val="both"/>
              <w:rPr>
                <w:rFonts w:ascii="Times New Roman" w:hAnsi="Times New Roman"/>
                <w:sz w:val="24"/>
                <w:szCs w:val="24"/>
              </w:rPr>
            </w:pPr>
          </w:p>
        </w:tc>
      </w:tr>
      <w:tr w:rsidR="00180A55" w:rsidRPr="008B1465" w14:paraId="2E80C58A" w14:textId="77777777" w:rsidTr="00B92375">
        <w:tc>
          <w:tcPr>
            <w:tcW w:w="1265" w:type="dxa"/>
          </w:tcPr>
          <w:p w14:paraId="7B33A797" w14:textId="77777777" w:rsidR="00180A55" w:rsidRPr="008B1465" w:rsidRDefault="00180A55" w:rsidP="00163663">
            <w:pPr>
              <w:spacing w:after="0" w:line="360" w:lineRule="auto"/>
              <w:jc w:val="both"/>
              <w:rPr>
                <w:rFonts w:ascii="Times New Roman" w:hAnsi="Times New Roman"/>
                <w:b/>
                <w:bCs/>
                <w:sz w:val="24"/>
                <w:szCs w:val="24"/>
              </w:rPr>
            </w:pPr>
            <w:r w:rsidRPr="008B1465">
              <w:rPr>
                <w:rFonts w:ascii="Times New Roman" w:hAnsi="Times New Roman"/>
                <w:b/>
                <w:bCs/>
                <w:sz w:val="24"/>
                <w:szCs w:val="24"/>
              </w:rPr>
              <w:t>SCCP</w:t>
            </w:r>
          </w:p>
        </w:tc>
        <w:tc>
          <w:tcPr>
            <w:tcW w:w="1408" w:type="dxa"/>
          </w:tcPr>
          <w:p w14:paraId="6B47A8FD" w14:textId="4989DBE3" w:rsidR="00180A55" w:rsidRPr="008B1465" w:rsidRDefault="0071408C" w:rsidP="00163663">
            <w:pPr>
              <w:spacing w:after="0" w:line="360" w:lineRule="auto"/>
              <w:jc w:val="both"/>
              <w:rPr>
                <w:rFonts w:ascii="Times New Roman" w:hAnsi="Times New Roman"/>
                <w:sz w:val="24"/>
                <w:szCs w:val="24"/>
              </w:rPr>
            </w:pPr>
            <w:r>
              <w:rPr>
                <w:rFonts w:ascii="Times New Roman" w:hAnsi="Times New Roman"/>
                <w:sz w:val="24"/>
                <w:szCs w:val="24"/>
              </w:rPr>
              <w:t>.064</w:t>
            </w:r>
          </w:p>
        </w:tc>
        <w:tc>
          <w:tcPr>
            <w:tcW w:w="1329" w:type="dxa"/>
          </w:tcPr>
          <w:p w14:paraId="07B15640" w14:textId="2D10743A" w:rsidR="00180A55" w:rsidRPr="008B1465" w:rsidRDefault="00180A55" w:rsidP="00163663">
            <w:pPr>
              <w:spacing w:after="0" w:line="360" w:lineRule="auto"/>
              <w:jc w:val="both"/>
              <w:rPr>
                <w:rFonts w:ascii="Times New Roman" w:hAnsi="Times New Roman"/>
                <w:sz w:val="24"/>
                <w:szCs w:val="24"/>
              </w:rPr>
            </w:pPr>
            <w:r w:rsidRPr="008B1465">
              <w:rPr>
                <w:rFonts w:ascii="Times New Roman" w:hAnsi="Times New Roman"/>
                <w:sz w:val="24"/>
                <w:szCs w:val="24"/>
              </w:rPr>
              <w:t>.160</w:t>
            </w:r>
          </w:p>
        </w:tc>
        <w:tc>
          <w:tcPr>
            <w:tcW w:w="1380" w:type="dxa"/>
          </w:tcPr>
          <w:p w14:paraId="39469B9C" w14:textId="77777777" w:rsidR="00180A55" w:rsidRPr="008B1465" w:rsidRDefault="00180A55" w:rsidP="00163663">
            <w:pPr>
              <w:spacing w:after="0" w:line="360" w:lineRule="auto"/>
              <w:jc w:val="both"/>
              <w:rPr>
                <w:rFonts w:ascii="Times New Roman" w:hAnsi="Times New Roman"/>
                <w:sz w:val="24"/>
                <w:szCs w:val="24"/>
              </w:rPr>
            </w:pPr>
            <w:r w:rsidRPr="008B1465">
              <w:rPr>
                <w:rFonts w:ascii="Times New Roman" w:hAnsi="Times New Roman"/>
                <w:sz w:val="24"/>
                <w:szCs w:val="24"/>
              </w:rPr>
              <w:t>3.738</w:t>
            </w:r>
          </w:p>
        </w:tc>
        <w:tc>
          <w:tcPr>
            <w:tcW w:w="1317" w:type="dxa"/>
          </w:tcPr>
          <w:p w14:paraId="64CC78A6" w14:textId="77777777" w:rsidR="00180A55" w:rsidRPr="008B1465" w:rsidRDefault="00180A55" w:rsidP="00163663">
            <w:pPr>
              <w:spacing w:after="0" w:line="360" w:lineRule="auto"/>
              <w:jc w:val="both"/>
              <w:rPr>
                <w:rFonts w:ascii="Times New Roman" w:hAnsi="Times New Roman"/>
                <w:sz w:val="24"/>
                <w:szCs w:val="24"/>
              </w:rPr>
            </w:pPr>
            <w:r w:rsidRPr="008B1465">
              <w:rPr>
                <w:rFonts w:ascii="Times New Roman" w:hAnsi="Times New Roman"/>
                <w:sz w:val="24"/>
                <w:szCs w:val="24"/>
              </w:rPr>
              <w:t>.000</w:t>
            </w:r>
          </w:p>
        </w:tc>
        <w:tc>
          <w:tcPr>
            <w:tcW w:w="1317" w:type="dxa"/>
          </w:tcPr>
          <w:p w14:paraId="133D755D" w14:textId="77777777" w:rsidR="00180A55" w:rsidRPr="008B1465" w:rsidRDefault="00180A55" w:rsidP="00163663">
            <w:pPr>
              <w:spacing w:after="0" w:line="360" w:lineRule="auto"/>
              <w:jc w:val="both"/>
              <w:rPr>
                <w:rFonts w:ascii="Times New Roman" w:hAnsi="Times New Roman"/>
                <w:sz w:val="24"/>
                <w:szCs w:val="24"/>
              </w:rPr>
            </w:pPr>
            <w:r w:rsidRPr="008B1465">
              <w:rPr>
                <w:rFonts w:ascii="Times New Roman" w:hAnsi="Times New Roman"/>
                <w:sz w:val="24"/>
                <w:szCs w:val="24"/>
              </w:rPr>
              <w:t>.983</w:t>
            </w:r>
          </w:p>
        </w:tc>
        <w:tc>
          <w:tcPr>
            <w:tcW w:w="1349" w:type="dxa"/>
          </w:tcPr>
          <w:p w14:paraId="37CC2A55" w14:textId="77777777" w:rsidR="00180A55" w:rsidRPr="008B1465" w:rsidRDefault="00180A55" w:rsidP="00163663">
            <w:pPr>
              <w:spacing w:after="0" w:line="360" w:lineRule="auto"/>
              <w:jc w:val="both"/>
              <w:rPr>
                <w:rFonts w:ascii="Times New Roman" w:hAnsi="Times New Roman"/>
                <w:sz w:val="24"/>
                <w:szCs w:val="24"/>
              </w:rPr>
            </w:pPr>
            <w:r w:rsidRPr="008B1465">
              <w:rPr>
                <w:rFonts w:ascii="Times New Roman" w:hAnsi="Times New Roman"/>
                <w:sz w:val="24"/>
                <w:szCs w:val="24"/>
              </w:rPr>
              <w:t>1.017</w:t>
            </w:r>
          </w:p>
        </w:tc>
      </w:tr>
      <w:tr w:rsidR="00180A55" w:rsidRPr="008B1465" w14:paraId="31B5DBB0" w14:textId="77777777" w:rsidTr="00B92375">
        <w:tc>
          <w:tcPr>
            <w:tcW w:w="1265" w:type="dxa"/>
          </w:tcPr>
          <w:p w14:paraId="1D26FDA0" w14:textId="77777777" w:rsidR="00180A55" w:rsidRPr="008B1465" w:rsidRDefault="00180A55" w:rsidP="00163663">
            <w:pPr>
              <w:spacing w:after="0" w:line="360" w:lineRule="auto"/>
              <w:jc w:val="both"/>
              <w:rPr>
                <w:rFonts w:ascii="Times New Roman" w:hAnsi="Times New Roman"/>
                <w:b/>
                <w:bCs/>
                <w:sz w:val="24"/>
                <w:szCs w:val="24"/>
              </w:rPr>
            </w:pPr>
            <w:r w:rsidRPr="008B1465">
              <w:rPr>
                <w:rFonts w:ascii="Times New Roman" w:hAnsi="Times New Roman"/>
                <w:b/>
                <w:bCs/>
                <w:sz w:val="24"/>
                <w:szCs w:val="24"/>
              </w:rPr>
              <w:t>IF</w:t>
            </w:r>
          </w:p>
        </w:tc>
        <w:tc>
          <w:tcPr>
            <w:tcW w:w="1408" w:type="dxa"/>
          </w:tcPr>
          <w:p w14:paraId="025B3988" w14:textId="757011A9" w:rsidR="00180A55" w:rsidRPr="008B1465" w:rsidRDefault="0071408C" w:rsidP="00163663">
            <w:pPr>
              <w:spacing w:after="0" w:line="360" w:lineRule="auto"/>
              <w:jc w:val="both"/>
              <w:rPr>
                <w:rFonts w:ascii="Times New Roman" w:hAnsi="Times New Roman"/>
                <w:sz w:val="24"/>
                <w:szCs w:val="24"/>
              </w:rPr>
            </w:pPr>
            <w:r>
              <w:rPr>
                <w:rFonts w:ascii="Times New Roman" w:hAnsi="Times New Roman"/>
                <w:sz w:val="24"/>
                <w:szCs w:val="24"/>
              </w:rPr>
              <w:t>-.</w:t>
            </w:r>
            <w:r w:rsidR="00C93808">
              <w:rPr>
                <w:rFonts w:ascii="Times New Roman" w:hAnsi="Times New Roman"/>
                <w:sz w:val="24"/>
                <w:szCs w:val="24"/>
              </w:rPr>
              <w:t>211</w:t>
            </w:r>
          </w:p>
        </w:tc>
        <w:tc>
          <w:tcPr>
            <w:tcW w:w="1329" w:type="dxa"/>
          </w:tcPr>
          <w:p w14:paraId="7BDCA954" w14:textId="372ADC89" w:rsidR="00180A55" w:rsidRPr="008B1465" w:rsidRDefault="00180A55" w:rsidP="00163663">
            <w:pPr>
              <w:spacing w:after="0" w:line="360" w:lineRule="auto"/>
              <w:jc w:val="both"/>
              <w:rPr>
                <w:rFonts w:ascii="Times New Roman" w:hAnsi="Times New Roman"/>
                <w:sz w:val="24"/>
                <w:szCs w:val="24"/>
              </w:rPr>
            </w:pPr>
            <w:r w:rsidRPr="008B1465">
              <w:rPr>
                <w:rFonts w:ascii="Times New Roman" w:hAnsi="Times New Roman"/>
                <w:sz w:val="24"/>
                <w:szCs w:val="24"/>
              </w:rPr>
              <w:t>-.395</w:t>
            </w:r>
          </w:p>
        </w:tc>
        <w:tc>
          <w:tcPr>
            <w:tcW w:w="1380" w:type="dxa"/>
          </w:tcPr>
          <w:p w14:paraId="5B590349" w14:textId="77777777" w:rsidR="00180A55" w:rsidRPr="008B1465" w:rsidRDefault="00180A55" w:rsidP="00163663">
            <w:pPr>
              <w:spacing w:after="0" w:line="360" w:lineRule="auto"/>
              <w:jc w:val="both"/>
              <w:rPr>
                <w:rFonts w:ascii="Times New Roman" w:hAnsi="Times New Roman"/>
                <w:sz w:val="24"/>
                <w:szCs w:val="24"/>
              </w:rPr>
            </w:pPr>
            <w:r w:rsidRPr="008B1465">
              <w:rPr>
                <w:rFonts w:ascii="Times New Roman" w:hAnsi="Times New Roman"/>
                <w:sz w:val="24"/>
                <w:szCs w:val="24"/>
              </w:rPr>
              <w:t>-7.137</w:t>
            </w:r>
          </w:p>
        </w:tc>
        <w:tc>
          <w:tcPr>
            <w:tcW w:w="1317" w:type="dxa"/>
          </w:tcPr>
          <w:p w14:paraId="00DFE675" w14:textId="77777777" w:rsidR="00180A55" w:rsidRPr="008B1465" w:rsidRDefault="00180A55" w:rsidP="00163663">
            <w:pPr>
              <w:spacing w:after="0" w:line="360" w:lineRule="auto"/>
              <w:jc w:val="both"/>
              <w:rPr>
                <w:rFonts w:ascii="Times New Roman" w:hAnsi="Times New Roman"/>
                <w:sz w:val="24"/>
                <w:szCs w:val="24"/>
              </w:rPr>
            </w:pPr>
            <w:r w:rsidRPr="008B1465">
              <w:rPr>
                <w:rFonts w:ascii="Times New Roman" w:hAnsi="Times New Roman"/>
                <w:sz w:val="24"/>
                <w:szCs w:val="24"/>
              </w:rPr>
              <w:t>.000</w:t>
            </w:r>
          </w:p>
        </w:tc>
        <w:tc>
          <w:tcPr>
            <w:tcW w:w="1317" w:type="dxa"/>
          </w:tcPr>
          <w:p w14:paraId="2898CF4D" w14:textId="77777777" w:rsidR="00180A55" w:rsidRPr="008B1465" w:rsidRDefault="00180A55" w:rsidP="00163663">
            <w:pPr>
              <w:spacing w:after="0" w:line="360" w:lineRule="auto"/>
              <w:jc w:val="both"/>
              <w:rPr>
                <w:rFonts w:ascii="Times New Roman" w:hAnsi="Times New Roman"/>
                <w:sz w:val="24"/>
                <w:szCs w:val="24"/>
              </w:rPr>
            </w:pPr>
            <w:r w:rsidRPr="008B1465">
              <w:rPr>
                <w:rFonts w:ascii="Times New Roman" w:hAnsi="Times New Roman"/>
                <w:sz w:val="24"/>
                <w:szCs w:val="24"/>
              </w:rPr>
              <w:t>.586</w:t>
            </w:r>
          </w:p>
        </w:tc>
        <w:tc>
          <w:tcPr>
            <w:tcW w:w="1349" w:type="dxa"/>
          </w:tcPr>
          <w:p w14:paraId="09558AAE" w14:textId="77777777" w:rsidR="00180A55" w:rsidRPr="008B1465" w:rsidRDefault="00180A55" w:rsidP="00163663">
            <w:pPr>
              <w:spacing w:after="0" w:line="360" w:lineRule="auto"/>
              <w:jc w:val="both"/>
              <w:rPr>
                <w:rFonts w:ascii="Times New Roman" w:hAnsi="Times New Roman"/>
                <w:sz w:val="24"/>
                <w:szCs w:val="24"/>
              </w:rPr>
            </w:pPr>
            <w:r w:rsidRPr="008B1465">
              <w:rPr>
                <w:rFonts w:ascii="Times New Roman" w:hAnsi="Times New Roman"/>
                <w:sz w:val="24"/>
                <w:szCs w:val="24"/>
              </w:rPr>
              <w:t>1.707</w:t>
            </w:r>
          </w:p>
        </w:tc>
      </w:tr>
      <w:tr w:rsidR="00180A55" w:rsidRPr="008B1465" w14:paraId="2CC3C3E2" w14:textId="77777777" w:rsidTr="00B92375">
        <w:tc>
          <w:tcPr>
            <w:tcW w:w="1265" w:type="dxa"/>
          </w:tcPr>
          <w:p w14:paraId="28B9C00D" w14:textId="77777777" w:rsidR="00180A55" w:rsidRPr="008B1465" w:rsidRDefault="00180A55" w:rsidP="00163663">
            <w:pPr>
              <w:spacing w:after="0" w:line="360" w:lineRule="auto"/>
              <w:jc w:val="both"/>
              <w:rPr>
                <w:rFonts w:ascii="Times New Roman" w:hAnsi="Times New Roman"/>
                <w:b/>
                <w:bCs/>
                <w:sz w:val="24"/>
                <w:szCs w:val="24"/>
              </w:rPr>
            </w:pPr>
            <w:r w:rsidRPr="008B1465">
              <w:rPr>
                <w:rFonts w:ascii="Times New Roman" w:hAnsi="Times New Roman"/>
                <w:b/>
                <w:bCs/>
                <w:sz w:val="24"/>
                <w:szCs w:val="24"/>
              </w:rPr>
              <w:t>LS</w:t>
            </w:r>
          </w:p>
        </w:tc>
        <w:tc>
          <w:tcPr>
            <w:tcW w:w="1408" w:type="dxa"/>
          </w:tcPr>
          <w:p w14:paraId="197DCDAA" w14:textId="30F3C96B" w:rsidR="00180A55" w:rsidRPr="008B1465" w:rsidRDefault="00C93808" w:rsidP="00163663">
            <w:pPr>
              <w:spacing w:after="0" w:line="360" w:lineRule="auto"/>
              <w:jc w:val="both"/>
              <w:rPr>
                <w:rFonts w:ascii="Times New Roman" w:hAnsi="Times New Roman"/>
                <w:sz w:val="24"/>
                <w:szCs w:val="24"/>
              </w:rPr>
            </w:pPr>
            <w:r>
              <w:rPr>
                <w:rFonts w:ascii="Times New Roman" w:hAnsi="Times New Roman"/>
                <w:sz w:val="24"/>
                <w:szCs w:val="24"/>
              </w:rPr>
              <w:t>-.010</w:t>
            </w:r>
          </w:p>
        </w:tc>
        <w:tc>
          <w:tcPr>
            <w:tcW w:w="1329" w:type="dxa"/>
          </w:tcPr>
          <w:p w14:paraId="79096B07" w14:textId="00BACE02" w:rsidR="00180A55" w:rsidRPr="008B1465" w:rsidRDefault="00180A55" w:rsidP="00163663">
            <w:pPr>
              <w:spacing w:after="0" w:line="360" w:lineRule="auto"/>
              <w:jc w:val="both"/>
              <w:rPr>
                <w:rFonts w:ascii="Times New Roman" w:hAnsi="Times New Roman"/>
                <w:sz w:val="24"/>
                <w:szCs w:val="24"/>
              </w:rPr>
            </w:pPr>
            <w:r w:rsidRPr="008B1465">
              <w:rPr>
                <w:rFonts w:ascii="Times New Roman" w:hAnsi="Times New Roman"/>
                <w:sz w:val="24"/>
                <w:szCs w:val="24"/>
              </w:rPr>
              <w:t>-.037</w:t>
            </w:r>
          </w:p>
        </w:tc>
        <w:tc>
          <w:tcPr>
            <w:tcW w:w="1380" w:type="dxa"/>
          </w:tcPr>
          <w:p w14:paraId="795BEBDB" w14:textId="77777777" w:rsidR="00180A55" w:rsidRPr="008B1465" w:rsidRDefault="00180A55" w:rsidP="00163663">
            <w:pPr>
              <w:spacing w:after="0" w:line="360" w:lineRule="auto"/>
              <w:jc w:val="both"/>
              <w:rPr>
                <w:rFonts w:ascii="Times New Roman" w:hAnsi="Times New Roman"/>
                <w:sz w:val="24"/>
                <w:szCs w:val="24"/>
              </w:rPr>
            </w:pPr>
            <w:r w:rsidRPr="008B1465">
              <w:rPr>
                <w:rFonts w:ascii="Times New Roman" w:hAnsi="Times New Roman"/>
                <w:sz w:val="24"/>
                <w:szCs w:val="24"/>
              </w:rPr>
              <w:t>-.873</w:t>
            </w:r>
          </w:p>
        </w:tc>
        <w:tc>
          <w:tcPr>
            <w:tcW w:w="1317" w:type="dxa"/>
          </w:tcPr>
          <w:p w14:paraId="56741FFA" w14:textId="77777777" w:rsidR="00180A55" w:rsidRPr="008B1465" w:rsidRDefault="00180A55" w:rsidP="00163663">
            <w:pPr>
              <w:spacing w:after="0" w:line="360" w:lineRule="auto"/>
              <w:jc w:val="both"/>
              <w:rPr>
                <w:rFonts w:ascii="Times New Roman" w:hAnsi="Times New Roman"/>
                <w:sz w:val="24"/>
                <w:szCs w:val="24"/>
              </w:rPr>
            </w:pPr>
            <w:r w:rsidRPr="008B1465">
              <w:rPr>
                <w:rFonts w:ascii="Times New Roman" w:hAnsi="Times New Roman"/>
                <w:sz w:val="24"/>
                <w:szCs w:val="24"/>
              </w:rPr>
              <w:t>.383</w:t>
            </w:r>
          </w:p>
        </w:tc>
        <w:tc>
          <w:tcPr>
            <w:tcW w:w="1317" w:type="dxa"/>
          </w:tcPr>
          <w:p w14:paraId="3FFB978E" w14:textId="77777777" w:rsidR="00180A55" w:rsidRPr="008B1465" w:rsidRDefault="00180A55" w:rsidP="00163663">
            <w:pPr>
              <w:spacing w:after="0" w:line="360" w:lineRule="auto"/>
              <w:jc w:val="both"/>
              <w:rPr>
                <w:rFonts w:ascii="Times New Roman" w:hAnsi="Times New Roman"/>
                <w:sz w:val="24"/>
                <w:szCs w:val="24"/>
              </w:rPr>
            </w:pPr>
            <w:r w:rsidRPr="008B1465">
              <w:rPr>
                <w:rFonts w:ascii="Times New Roman" w:hAnsi="Times New Roman"/>
                <w:sz w:val="24"/>
                <w:szCs w:val="24"/>
              </w:rPr>
              <w:t>.989</w:t>
            </w:r>
          </w:p>
        </w:tc>
        <w:tc>
          <w:tcPr>
            <w:tcW w:w="1349" w:type="dxa"/>
          </w:tcPr>
          <w:p w14:paraId="31F20558" w14:textId="77777777" w:rsidR="00180A55" w:rsidRPr="008B1465" w:rsidRDefault="00180A55" w:rsidP="00163663">
            <w:pPr>
              <w:spacing w:after="0" w:line="360" w:lineRule="auto"/>
              <w:jc w:val="both"/>
              <w:rPr>
                <w:rFonts w:ascii="Times New Roman" w:hAnsi="Times New Roman"/>
                <w:sz w:val="24"/>
                <w:szCs w:val="24"/>
              </w:rPr>
            </w:pPr>
            <w:r w:rsidRPr="008B1465">
              <w:rPr>
                <w:rFonts w:ascii="Times New Roman" w:hAnsi="Times New Roman"/>
                <w:sz w:val="24"/>
                <w:szCs w:val="24"/>
              </w:rPr>
              <w:t>1.012</w:t>
            </w:r>
          </w:p>
        </w:tc>
      </w:tr>
      <w:tr w:rsidR="00180A55" w:rsidRPr="008B1465" w14:paraId="52EB2649" w14:textId="77777777" w:rsidTr="00B92375">
        <w:tc>
          <w:tcPr>
            <w:tcW w:w="1265" w:type="dxa"/>
          </w:tcPr>
          <w:p w14:paraId="6D3E7071" w14:textId="77777777" w:rsidR="00180A55" w:rsidRPr="008B1465" w:rsidRDefault="00180A55" w:rsidP="00163663">
            <w:pPr>
              <w:spacing w:after="0" w:line="360" w:lineRule="auto"/>
              <w:jc w:val="both"/>
              <w:rPr>
                <w:rFonts w:ascii="Times New Roman" w:hAnsi="Times New Roman"/>
                <w:b/>
                <w:bCs/>
                <w:sz w:val="24"/>
                <w:szCs w:val="24"/>
              </w:rPr>
            </w:pPr>
            <w:r w:rsidRPr="008B1465">
              <w:rPr>
                <w:rFonts w:ascii="Times New Roman" w:hAnsi="Times New Roman"/>
                <w:b/>
                <w:bCs/>
                <w:sz w:val="24"/>
                <w:szCs w:val="24"/>
              </w:rPr>
              <w:t>ADE</w:t>
            </w:r>
          </w:p>
        </w:tc>
        <w:tc>
          <w:tcPr>
            <w:tcW w:w="1408" w:type="dxa"/>
          </w:tcPr>
          <w:p w14:paraId="7DA936F9" w14:textId="0CF532F8" w:rsidR="00180A55" w:rsidRPr="008B1465" w:rsidRDefault="00C93808" w:rsidP="00163663">
            <w:pPr>
              <w:spacing w:after="0" w:line="360" w:lineRule="auto"/>
              <w:jc w:val="both"/>
              <w:rPr>
                <w:rFonts w:ascii="Times New Roman" w:hAnsi="Times New Roman"/>
                <w:sz w:val="24"/>
                <w:szCs w:val="24"/>
              </w:rPr>
            </w:pPr>
            <w:r>
              <w:rPr>
                <w:rFonts w:ascii="Times New Roman" w:hAnsi="Times New Roman"/>
                <w:sz w:val="24"/>
                <w:szCs w:val="24"/>
              </w:rPr>
              <w:t>.193</w:t>
            </w:r>
          </w:p>
        </w:tc>
        <w:tc>
          <w:tcPr>
            <w:tcW w:w="1329" w:type="dxa"/>
          </w:tcPr>
          <w:p w14:paraId="0F6C99DD" w14:textId="0A47C04E" w:rsidR="00180A55" w:rsidRPr="008B1465" w:rsidRDefault="00180A55" w:rsidP="00163663">
            <w:pPr>
              <w:spacing w:after="0" w:line="360" w:lineRule="auto"/>
              <w:jc w:val="both"/>
              <w:rPr>
                <w:rFonts w:ascii="Times New Roman" w:hAnsi="Times New Roman"/>
                <w:sz w:val="24"/>
                <w:szCs w:val="24"/>
              </w:rPr>
            </w:pPr>
            <w:r w:rsidRPr="008B1465">
              <w:rPr>
                <w:rFonts w:ascii="Times New Roman" w:hAnsi="Times New Roman"/>
                <w:sz w:val="24"/>
                <w:szCs w:val="24"/>
              </w:rPr>
              <w:t>.731</w:t>
            </w:r>
          </w:p>
        </w:tc>
        <w:tc>
          <w:tcPr>
            <w:tcW w:w="1380" w:type="dxa"/>
          </w:tcPr>
          <w:p w14:paraId="54575BAC" w14:textId="77777777" w:rsidR="00180A55" w:rsidRPr="008B1465" w:rsidRDefault="00180A55" w:rsidP="00163663">
            <w:pPr>
              <w:spacing w:after="0" w:line="360" w:lineRule="auto"/>
              <w:jc w:val="both"/>
              <w:rPr>
                <w:rFonts w:ascii="Times New Roman" w:hAnsi="Times New Roman"/>
                <w:sz w:val="24"/>
                <w:szCs w:val="24"/>
              </w:rPr>
            </w:pPr>
            <w:r w:rsidRPr="008B1465">
              <w:rPr>
                <w:rFonts w:ascii="Times New Roman" w:hAnsi="Times New Roman"/>
                <w:sz w:val="24"/>
                <w:szCs w:val="24"/>
              </w:rPr>
              <w:t>13.262</w:t>
            </w:r>
          </w:p>
        </w:tc>
        <w:tc>
          <w:tcPr>
            <w:tcW w:w="1317" w:type="dxa"/>
          </w:tcPr>
          <w:p w14:paraId="3664ABA7" w14:textId="77777777" w:rsidR="00180A55" w:rsidRPr="008B1465" w:rsidRDefault="00180A55" w:rsidP="00163663">
            <w:pPr>
              <w:spacing w:after="0" w:line="360" w:lineRule="auto"/>
              <w:jc w:val="both"/>
              <w:rPr>
                <w:rFonts w:ascii="Times New Roman" w:hAnsi="Times New Roman"/>
                <w:sz w:val="24"/>
                <w:szCs w:val="24"/>
              </w:rPr>
            </w:pPr>
            <w:r w:rsidRPr="008B1465">
              <w:rPr>
                <w:rFonts w:ascii="Times New Roman" w:hAnsi="Times New Roman"/>
                <w:sz w:val="24"/>
                <w:szCs w:val="24"/>
              </w:rPr>
              <w:t>.000</w:t>
            </w:r>
          </w:p>
        </w:tc>
        <w:tc>
          <w:tcPr>
            <w:tcW w:w="1317" w:type="dxa"/>
          </w:tcPr>
          <w:p w14:paraId="4F19FB29" w14:textId="77777777" w:rsidR="00180A55" w:rsidRPr="008B1465" w:rsidRDefault="00180A55" w:rsidP="00163663">
            <w:pPr>
              <w:spacing w:after="0" w:line="360" w:lineRule="auto"/>
              <w:jc w:val="both"/>
              <w:rPr>
                <w:rFonts w:ascii="Times New Roman" w:hAnsi="Times New Roman"/>
                <w:sz w:val="24"/>
                <w:szCs w:val="24"/>
              </w:rPr>
            </w:pPr>
            <w:r w:rsidRPr="008B1465">
              <w:rPr>
                <w:rFonts w:ascii="Times New Roman" w:hAnsi="Times New Roman"/>
                <w:sz w:val="24"/>
                <w:szCs w:val="24"/>
              </w:rPr>
              <w:t>.592</w:t>
            </w:r>
          </w:p>
        </w:tc>
        <w:tc>
          <w:tcPr>
            <w:tcW w:w="1349" w:type="dxa"/>
          </w:tcPr>
          <w:p w14:paraId="32C53767" w14:textId="77777777" w:rsidR="00180A55" w:rsidRPr="008B1465" w:rsidRDefault="00180A55" w:rsidP="00163663">
            <w:pPr>
              <w:spacing w:after="0" w:line="360" w:lineRule="auto"/>
              <w:jc w:val="both"/>
              <w:rPr>
                <w:rFonts w:ascii="Times New Roman" w:hAnsi="Times New Roman"/>
                <w:sz w:val="24"/>
                <w:szCs w:val="24"/>
              </w:rPr>
            </w:pPr>
            <w:r w:rsidRPr="008B1465">
              <w:rPr>
                <w:rFonts w:ascii="Times New Roman" w:hAnsi="Times New Roman"/>
                <w:sz w:val="24"/>
                <w:szCs w:val="24"/>
              </w:rPr>
              <w:t>1.689</w:t>
            </w:r>
          </w:p>
        </w:tc>
      </w:tr>
      <w:tr w:rsidR="00A3429E" w:rsidRPr="008B1465" w14:paraId="0B2A6A6F" w14:textId="77777777" w:rsidTr="00B92375">
        <w:tc>
          <w:tcPr>
            <w:tcW w:w="1265" w:type="dxa"/>
          </w:tcPr>
          <w:p w14:paraId="521A84BE" w14:textId="6150031F" w:rsidR="00A3429E" w:rsidRPr="008B1465" w:rsidRDefault="00A3429E" w:rsidP="00A3429E">
            <w:pPr>
              <w:spacing w:before="0" w:beforeAutospacing="0" w:after="0" w:line="240" w:lineRule="auto"/>
              <w:ind w:hanging="106"/>
              <w:rPr>
                <w:rFonts w:ascii="Times New Roman" w:hAnsi="Times New Roman"/>
                <w:b/>
                <w:bCs/>
                <w:sz w:val="18"/>
                <w:szCs w:val="18"/>
              </w:rPr>
            </w:pPr>
            <w:r w:rsidRPr="008B1465">
              <w:rPr>
                <w:rFonts w:ascii="Times New Roman" w:hAnsi="Times New Roman"/>
                <w:b/>
                <w:bCs/>
                <w:sz w:val="18"/>
                <w:szCs w:val="18"/>
              </w:rPr>
              <w:t>R</w:t>
            </w:r>
            <w:r w:rsidRPr="008B1465">
              <w:rPr>
                <w:rFonts w:ascii="Times New Roman" w:hAnsi="Times New Roman"/>
                <w:b/>
                <w:bCs/>
                <w:sz w:val="18"/>
                <w:szCs w:val="18"/>
                <w:vertAlign w:val="superscript"/>
              </w:rPr>
              <w:t xml:space="preserve"> </w:t>
            </w:r>
            <w:r w:rsidRPr="008B1465">
              <w:rPr>
                <w:rFonts w:ascii="Times New Roman" w:hAnsi="Times New Roman"/>
                <w:b/>
                <w:bCs/>
                <w:sz w:val="18"/>
                <w:szCs w:val="18"/>
              </w:rPr>
              <w:t>= .595</w:t>
            </w:r>
          </w:p>
        </w:tc>
        <w:tc>
          <w:tcPr>
            <w:tcW w:w="8100" w:type="dxa"/>
            <w:gridSpan w:val="6"/>
          </w:tcPr>
          <w:p w14:paraId="22289D62" w14:textId="386A5CFA" w:rsidR="00A3429E" w:rsidRPr="008B1465" w:rsidRDefault="00A3429E" w:rsidP="00A3429E">
            <w:pPr>
              <w:spacing w:before="0" w:beforeAutospacing="0" w:after="0" w:line="240" w:lineRule="auto"/>
              <w:ind w:hanging="106"/>
              <w:rPr>
                <w:rFonts w:ascii="Times New Roman" w:hAnsi="Times New Roman"/>
                <w:b/>
                <w:bCs/>
                <w:sz w:val="18"/>
                <w:szCs w:val="18"/>
              </w:rPr>
            </w:pPr>
          </w:p>
        </w:tc>
      </w:tr>
      <w:tr w:rsidR="00A3429E" w:rsidRPr="008B1465" w14:paraId="78CD12FB" w14:textId="77777777" w:rsidTr="00B92375">
        <w:tc>
          <w:tcPr>
            <w:tcW w:w="1265" w:type="dxa"/>
          </w:tcPr>
          <w:p w14:paraId="2193FE9B" w14:textId="55949E7E" w:rsidR="00A3429E" w:rsidRPr="008B1465" w:rsidRDefault="00A3429E" w:rsidP="00A3429E">
            <w:pPr>
              <w:spacing w:before="0" w:beforeAutospacing="0" w:after="0" w:line="240" w:lineRule="auto"/>
              <w:ind w:hanging="106"/>
              <w:rPr>
                <w:rFonts w:ascii="Times New Roman" w:hAnsi="Times New Roman"/>
                <w:b/>
                <w:bCs/>
                <w:sz w:val="18"/>
                <w:szCs w:val="18"/>
              </w:rPr>
            </w:pPr>
            <w:r w:rsidRPr="008B1465">
              <w:rPr>
                <w:rFonts w:ascii="Times New Roman" w:hAnsi="Times New Roman"/>
                <w:b/>
                <w:bCs/>
                <w:sz w:val="18"/>
                <w:szCs w:val="18"/>
              </w:rPr>
              <w:t>R</w:t>
            </w:r>
            <w:r w:rsidRPr="008B1465">
              <w:rPr>
                <w:rFonts w:ascii="Times New Roman" w:hAnsi="Times New Roman"/>
                <w:b/>
                <w:bCs/>
                <w:sz w:val="18"/>
                <w:szCs w:val="18"/>
                <w:vertAlign w:val="superscript"/>
              </w:rPr>
              <w:t xml:space="preserve">2 </w:t>
            </w:r>
            <w:r w:rsidRPr="008B1465">
              <w:rPr>
                <w:rFonts w:ascii="Times New Roman" w:hAnsi="Times New Roman"/>
                <w:b/>
                <w:bCs/>
                <w:sz w:val="18"/>
                <w:szCs w:val="18"/>
              </w:rPr>
              <w:t>= .354</w:t>
            </w:r>
          </w:p>
        </w:tc>
        <w:tc>
          <w:tcPr>
            <w:tcW w:w="8100" w:type="dxa"/>
            <w:gridSpan w:val="6"/>
          </w:tcPr>
          <w:p w14:paraId="7541CFC8" w14:textId="637DBADC" w:rsidR="00A3429E" w:rsidRPr="008B1465" w:rsidRDefault="00A3429E" w:rsidP="00A3429E">
            <w:pPr>
              <w:spacing w:before="0" w:beforeAutospacing="0" w:after="0" w:line="240" w:lineRule="auto"/>
              <w:ind w:hanging="106"/>
              <w:rPr>
                <w:rFonts w:ascii="Times New Roman" w:hAnsi="Times New Roman"/>
                <w:b/>
                <w:bCs/>
                <w:sz w:val="18"/>
                <w:szCs w:val="18"/>
              </w:rPr>
            </w:pPr>
          </w:p>
        </w:tc>
      </w:tr>
      <w:tr w:rsidR="00A3429E" w:rsidRPr="008B1465" w14:paraId="2A22F4DB" w14:textId="77777777" w:rsidTr="00A3429E">
        <w:tc>
          <w:tcPr>
            <w:tcW w:w="1265" w:type="dxa"/>
            <w:tcBorders>
              <w:bottom w:val="nil"/>
            </w:tcBorders>
          </w:tcPr>
          <w:p w14:paraId="7123B4E6" w14:textId="342BA164" w:rsidR="00A3429E" w:rsidRPr="008B1465" w:rsidRDefault="00A3429E" w:rsidP="00A3429E">
            <w:pPr>
              <w:spacing w:before="0" w:beforeAutospacing="0" w:after="0" w:line="240" w:lineRule="auto"/>
              <w:ind w:hanging="106"/>
              <w:rPr>
                <w:rFonts w:ascii="Times New Roman" w:hAnsi="Times New Roman"/>
                <w:b/>
                <w:bCs/>
                <w:sz w:val="18"/>
                <w:szCs w:val="18"/>
              </w:rPr>
            </w:pPr>
            <w:r w:rsidRPr="008B1465">
              <w:rPr>
                <w:rFonts w:ascii="Times New Roman" w:hAnsi="Times New Roman"/>
                <w:b/>
                <w:bCs/>
                <w:sz w:val="18"/>
                <w:szCs w:val="18"/>
              </w:rPr>
              <w:t>F(4,359)=49.145</w:t>
            </w:r>
          </w:p>
        </w:tc>
        <w:tc>
          <w:tcPr>
            <w:tcW w:w="8100" w:type="dxa"/>
            <w:gridSpan w:val="6"/>
            <w:tcBorders>
              <w:bottom w:val="nil"/>
            </w:tcBorders>
          </w:tcPr>
          <w:p w14:paraId="6E5E139A" w14:textId="6976742B" w:rsidR="00A3429E" w:rsidRPr="008B1465" w:rsidRDefault="00A3429E" w:rsidP="00A3429E">
            <w:pPr>
              <w:spacing w:before="0" w:beforeAutospacing="0" w:after="0" w:line="240" w:lineRule="auto"/>
              <w:ind w:hanging="106"/>
              <w:rPr>
                <w:rFonts w:ascii="Times New Roman" w:hAnsi="Times New Roman"/>
                <w:b/>
                <w:bCs/>
                <w:sz w:val="18"/>
                <w:szCs w:val="18"/>
              </w:rPr>
            </w:pPr>
          </w:p>
        </w:tc>
      </w:tr>
      <w:tr w:rsidR="00A3429E" w:rsidRPr="008B1465" w14:paraId="2EF8ECC4" w14:textId="77777777" w:rsidTr="00A3429E">
        <w:tc>
          <w:tcPr>
            <w:tcW w:w="1265" w:type="dxa"/>
            <w:tcBorders>
              <w:top w:val="nil"/>
              <w:bottom w:val="thinThickSmallGap" w:sz="24" w:space="0" w:color="auto"/>
            </w:tcBorders>
          </w:tcPr>
          <w:p w14:paraId="04858D39" w14:textId="7883ED0A" w:rsidR="00A3429E" w:rsidRPr="008B1465" w:rsidRDefault="00A3429E" w:rsidP="00A3429E">
            <w:pPr>
              <w:spacing w:before="0" w:beforeAutospacing="0" w:after="0" w:line="240" w:lineRule="auto"/>
              <w:ind w:hanging="106"/>
              <w:rPr>
                <w:rFonts w:ascii="Times New Roman" w:hAnsi="Times New Roman"/>
                <w:b/>
                <w:bCs/>
                <w:sz w:val="18"/>
                <w:szCs w:val="18"/>
              </w:rPr>
            </w:pPr>
            <w:r w:rsidRPr="008B1465">
              <w:rPr>
                <w:rFonts w:ascii="Times New Roman" w:hAnsi="Times New Roman"/>
                <w:b/>
                <w:bCs/>
                <w:sz w:val="18"/>
                <w:szCs w:val="18"/>
              </w:rPr>
              <w:t>Sig: 0.0145</w:t>
            </w:r>
          </w:p>
        </w:tc>
        <w:tc>
          <w:tcPr>
            <w:tcW w:w="8100" w:type="dxa"/>
            <w:gridSpan w:val="6"/>
            <w:tcBorders>
              <w:top w:val="nil"/>
              <w:bottom w:val="thinThickSmallGap" w:sz="24" w:space="0" w:color="auto"/>
            </w:tcBorders>
          </w:tcPr>
          <w:p w14:paraId="1A183D6B" w14:textId="00538532" w:rsidR="00A3429E" w:rsidRPr="008B1465" w:rsidRDefault="00A3429E" w:rsidP="00A3429E">
            <w:pPr>
              <w:spacing w:before="0" w:beforeAutospacing="0" w:after="0" w:line="240" w:lineRule="auto"/>
              <w:ind w:hanging="106"/>
              <w:rPr>
                <w:rFonts w:ascii="Times New Roman" w:hAnsi="Times New Roman"/>
                <w:b/>
                <w:bCs/>
                <w:sz w:val="18"/>
                <w:szCs w:val="18"/>
              </w:rPr>
            </w:pPr>
          </w:p>
        </w:tc>
      </w:tr>
    </w:tbl>
    <w:p w14:paraId="1E9FEC34" w14:textId="77777777" w:rsidR="00234521" w:rsidRPr="008B1465" w:rsidRDefault="00234521" w:rsidP="00676036">
      <w:pPr>
        <w:spacing w:before="0" w:beforeAutospacing="0" w:after="0" w:line="240" w:lineRule="auto"/>
        <w:rPr>
          <w:rFonts w:ascii="Times New Roman" w:hAnsi="Times New Roman"/>
          <w:b/>
          <w:bCs/>
          <w:sz w:val="18"/>
          <w:szCs w:val="18"/>
        </w:rPr>
      </w:pPr>
      <w:r w:rsidRPr="008B1465">
        <w:rPr>
          <w:rFonts w:ascii="Times New Roman" w:hAnsi="Times New Roman"/>
          <w:b/>
          <w:bCs/>
          <w:sz w:val="18"/>
          <w:szCs w:val="18"/>
        </w:rPr>
        <w:t>Durbin-Watson =1.954</w:t>
      </w:r>
    </w:p>
    <w:p w14:paraId="783547ED" w14:textId="5066D68D" w:rsidR="00234521" w:rsidRPr="008B1465" w:rsidRDefault="00234521" w:rsidP="00676036">
      <w:pPr>
        <w:pStyle w:val="NoSpacing"/>
        <w:rPr>
          <w:rFonts w:ascii="Times New Roman" w:hAnsi="Times New Roman"/>
          <w:b/>
          <w:bCs/>
          <w:sz w:val="18"/>
          <w:szCs w:val="18"/>
        </w:rPr>
      </w:pPr>
      <w:r w:rsidRPr="008B1465">
        <w:rPr>
          <w:rFonts w:ascii="Times New Roman" w:hAnsi="Times New Roman"/>
          <w:b/>
          <w:bCs/>
          <w:sz w:val="18"/>
          <w:szCs w:val="18"/>
        </w:rPr>
        <w:t>Source: Researchers’ Computation 2023, SPSS 25.0</w:t>
      </w:r>
    </w:p>
    <w:p w14:paraId="1FE72C90" w14:textId="14798904" w:rsidR="00D44000" w:rsidRDefault="00D44000" w:rsidP="00234521">
      <w:pPr>
        <w:spacing w:after="0" w:line="360" w:lineRule="auto"/>
        <w:jc w:val="both"/>
        <w:rPr>
          <w:rFonts w:ascii="Times New Roman" w:hAnsi="Times New Roman"/>
          <w:sz w:val="24"/>
          <w:szCs w:val="24"/>
        </w:rPr>
      </w:pPr>
      <w:r w:rsidRPr="008B1465">
        <w:rPr>
          <w:rFonts w:ascii="Times New Roman" w:hAnsi="Times New Roman"/>
          <w:sz w:val="24"/>
          <w:szCs w:val="24"/>
        </w:rPr>
        <w:t xml:space="preserve">To investigate the linear </w:t>
      </w:r>
      <w:r>
        <w:rPr>
          <w:rFonts w:ascii="Times New Roman" w:hAnsi="Times New Roman"/>
          <w:sz w:val="24"/>
          <w:szCs w:val="24"/>
        </w:rPr>
        <w:t>effect of</w:t>
      </w:r>
      <w:r w:rsidRPr="008B1465">
        <w:rPr>
          <w:rFonts w:ascii="Times New Roman" w:hAnsi="Times New Roman"/>
          <w:sz w:val="24"/>
          <w:szCs w:val="24"/>
        </w:rPr>
        <w:t xml:space="preserve"> forensic accounting techniques </w:t>
      </w:r>
      <w:r>
        <w:rPr>
          <w:rFonts w:ascii="Times New Roman" w:hAnsi="Times New Roman"/>
          <w:sz w:val="24"/>
          <w:szCs w:val="24"/>
        </w:rPr>
        <w:t>on</w:t>
      </w:r>
      <w:r w:rsidRPr="008B1465">
        <w:rPr>
          <w:rFonts w:ascii="Times New Roman" w:hAnsi="Times New Roman"/>
          <w:sz w:val="24"/>
          <w:szCs w:val="24"/>
        </w:rPr>
        <w:t xml:space="preserve"> procurement practices among federal universities in Southwest, Nigeria, multiple regression analysis was employed. The regression model was subjected to collinearity and serial auto correlation techniques.</w:t>
      </w:r>
    </w:p>
    <w:p w14:paraId="631B3CBF" w14:textId="160F8795" w:rsidR="001C65B0" w:rsidRDefault="00234521" w:rsidP="00234521">
      <w:pPr>
        <w:spacing w:after="0" w:line="360" w:lineRule="auto"/>
        <w:jc w:val="both"/>
        <w:rPr>
          <w:rFonts w:ascii="Times New Roman" w:hAnsi="Times New Roman"/>
          <w:sz w:val="24"/>
          <w:szCs w:val="24"/>
        </w:rPr>
      </w:pPr>
      <w:r w:rsidRPr="008B1465">
        <w:rPr>
          <w:rFonts w:ascii="Times New Roman" w:hAnsi="Times New Roman"/>
          <w:sz w:val="24"/>
          <w:szCs w:val="24"/>
        </w:rPr>
        <w:t>The result shows that (Table 4.1</w:t>
      </w:r>
      <w:r w:rsidR="002533C5">
        <w:rPr>
          <w:rFonts w:ascii="Times New Roman" w:hAnsi="Times New Roman"/>
          <w:sz w:val="24"/>
          <w:szCs w:val="24"/>
        </w:rPr>
        <w:t>5</w:t>
      </w:r>
      <w:r w:rsidRPr="008B1465">
        <w:rPr>
          <w:rFonts w:ascii="Times New Roman" w:hAnsi="Times New Roman"/>
          <w:sz w:val="24"/>
          <w:szCs w:val="24"/>
        </w:rPr>
        <w:t>) the equation</w:t>
      </w:r>
      <w:r w:rsidR="00406B8B" w:rsidRPr="008B1465">
        <w:rPr>
          <w:rFonts w:ascii="Times New Roman" w:hAnsi="Times New Roman"/>
          <w:sz w:val="24"/>
          <w:szCs w:val="24"/>
        </w:rPr>
        <w:t xml:space="preserve"> model</w:t>
      </w:r>
      <w:r w:rsidRPr="008B1465">
        <w:rPr>
          <w:rFonts w:ascii="Times New Roman" w:hAnsi="Times New Roman"/>
          <w:sz w:val="24"/>
          <w:szCs w:val="24"/>
        </w:rPr>
        <w:t xml:space="preserve"> does not</w:t>
      </w:r>
      <w:r w:rsidR="00406B8B" w:rsidRPr="008B1465">
        <w:rPr>
          <w:rFonts w:ascii="Times New Roman" w:hAnsi="Times New Roman"/>
          <w:sz w:val="24"/>
          <w:szCs w:val="24"/>
        </w:rPr>
        <w:t xml:space="preserve"> have problem of</w:t>
      </w:r>
      <w:r w:rsidRPr="008B1465">
        <w:rPr>
          <w:rFonts w:ascii="Times New Roman" w:hAnsi="Times New Roman"/>
          <w:sz w:val="24"/>
          <w:szCs w:val="24"/>
        </w:rPr>
        <w:t xml:space="preserve"> collinearity, and serial auto correlation. It can also be observed on the same Table 4.1</w:t>
      </w:r>
      <w:r w:rsidR="002533C5">
        <w:rPr>
          <w:rFonts w:ascii="Times New Roman" w:hAnsi="Times New Roman"/>
          <w:sz w:val="24"/>
          <w:szCs w:val="24"/>
        </w:rPr>
        <w:t>5</w:t>
      </w:r>
      <w:r w:rsidRPr="008B1465">
        <w:rPr>
          <w:rFonts w:ascii="Times New Roman" w:hAnsi="Times New Roman"/>
          <w:sz w:val="24"/>
          <w:szCs w:val="24"/>
        </w:rPr>
        <w:t xml:space="preserve"> that, R=</w:t>
      </w:r>
      <w:r w:rsidR="00654B0A" w:rsidRPr="008B1465">
        <w:rPr>
          <w:rFonts w:ascii="Times New Roman" w:hAnsi="Times New Roman"/>
          <w:sz w:val="24"/>
          <w:szCs w:val="24"/>
        </w:rPr>
        <w:t xml:space="preserve"> </w:t>
      </w:r>
      <w:r w:rsidRPr="008B1465">
        <w:rPr>
          <w:rFonts w:ascii="Times New Roman" w:hAnsi="Times New Roman"/>
          <w:sz w:val="24"/>
          <w:szCs w:val="24"/>
        </w:rPr>
        <w:t>.595, F (4,359) =49.145, p&lt;</w:t>
      </w:r>
      <w:r w:rsidR="0004271F" w:rsidRPr="008B1465">
        <w:rPr>
          <w:rFonts w:ascii="Times New Roman" w:hAnsi="Times New Roman"/>
          <w:sz w:val="24"/>
          <w:szCs w:val="24"/>
        </w:rPr>
        <w:t xml:space="preserve"> </w:t>
      </w:r>
      <w:r w:rsidRPr="008B1465">
        <w:rPr>
          <w:rFonts w:ascii="Times New Roman" w:hAnsi="Times New Roman"/>
          <w:sz w:val="24"/>
          <w:szCs w:val="24"/>
        </w:rPr>
        <w:t>.05. this shows a significance and positive relationship between the four forensic accounting techniques and procurement practices in the study area. Meanwhile, a close examination of the individual forensic accounting element shows that two of the elements, IF(β =</w:t>
      </w:r>
      <w:r w:rsidR="0004271F" w:rsidRPr="008B1465">
        <w:rPr>
          <w:rFonts w:ascii="Times New Roman" w:hAnsi="Times New Roman"/>
          <w:sz w:val="24"/>
          <w:szCs w:val="24"/>
        </w:rPr>
        <w:t xml:space="preserve"> </w:t>
      </w:r>
      <w:r w:rsidRPr="008B1465">
        <w:rPr>
          <w:rFonts w:ascii="Times New Roman" w:hAnsi="Times New Roman"/>
          <w:sz w:val="24"/>
          <w:szCs w:val="24"/>
        </w:rPr>
        <w:t>-.395, t=  -7</w:t>
      </w:r>
      <w:r w:rsidR="008B39B3" w:rsidRPr="008B1465">
        <w:rPr>
          <w:rFonts w:ascii="Times New Roman" w:hAnsi="Times New Roman"/>
          <w:sz w:val="24"/>
          <w:szCs w:val="24"/>
        </w:rPr>
        <w:t>.</w:t>
      </w:r>
      <w:r w:rsidRPr="008B1465">
        <w:rPr>
          <w:rFonts w:ascii="Times New Roman" w:hAnsi="Times New Roman"/>
          <w:sz w:val="24"/>
          <w:szCs w:val="24"/>
        </w:rPr>
        <w:t>137, p&lt;</w:t>
      </w:r>
      <w:r w:rsidR="0004271F" w:rsidRPr="008B1465">
        <w:rPr>
          <w:rFonts w:ascii="Times New Roman" w:hAnsi="Times New Roman"/>
          <w:sz w:val="24"/>
          <w:szCs w:val="24"/>
        </w:rPr>
        <w:t xml:space="preserve"> </w:t>
      </w:r>
      <w:r w:rsidRPr="008B1465">
        <w:rPr>
          <w:rFonts w:ascii="Times New Roman" w:hAnsi="Times New Roman"/>
          <w:sz w:val="24"/>
          <w:szCs w:val="24"/>
        </w:rPr>
        <w:t>.05), and LS (β= -.037, t= -.873, p&lt;</w:t>
      </w:r>
      <w:r w:rsidR="0004271F" w:rsidRPr="008B1465">
        <w:rPr>
          <w:rFonts w:ascii="Times New Roman" w:hAnsi="Times New Roman"/>
          <w:sz w:val="24"/>
          <w:szCs w:val="24"/>
        </w:rPr>
        <w:t xml:space="preserve"> </w:t>
      </w:r>
      <w:r w:rsidRPr="008B1465">
        <w:rPr>
          <w:rFonts w:ascii="Times New Roman" w:hAnsi="Times New Roman"/>
          <w:sz w:val="24"/>
          <w:szCs w:val="24"/>
        </w:rPr>
        <w:t>.05) shows inverse relation</w:t>
      </w:r>
      <w:r w:rsidR="004B6A16" w:rsidRPr="008B1465">
        <w:rPr>
          <w:rFonts w:ascii="Times New Roman" w:hAnsi="Times New Roman"/>
          <w:sz w:val="24"/>
          <w:szCs w:val="24"/>
        </w:rPr>
        <w:t>ship</w:t>
      </w:r>
      <w:r w:rsidRPr="008B1465">
        <w:rPr>
          <w:rFonts w:ascii="Times New Roman" w:hAnsi="Times New Roman"/>
          <w:sz w:val="24"/>
          <w:szCs w:val="24"/>
        </w:rPr>
        <w:t>, it is only Investigation of Fraud (IF) that is statistically significant between them. The other two factors, SCCP and ADE are positively and significantly related with procurement practices.</w:t>
      </w:r>
    </w:p>
    <w:p w14:paraId="6CD12DBA" w14:textId="10761A08" w:rsidR="006972C5" w:rsidRDefault="006972C5" w:rsidP="00234521">
      <w:pPr>
        <w:spacing w:after="0" w:line="360" w:lineRule="auto"/>
        <w:jc w:val="both"/>
        <w:rPr>
          <w:rFonts w:ascii="Times New Roman" w:hAnsi="Times New Roman"/>
          <w:sz w:val="24"/>
          <w:szCs w:val="24"/>
        </w:rPr>
      </w:pPr>
    </w:p>
    <w:p w14:paraId="1DD167F8" w14:textId="77777777" w:rsidR="006972C5" w:rsidRPr="008B1465" w:rsidRDefault="006972C5" w:rsidP="00234521">
      <w:pPr>
        <w:spacing w:after="0" w:line="360" w:lineRule="auto"/>
        <w:jc w:val="both"/>
        <w:rPr>
          <w:rFonts w:ascii="Times New Roman" w:hAnsi="Times New Roman"/>
          <w:sz w:val="24"/>
          <w:szCs w:val="24"/>
        </w:rPr>
      </w:pPr>
    </w:p>
    <w:p w14:paraId="5DA1A4F6" w14:textId="01FE25B9" w:rsidR="00234521" w:rsidRPr="008B1465" w:rsidRDefault="00234521" w:rsidP="00600E1D">
      <w:pPr>
        <w:pStyle w:val="Heading2"/>
      </w:pPr>
      <w:bookmarkStart w:id="134" w:name="_Toc145951131"/>
      <w:r w:rsidRPr="008B1465">
        <w:t>Test of Hypothes</w:t>
      </w:r>
      <w:r w:rsidR="00F725C8" w:rsidRPr="008B1465">
        <w:t>e</w:t>
      </w:r>
      <w:r w:rsidRPr="008B1465">
        <w:t>s</w:t>
      </w:r>
      <w:bookmarkEnd w:id="134"/>
    </w:p>
    <w:p w14:paraId="7020B036" w14:textId="6E45EFE1" w:rsidR="005C46A6" w:rsidRDefault="00234521" w:rsidP="00234521">
      <w:pPr>
        <w:spacing w:after="0" w:line="360" w:lineRule="auto"/>
        <w:jc w:val="both"/>
        <w:rPr>
          <w:rFonts w:ascii="Times New Roman" w:hAnsi="Times New Roman"/>
          <w:sz w:val="24"/>
          <w:szCs w:val="24"/>
        </w:rPr>
      </w:pPr>
      <w:r w:rsidRPr="008B1465">
        <w:rPr>
          <w:rFonts w:ascii="Times New Roman" w:hAnsi="Times New Roman"/>
          <w:sz w:val="24"/>
          <w:szCs w:val="24"/>
        </w:rPr>
        <w:t xml:space="preserve">Four hypotheses were formulated and tested to achieve the objective of this study. </w:t>
      </w:r>
    </w:p>
    <w:p w14:paraId="010CBF20" w14:textId="387117A9" w:rsidR="00DF24B9" w:rsidRDefault="005C46A6" w:rsidP="00234521">
      <w:pPr>
        <w:spacing w:after="0" w:line="360" w:lineRule="auto"/>
        <w:jc w:val="both"/>
        <w:rPr>
          <w:rFonts w:ascii="Times New Roman" w:hAnsi="Times New Roman"/>
          <w:b/>
          <w:bCs/>
          <w:sz w:val="24"/>
          <w:szCs w:val="24"/>
        </w:rPr>
      </w:pPr>
      <w:r w:rsidRPr="008D035B">
        <w:rPr>
          <w:rFonts w:ascii="Times New Roman" w:hAnsi="Times New Roman"/>
          <w:b/>
          <w:bCs/>
          <w:sz w:val="24"/>
          <w:szCs w:val="24"/>
        </w:rPr>
        <w:t>Test of Hypothesis</w:t>
      </w:r>
      <w:r>
        <w:rPr>
          <w:rFonts w:ascii="Times New Roman" w:hAnsi="Times New Roman"/>
          <w:b/>
          <w:bCs/>
          <w:sz w:val="24"/>
          <w:szCs w:val="24"/>
        </w:rPr>
        <w:t xml:space="preserve"> One</w:t>
      </w:r>
    </w:p>
    <w:p w14:paraId="6B9CF408" w14:textId="77777777" w:rsidR="00A52ED7" w:rsidRDefault="00863598" w:rsidP="00A52ED7">
      <w:pPr>
        <w:spacing w:before="0" w:beforeAutospacing="0" w:after="0" w:line="360" w:lineRule="auto"/>
        <w:jc w:val="both"/>
        <w:rPr>
          <w:rFonts w:ascii="Times New Roman" w:eastAsia="Calibri" w:hAnsi="Times New Roman"/>
          <w:sz w:val="24"/>
          <w:szCs w:val="24"/>
        </w:rPr>
      </w:pPr>
      <w:r w:rsidRPr="00DD3F15">
        <w:rPr>
          <w:rFonts w:ascii="Times New Roman" w:eastAsia="Calibri" w:hAnsi="Times New Roman"/>
          <w:b/>
          <w:bCs/>
          <w:sz w:val="24"/>
          <w:szCs w:val="24"/>
        </w:rPr>
        <w:t>Objective 1</w:t>
      </w:r>
      <w:r w:rsidR="00DD3F15" w:rsidRPr="00DD3F15">
        <w:rPr>
          <w:rFonts w:ascii="Times New Roman" w:eastAsia="Calibri" w:hAnsi="Times New Roman"/>
          <w:b/>
          <w:bCs/>
          <w:sz w:val="24"/>
          <w:szCs w:val="24"/>
        </w:rPr>
        <w:t xml:space="preserve">: </w:t>
      </w:r>
      <w:r w:rsidR="0091709A">
        <w:rPr>
          <w:rFonts w:ascii="Times New Roman" w:eastAsia="Calibri" w:hAnsi="Times New Roman"/>
          <w:sz w:val="24"/>
          <w:szCs w:val="24"/>
        </w:rPr>
        <w:t xml:space="preserve">To </w:t>
      </w:r>
      <w:r w:rsidR="00DD3F15" w:rsidRPr="00DD3F15">
        <w:rPr>
          <w:rFonts w:ascii="Times New Roman" w:eastAsia="Calibri" w:hAnsi="Times New Roman"/>
          <w:sz w:val="24"/>
          <w:szCs w:val="24"/>
        </w:rPr>
        <w:t>assess the influence of forensic accounting techniques on fund misappropriation among Federal Universities in Southwest, Nigeria</w:t>
      </w:r>
      <w:r w:rsidR="00DD3F15">
        <w:rPr>
          <w:rFonts w:ascii="Times New Roman" w:eastAsia="Calibri" w:hAnsi="Times New Roman"/>
          <w:sz w:val="24"/>
          <w:szCs w:val="24"/>
        </w:rPr>
        <w:t>.</w:t>
      </w:r>
    </w:p>
    <w:p w14:paraId="2EA0A7FB" w14:textId="6AC03ACE" w:rsidR="00863598" w:rsidRPr="00DD3F15" w:rsidRDefault="00863598" w:rsidP="00A52ED7">
      <w:pPr>
        <w:spacing w:before="0" w:beforeAutospacing="0" w:after="0" w:line="360" w:lineRule="auto"/>
        <w:jc w:val="both"/>
        <w:rPr>
          <w:rFonts w:ascii="Times New Roman" w:eastAsia="Calibri" w:hAnsi="Times New Roman"/>
          <w:sz w:val="24"/>
          <w:szCs w:val="24"/>
        </w:rPr>
      </w:pPr>
      <w:r w:rsidRPr="00B774F0">
        <w:rPr>
          <w:rFonts w:ascii="Times New Roman" w:eastAsia="Calibri" w:hAnsi="Times New Roman"/>
          <w:b/>
          <w:bCs/>
          <w:sz w:val="24"/>
          <w:szCs w:val="24"/>
        </w:rPr>
        <w:t>Research Question 1</w:t>
      </w:r>
      <w:r w:rsidR="00B774F0" w:rsidRPr="00B774F0">
        <w:rPr>
          <w:rFonts w:ascii="Times New Roman" w:eastAsia="Calibri" w:hAnsi="Times New Roman"/>
          <w:b/>
          <w:bCs/>
          <w:sz w:val="24"/>
          <w:szCs w:val="24"/>
        </w:rPr>
        <w:t xml:space="preserve">: </w:t>
      </w:r>
      <w:r w:rsidR="00B774F0" w:rsidRPr="00B774F0">
        <w:rPr>
          <w:rFonts w:ascii="Times New Roman" w:eastAsia="Calibri" w:hAnsi="Times New Roman"/>
          <w:sz w:val="24"/>
          <w:szCs w:val="24"/>
        </w:rPr>
        <w:t>What influence do forensic accounting techniques have on fund misappropriation among Federal Universities in Southwest, Nigeria?</w:t>
      </w:r>
    </w:p>
    <w:p w14:paraId="2BB25845" w14:textId="6E612B88" w:rsidR="003A779C" w:rsidRDefault="002F40B0" w:rsidP="00A52ED7">
      <w:pPr>
        <w:spacing w:before="0" w:beforeAutospacing="0" w:after="0" w:line="360" w:lineRule="auto"/>
        <w:jc w:val="both"/>
        <w:rPr>
          <w:rFonts w:ascii="Times New Roman" w:eastAsia="Calibri" w:hAnsi="Times New Roman"/>
          <w:sz w:val="24"/>
          <w:szCs w:val="24"/>
        </w:rPr>
      </w:pPr>
      <w:r w:rsidRPr="00061CCF">
        <w:rPr>
          <w:rFonts w:ascii="Times New Roman" w:eastAsia="Calibri" w:hAnsi="Times New Roman"/>
          <w:b/>
          <w:bCs/>
          <w:sz w:val="24"/>
          <w:szCs w:val="24"/>
        </w:rPr>
        <w:t>Research</w:t>
      </w:r>
      <w:r>
        <w:rPr>
          <w:rFonts w:ascii="Times New Roman" w:eastAsia="Calibri" w:hAnsi="Times New Roman"/>
          <w:b/>
          <w:bCs/>
          <w:sz w:val="24"/>
          <w:szCs w:val="24"/>
        </w:rPr>
        <w:t xml:space="preserve"> </w:t>
      </w:r>
      <w:r w:rsidRPr="008D035B">
        <w:rPr>
          <w:rFonts w:ascii="Times New Roman" w:hAnsi="Times New Roman"/>
          <w:b/>
          <w:bCs/>
          <w:sz w:val="24"/>
          <w:szCs w:val="24"/>
        </w:rPr>
        <w:t>Hypothesis</w:t>
      </w:r>
      <w:r>
        <w:rPr>
          <w:rFonts w:ascii="Times New Roman" w:hAnsi="Times New Roman"/>
          <w:b/>
          <w:bCs/>
          <w:sz w:val="24"/>
          <w:szCs w:val="24"/>
        </w:rPr>
        <w:t xml:space="preserve"> 1</w:t>
      </w:r>
      <w:r w:rsidR="00DD3F15">
        <w:rPr>
          <w:rFonts w:ascii="Times New Roman" w:hAnsi="Times New Roman"/>
          <w:b/>
          <w:bCs/>
          <w:sz w:val="24"/>
          <w:szCs w:val="24"/>
        </w:rPr>
        <w:t>:</w:t>
      </w:r>
      <w:r w:rsidR="0091709A">
        <w:rPr>
          <w:rFonts w:ascii="Times New Roman" w:hAnsi="Times New Roman"/>
          <w:b/>
          <w:bCs/>
          <w:sz w:val="24"/>
          <w:szCs w:val="24"/>
        </w:rPr>
        <w:t xml:space="preserve"> </w:t>
      </w:r>
      <w:r w:rsidR="0091709A" w:rsidRPr="008B1465">
        <w:rPr>
          <w:rFonts w:ascii="Times New Roman" w:eastAsia="Calibri" w:hAnsi="Times New Roman"/>
          <w:sz w:val="24"/>
          <w:szCs w:val="24"/>
        </w:rPr>
        <w:t>There is no significant influence of forensic accounting techniques on fund misappropriation among Federal Universities in Southwest, Nigeria</w:t>
      </w:r>
      <w:r w:rsidR="0091709A">
        <w:rPr>
          <w:rFonts w:ascii="Times New Roman" w:eastAsia="Calibri" w:hAnsi="Times New Roman"/>
          <w:sz w:val="24"/>
          <w:szCs w:val="24"/>
        </w:rPr>
        <w:t>.</w:t>
      </w:r>
    </w:p>
    <w:p w14:paraId="1CB7D4D9" w14:textId="3A85C7F5" w:rsidR="003A1489" w:rsidRPr="00205B52" w:rsidRDefault="003A1489" w:rsidP="003A1489">
      <w:pPr>
        <w:pStyle w:val="Caption"/>
        <w:keepNext/>
        <w:rPr>
          <w:rFonts w:ascii="Times New Roman" w:hAnsi="Times New Roman"/>
          <w:sz w:val="24"/>
          <w:szCs w:val="24"/>
        </w:rPr>
      </w:pPr>
      <w:r w:rsidRPr="00205B52">
        <w:rPr>
          <w:rFonts w:ascii="Times New Roman" w:hAnsi="Times New Roman"/>
          <w:i w:val="0"/>
          <w:iCs w:val="0"/>
          <w:color w:val="auto"/>
          <w:sz w:val="24"/>
          <w:szCs w:val="24"/>
        </w:rPr>
        <w:t>Effect of Forensic Accounting Techniques on Fund Misappropriation</w:t>
      </w:r>
    </w:p>
    <w:tbl>
      <w:tblPr>
        <w:tblW w:w="0" w:type="auto"/>
        <w:tblBorders>
          <w:top w:val="single" w:sz="4" w:space="0" w:color="auto"/>
          <w:bottom w:val="single" w:sz="4" w:space="0" w:color="auto"/>
        </w:tblBorders>
        <w:tblLook w:val="04A0" w:firstRow="1" w:lastRow="0" w:firstColumn="1" w:lastColumn="0" w:noHBand="0" w:noVBand="1"/>
      </w:tblPr>
      <w:tblGrid>
        <w:gridCol w:w="1404"/>
        <w:gridCol w:w="936"/>
        <w:gridCol w:w="1327"/>
        <w:gridCol w:w="240"/>
        <w:gridCol w:w="1976"/>
        <w:gridCol w:w="1143"/>
        <w:gridCol w:w="1143"/>
        <w:gridCol w:w="1191"/>
      </w:tblGrid>
      <w:tr w:rsidR="003A1489" w:rsidRPr="00C5134F" w14:paraId="5000A8B7" w14:textId="77777777" w:rsidTr="00FE7438">
        <w:tc>
          <w:tcPr>
            <w:tcW w:w="1404" w:type="dxa"/>
            <w:tcBorders>
              <w:top w:val="thinThickSmallGap" w:sz="24" w:space="0" w:color="auto"/>
              <w:bottom w:val="thinThickSmallGap" w:sz="24" w:space="0" w:color="auto"/>
            </w:tcBorders>
          </w:tcPr>
          <w:p w14:paraId="536D3C15" w14:textId="77777777" w:rsidR="003A1489" w:rsidRPr="00C5134F" w:rsidRDefault="003A1489" w:rsidP="00FE7438">
            <w:pPr>
              <w:jc w:val="center"/>
              <w:rPr>
                <w:rFonts w:ascii="Times New Roman" w:hAnsi="Times New Roman"/>
                <w:b/>
                <w:bCs/>
                <w:sz w:val="24"/>
                <w:szCs w:val="24"/>
              </w:rPr>
            </w:pPr>
            <w:r w:rsidRPr="00C5134F">
              <w:rPr>
                <w:rFonts w:ascii="Times New Roman" w:hAnsi="Times New Roman"/>
                <w:b/>
                <w:bCs/>
                <w:sz w:val="24"/>
                <w:szCs w:val="24"/>
              </w:rPr>
              <w:t>Variables</w:t>
            </w:r>
          </w:p>
        </w:tc>
        <w:tc>
          <w:tcPr>
            <w:tcW w:w="936" w:type="dxa"/>
            <w:tcBorders>
              <w:top w:val="thinThickSmallGap" w:sz="24" w:space="0" w:color="auto"/>
              <w:bottom w:val="thinThickSmallGap" w:sz="24" w:space="0" w:color="auto"/>
            </w:tcBorders>
          </w:tcPr>
          <w:p w14:paraId="20A6D4C3" w14:textId="77777777" w:rsidR="003A1489" w:rsidRPr="00C5134F" w:rsidRDefault="003A1489" w:rsidP="00FE7438">
            <w:pPr>
              <w:jc w:val="center"/>
              <w:rPr>
                <w:rFonts w:ascii="Times New Roman" w:hAnsi="Times New Roman"/>
                <w:b/>
                <w:bCs/>
                <w:sz w:val="24"/>
                <w:szCs w:val="24"/>
              </w:rPr>
            </w:pPr>
            <w:r>
              <w:rPr>
                <w:rFonts w:ascii="Times New Roman" w:hAnsi="Times New Roman"/>
                <w:b/>
                <w:bCs/>
                <w:sz w:val="24"/>
                <w:szCs w:val="24"/>
              </w:rPr>
              <w:t>B</w:t>
            </w:r>
          </w:p>
        </w:tc>
        <w:tc>
          <w:tcPr>
            <w:tcW w:w="1327" w:type="dxa"/>
            <w:tcBorders>
              <w:top w:val="thinThickSmallGap" w:sz="24" w:space="0" w:color="auto"/>
              <w:bottom w:val="thinThickSmallGap" w:sz="24" w:space="0" w:color="auto"/>
            </w:tcBorders>
          </w:tcPr>
          <w:p w14:paraId="3B3CFC3B" w14:textId="77777777" w:rsidR="003A1489" w:rsidRPr="00C5134F" w:rsidRDefault="003A1489" w:rsidP="00FE7438">
            <w:pPr>
              <w:jc w:val="center"/>
              <w:rPr>
                <w:rFonts w:ascii="Times New Roman" w:hAnsi="Times New Roman"/>
                <w:b/>
                <w:bCs/>
                <w:sz w:val="24"/>
                <w:szCs w:val="24"/>
              </w:rPr>
            </w:pPr>
            <w:r w:rsidRPr="00C5134F">
              <w:rPr>
                <w:rFonts w:ascii="Times New Roman" w:hAnsi="Times New Roman"/>
                <w:b/>
                <w:bCs/>
                <w:sz w:val="24"/>
                <w:szCs w:val="24"/>
              </w:rPr>
              <w:t>Beta</w:t>
            </w:r>
          </w:p>
        </w:tc>
        <w:tc>
          <w:tcPr>
            <w:tcW w:w="240" w:type="dxa"/>
            <w:tcBorders>
              <w:top w:val="thinThickSmallGap" w:sz="24" w:space="0" w:color="auto"/>
              <w:bottom w:val="thinThickSmallGap" w:sz="24" w:space="0" w:color="auto"/>
            </w:tcBorders>
          </w:tcPr>
          <w:p w14:paraId="2DA53089" w14:textId="77777777" w:rsidR="003A1489" w:rsidRPr="00C5134F" w:rsidRDefault="003A1489" w:rsidP="00FE7438">
            <w:pPr>
              <w:jc w:val="center"/>
              <w:rPr>
                <w:rFonts w:ascii="Times New Roman" w:hAnsi="Times New Roman"/>
                <w:b/>
                <w:bCs/>
                <w:sz w:val="24"/>
                <w:szCs w:val="24"/>
              </w:rPr>
            </w:pPr>
          </w:p>
        </w:tc>
        <w:tc>
          <w:tcPr>
            <w:tcW w:w="1976" w:type="dxa"/>
            <w:tcBorders>
              <w:top w:val="thinThickSmallGap" w:sz="24" w:space="0" w:color="auto"/>
              <w:bottom w:val="thinThickSmallGap" w:sz="24" w:space="0" w:color="auto"/>
            </w:tcBorders>
          </w:tcPr>
          <w:p w14:paraId="3543CE17" w14:textId="77777777" w:rsidR="003A1489" w:rsidRPr="00C5134F" w:rsidRDefault="003A1489" w:rsidP="00FE7438">
            <w:pPr>
              <w:jc w:val="center"/>
              <w:rPr>
                <w:rFonts w:ascii="Times New Roman" w:hAnsi="Times New Roman"/>
                <w:b/>
                <w:bCs/>
                <w:sz w:val="24"/>
                <w:szCs w:val="24"/>
              </w:rPr>
            </w:pPr>
            <w:r w:rsidRPr="00C5134F">
              <w:rPr>
                <w:rFonts w:ascii="Times New Roman" w:hAnsi="Times New Roman"/>
                <w:b/>
                <w:bCs/>
                <w:sz w:val="24"/>
                <w:szCs w:val="24"/>
              </w:rPr>
              <w:t>t</w:t>
            </w:r>
          </w:p>
        </w:tc>
        <w:tc>
          <w:tcPr>
            <w:tcW w:w="1143" w:type="dxa"/>
            <w:tcBorders>
              <w:top w:val="thinThickSmallGap" w:sz="24" w:space="0" w:color="auto"/>
              <w:bottom w:val="thinThickSmallGap" w:sz="24" w:space="0" w:color="auto"/>
            </w:tcBorders>
          </w:tcPr>
          <w:p w14:paraId="0546056D" w14:textId="77777777" w:rsidR="003A1489" w:rsidRPr="00C5134F" w:rsidRDefault="003A1489" w:rsidP="00FE7438">
            <w:pPr>
              <w:jc w:val="center"/>
              <w:rPr>
                <w:rFonts w:ascii="Times New Roman" w:hAnsi="Times New Roman"/>
                <w:b/>
                <w:bCs/>
                <w:sz w:val="24"/>
                <w:szCs w:val="24"/>
              </w:rPr>
            </w:pPr>
            <w:r w:rsidRPr="00C5134F">
              <w:rPr>
                <w:rFonts w:ascii="Times New Roman" w:hAnsi="Times New Roman"/>
                <w:b/>
                <w:bCs/>
                <w:sz w:val="24"/>
                <w:szCs w:val="24"/>
              </w:rPr>
              <w:t>Sig</w:t>
            </w:r>
          </w:p>
        </w:tc>
        <w:tc>
          <w:tcPr>
            <w:tcW w:w="1143" w:type="dxa"/>
            <w:tcBorders>
              <w:top w:val="thinThickSmallGap" w:sz="24" w:space="0" w:color="auto"/>
              <w:bottom w:val="thinThickSmallGap" w:sz="24" w:space="0" w:color="auto"/>
            </w:tcBorders>
          </w:tcPr>
          <w:p w14:paraId="6A4ADB7F" w14:textId="77777777" w:rsidR="003A1489" w:rsidRPr="00C5134F" w:rsidRDefault="003A1489" w:rsidP="00FE7438">
            <w:pPr>
              <w:jc w:val="center"/>
              <w:rPr>
                <w:rFonts w:ascii="Times New Roman" w:hAnsi="Times New Roman"/>
                <w:b/>
                <w:bCs/>
                <w:sz w:val="24"/>
                <w:szCs w:val="24"/>
              </w:rPr>
            </w:pPr>
            <w:r w:rsidRPr="00C5134F">
              <w:rPr>
                <w:rFonts w:ascii="Times New Roman" w:hAnsi="Times New Roman"/>
                <w:b/>
                <w:bCs/>
                <w:sz w:val="24"/>
                <w:szCs w:val="24"/>
              </w:rPr>
              <w:t>T</w:t>
            </w:r>
          </w:p>
        </w:tc>
        <w:tc>
          <w:tcPr>
            <w:tcW w:w="1191" w:type="dxa"/>
            <w:tcBorders>
              <w:top w:val="thinThickSmallGap" w:sz="24" w:space="0" w:color="auto"/>
              <w:bottom w:val="thinThickSmallGap" w:sz="24" w:space="0" w:color="auto"/>
            </w:tcBorders>
          </w:tcPr>
          <w:p w14:paraId="54D37A1E" w14:textId="77777777" w:rsidR="003A1489" w:rsidRPr="00C5134F" w:rsidRDefault="003A1489" w:rsidP="00FE7438">
            <w:pPr>
              <w:jc w:val="center"/>
              <w:rPr>
                <w:rFonts w:ascii="Times New Roman" w:hAnsi="Times New Roman"/>
                <w:b/>
                <w:bCs/>
                <w:sz w:val="24"/>
                <w:szCs w:val="24"/>
              </w:rPr>
            </w:pPr>
            <w:r w:rsidRPr="00C5134F">
              <w:rPr>
                <w:rFonts w:ascii="Times New Roman" w:hAnsi="Times New Roman"/>
                <w:b/>
                <w:bCs/>
                <w:sz w:val="24"/>
                <w:szCs w:val="24"/>
              </w:rPr>
              <w:t>VIF</w:t>
            </w:r>
          </w:p>
        </w:tc>
      </w:tr>
      <w:tr w:rsidR="003A1489" w:rsidRPr="008B1465" w14:paraId="57CEAA54" w14:textId="77777777" w:rsidTr="00FE7438">
        <w:tc>
          <w:tcPr>
            <w:tcW w:w="1404" w:type="dxa"/>
            <w:tcBorders>
              <w:top w:val="thinThickSmallGap" w:sz="24" w:space="0" w:color="auto"/>
            </w:tcBorders>
          </w:tcPr>
          <w:p w14:paraId="445549D3" w14:textId="77777777" w:rsidR="003A1489" w:rsidRPr="008B1465" w:rsidRDefault="003A1489" w:rsidP="00FE7438">
            <w:pPr>
              <w:jc w:val="center"/>
              <w:rPr>
                <w:rFonts w:ascii="Times New Roman" w:hAnsi="Times New Roman"/>
                <w:b/>
                <w:bCs/>
              </w:rPr>
            </w:pPr>
            <w:r w:rsidRPr="008B1465">
              <w:rPr>
                <w:rFonts w:ascii="Times New Roman" w:hAnsi="Times New Roman"/>
                <w:b/>
                <w:bCs/>
              </w:rPr>
              <w:t>Constant</w:t>
            </w:r>
          </w:p>
        </w:tc>
        <w:tc>
          <w:tcPr>
            <w:tcW w:w="936" w:type="dxa"/>
            <w:tcBorders>
              <w:top w:val="thinThickSmallGap" w:sz="24" w:space="0" w:color="auto"/>
            </w:tcBorders>
          </w:tcPr>
          <w:p w14:paraId="16FDF939" w14:textId="77777777" w:rsidR="003A1489" w:rsidRPr="008B1465" w:rsidRDefault="003A1489" w:rsidP="00FE7438">
            <w:pPr>
              <w:jc w:val="center"/>
              <w:rPr>
                <w:rFonts w:ascii="Times New Roman" w:hAnsi="Times New Roman"/>
              </w:rPr>
            </w:pPr>
            <w:r>
              <w:rPr>
                <w:rFonts w:ascii="Times New Roman" w:hAnsi="Times New Roman"/>
              </w:rPr>
              <w:t>10.032</w:t>
            </w:r>
          </w:p>
        </w:tc>
        <w:tc>
          <w:tcPr>
            <w:tcW w:w="1327" w:type="dxa"/>
            <w:tcBorders>
              <w:top w:val="thinThickSmallGap" w:sz="24" w:space="0" w:color="auto"/>
            </w:tcBorders>
          </w:tcPr>
          <w:p w14:paraId="284EC3D2" w14:textId="77777777" w:rsidR="003A1489" w:rsidRPr="008B1465" w:rsidRDefault="003A1489" w:rsidP="00FE7438">
            <w:pPr>
              <w:jc w:val="center"/>
              <w:rPr>
                <w:rFonts w:ascii="Times New Roman" w:hAnsi="Times New Roman"/>
              </w:rPr>
            </w:pPr>
          </w:p>
        </w:tc>
        <w:tc>
          <w:tcPr>
            <w:tcW w:w="240" w:type="dxa"/>
            <w:tcBorders>
              <w:top w:val="thinThickSmallGap" w:sz="24" w:space="0" w:color="auto"/>
            </w:tcBorders>
          </w:tcPr>
          <w:p w14:paraId="70BB0708" w14:textId="77777777" w:rsidR="003A1489" w:rsidRPr="008B1465" w:rsidRDefault="003A1489" w:rsidP="00FE7438">
            <w:pPr>
              <w:jc w:val="center"/>
              <w:rPr>
                <w:rFonts w:ascii="Times New Roman" w:hAnsi="Times New Roman"/>
              </w:rPr>
            </w:pPr>
          </w:p>
        </w:tc>
        <w:tc>
          <w:tcPr>
            <w:tcW w:w="1976" w:type="dxa"/>
            <w:tcBorders>
              <w:top w:val="thinThickSmallGap" w:sz="24" w:space="0" w:color="auto"/>
            </w:tcBorders>
          </w:tcPr>
          <w:p w14:paraId="5209C381" w14:textId="77777777" w:rsidR="003A1489" w:rsidRPr="008B1465" w:rsidRDefault="003A1489" w:rsidP="00FE7438">
            <w:pPr>
              <w:jc w:val="center"/>
              <w:rPr>
                <w:rFonts w:ascii="Times New Roman" w:hAnsi="Times New Roman"/>
              </w:rPr>
            </w:pPr>
            <w:r w:rsidRPr="008B1465">
              <w:rPr>
                <w:rFonts w:ascii="Times New Roman" w:hAnsi="Times New Roman"/>
              </w:rPr>
              <w:t>4.147</w:t>
            </w:r>
          </w:p>
        </w:tc>
        <w:tc>
          <w:tcPr>
            <w:tcW w:w="1143" w:type="dxa"/>
            <w:tcBorders>
              <w:top w:val="thinThickSmallGap" w:sz="24" w:space="0" w:color="auto"/>
            </w:tcBorders>
          </w:tcPr>
          <w:p w14:paraId="5B9E009B" w14:textId="77777777" w:rsidR="003A1489" w:rsidRPr="008B1465" w:rsidRDefault="003A1489" w:rsidP="00FE7438">
            <w:pPr>
              <w:jc w:val="center"/>
              <w:rPr>
                <w:rFonts w:ascii="Times New Roman" w:hAnsi="Times New Roman"/>
              </w:rPr>
            </w:pPr>
            <w:r w:rsidRPr="008B1465">
              <w:rPr>
                <w:rFonts w:ascii="Times New Roman" w:hAnsi="Times New Roman"/>
              </w:rPr>
              <w:t>.000</w:t>
            </w:r>
          </w:p>
        </w:tc>
        <w:tc>
          <w:tcPr>
            <w:tcW w:w="1143" w:type="dxa"/>
            <w:tcBorders>
              <w:top w:val="thinThickSmallGap" w:sz="24" w:space="0" w:color="auto"/>
            </w:tcBorders>
          </w:tcPr>
          <w:p w14:paraId="578A24DB" w14:textId="77777777" w:rsidR="003A1489" w:rsidRPr="008B1465" w:rsidRDefault="003A1489" w:rsidP="00FE7438">
            <w:pPr>
              <w:jc w:val="center"/>
              <w:rPr>
                <w:rFonts w:ascii="Times New Roman" w:hAnsi="Times New Roman"/>
              </w:rPr>
            </w:pPr>
          </w:p>
        </w:tc>
        <w:tc>
          <w:tcPr>
            <w:tcW w:w="1191" w:type="dxa"/>
            <w:tcBorders>
              <w:top w:val="thinThickSmallGap" w:sz="24" w:space="0" w:color="auto"/>
            </w:tcBorders>
          </w:tcPr>
          <w:p w14:paraId="69B4CAA2" w14:textId="77777777" w:rsidR="003A1489" w:rsidRPr="008B1465" w:rsidRDefault="003A1489" w:rsidP="00FE7438">
            <w:pPr>
              <w:jc w:val="center"/>
              <w:rPr>
                <w:rFonts w:ascii="Times New Roman" w:hAnsi="Times New Roman"/>
              </w:rPr>
            </w:pPr>
          </w:p>
        </w:tc>
      </w:tr>
      <w:tr w:rsidR="003A1489" w:rsidRPr="008B1465" w14:paraId="5019C498" w14:textId="77777777" w:rsidTr="00FE7438">
        <w:tc>
          <w:tcPr>
            <w:tcW w:w="1404" w:type="dxa"/>
          </w:tcPr>
          <w:p w14:paraId="2E692D90" w14:textId="77777777" w:rsidR="003A1489" w:rsidRPr="008B1465" w:rsidRDefault="003A1489" w:rsidP="00FE7438">
            <w:pPr>
              <w:jc w:val="center"/>
              <w:rPr>
                <w:rFonts w:ascii="Times New Roman" w:hAnsi="Times New Roman"/>
                <w:b/>
                <w:bCs/>
              </w:rPr>
            </w:pPr>
            <w:r w:rsidRPr="008B1465">
              <w:rPr>
                <w:rFonts w:ascii="Times New Roman" w:hAnsi="Times New Roman"/>
                <w:b/>
                <w:bCs/>
              </w:rPr>
              <w:t>SCCP</w:t>
            </w:r>
          </w:p>
        </w:tc>
        <w:tc>
          <w:tcPr>
            <w:tcW w:w="936" w:type="dxa"/>
          </w:tcPr>
          <w:p w14:paraId="1405A703" w14:textId="77777777" w:rsidR="003A1489" w:rsidRPr="008B1465" w:rsidRDefault="003A1489" w:rsidP="00FE7438">
            <w:pPr>
              <w:jc w:val="center"/>
              <w:rPr>
                <w:rFonts w:ascii="Times New Roman" w:hAnsi="Times New Roman"/>
              </w:rPr>
            </w:pPr>
            <w:r>
              <w:rPr>
                <w:rFonts w:ascii="Times New Roman" w:hAnsi="Times New Roman"/>
              </w:rPr>
              <w:t>-.215</w:t>
            </w:r>
          </w:p>
        </w:tc>
        <w:tc>
          <w:tcPr>
            <w:tcW w:w="1327" w:type="dxa"/>
          </w:tcPr>
          <w:p w14:paraId="37E4CC52" w14:textId="77777777" w:rsidR="003A1489" w:rsidRPr="008B1465" w:rsidRDefault="003A1489" w:rsidP="00FE7438">
            <w:pPr>
              <w:jc w:val="center"/>
              <w:rPr>
                <w:rFonts w:ascii="Times New Roman" w:hAnsi="Times New Roman"/>
              </w:rPr>
            </w:pPr>
            <w:r w:rsidRPr="008B1465">
              <w:rPr>
                <w:rFonts w:ascii="Times New Roman" w:hAnsi="Times New Roman"/>
              </w:rPr>
              <w:t>-.075</w:t>
            </w:r>
          </w:p>
        </w:tc>
        <w:tc>
          <w:tcPr>
            <w:tcW w:w="240" w:type="dxa"/>
          </w:tcPr>
          <w:p w14:paraId="5F7F4266" w14:textId="77777777" w:rsidR="003A1489" w:rsidRPr="008B1465" w:rsidRDefault="003A1489" w:rsidP="00FE7438">
            <w:pPr>
              <w:jc w:val="center"/>
              <w:rPr>
                <w:rFonts w:ascii="Times New Roman" w:hAnsi="Times New Roman"/>
              </w:rPr>
            </w:pPr>
          </w:p>
        </w:tc>
        <w:tc>
          <w:tcPr>
            <w:tcW w:w="1976" w:type="dxa"/>
          </w:tcPr>
          <w:p w14:paraId="30233060" w14:textId="77777777" w:rsidR="003A1489" w:rsidRPr="008B1465" w:rsidRDefault="003A1489" w:rsidP="00FE7438">
            <w:pPr>
              <w:jc w:val="center"/>
              <w:rPr>
                <w:rFonts w:ascii="Times New Roman" w:hAnsi="Times New Roman"/>
              </w:rPr>
            </w:pPr>
            <w:r w:rsidRPr="008B1465">
              <w:rPr>
                <w:rFonts w:ascii="Times New Roman" w:hAnsi="Times New Roman"/>
              </w:rPr>
              <w:t>-3.097</w:t>
            </w:r>
          </w:p>
        </w:tc>
        <w:tc>
          <w:tcPr>
            <w:tcW w:w="1143" w:type="dxa"/>
          </w:tcPr>
          <w:p w14:paraId="5103AD3D" w14:textId="77777777" w:rsidR="003A1489" w:rsidRPr="008B1465" w:rsidRDefault="003A1489" w:rsidP="00FE7438">
            <w:pPr>
              <w:jc w:val="center"/>
              <w:rPr>
                <w:rFonts w:ascii="Times New Roman" w:hAnsi="Times New Roman"/>
              </w:rPr>
            </w:pPr>
            <w:r w:rsidRPr="008B1465">
              <w:rPr>
                <w:rFonts w:ascii="Times New Roman" w:hAnsi="Times New Roman"/>
              </w:rPr>
              <w:t>.002</w:t>
            </w:r>
          </w:p>
        </w:tc>
        <w:tc>
          <w:tcPr>
            <w:tcW w:w="1143" w:type="dxa"/>
          </w:tcPr>
          <w:p w14:paraId="1519D940" w14:textId="77777777" w:rsidR="003A1489" w:rsidRPr="008B1465" w:rsidRDefault="003A1489" w:rsidP="00FE7438">
            <w:pPr>
              <w:jc w:val="center"/>
              <w:rPr>
                <w:rFonts w:ascii="Times New Roman" w:hAnsi="Times New Roman"/>
              </w:rPr>
            </w:pPr>
            <w:r w:rsidRPr="008B1465">
              <w:rPr>
                <w:rFonts w:ascii="Times New Roman" w:hAnsi="Times New Roman"/>
              </w:rPr>
              <w:t>.983</w:t>
            </w:r>
          </w:p>
        </w:tc>
        <w:tc>
          <w:tcPr>
            <w:tcW w:w="1191" w:type="dxa"/>
          </w:tcPr>
          <w:p w14:paraId="1BB028CB" w14:textId="77777777" w:rsidR="003A1489" w:rsidRPr="008B1465" w:rsidRDefault="003A1489" w:rsidP="00FE7438">
            <w:pPr>
              <w:jc w:val="center"/>
              <w:rPr>
                <w:rFonts w:ascii="Times New Roman" w:hAnsi="Times New Roman"/>
              </w:rPr>
            </w:pPr>
            <w:r w:rsidRPr="008B1465">
              <w:rPr>
                <w:rFonts w:ascii="Times New Roman" w:hAnsi="Times New Roman"/>
              </w:rPr>
              <w:t>1.017</w:t>
            </w:r>
          </w:p>
        </w:tc>
      </w:tr>
      <w:tr w:rsidR="003A1489" w:rsidRPr="008B1465" w14:paraId="4053C53D" w14:textId="77777777" w:rsidTr="00FE7438">
        <w:tc>
          <w:tcPr>
            <w:tcW w:w="1404" w:type="dxa"/>
          </w:tcPr>
          <w:p w14:paraId="0797D4B0" w14:textId="77777777" w:rsidR="003A1489" w:rsidRPr="008B1465" w:rsidRDefault="003A1489" w:rsidP="00FE7438">
            <w:pPr>
              <w:jc w:val="center"/>
              <w:rPr>
                <w:rFonts w:ascii="Times New Roman" w:hAnsi="Times New Roman"/>
                <w:b/>
                <w:bCs/>
              </w:rPr>
            </w:pPr>
            <w:r w:rsidRPr="008B1465">
              <w:rPr>
                <w:rFonts w:ascii="Times New Roman" w:hAnsi="Times New Roman"/>
                <w:b/>
                <w:bCs/>
              </w:rPr>
              <w:t>IF</w:t>
            </w:r>
          </w:p>
        </w:tc>
        <w:tc>
          <w:tcPr>
            <w:tcW w:w="936" w:type="dxa"/>
          </w:tcPr>
          <w:p w14:paraId="66C712C4" w14:textId="77777777" w:rsidR="003A1489" w:rsidRPr="008B1465" w:rsidRDefault="003A1489" w:rsidP="00FE7438">
            <w:pPr>
              <w:jc w:val="center"/>
              <w:rPr>
                <w:rFonts w:ascii="Times New Roman" w:hAnsi="Times New Roman"/>
              </w:rPr>
            </w:pPr>
            <w:r>
              <w:rPr>
                <w:rFonts w:ascii="Times New Roman" w:hAnsi="Times New Roman"/>
              </w:rPr>
              <w:t>-.612</w:t>
            </w:r>
          </w:p>
        </w:tc>
        <w:tc>
          <w:tcPr>
            <w:tcW w:w="1327" w:type="dxa"/>
          </w:tcPr>
          <w:p w14:paraId="7E27D732" w14:textId="77777777" w:rsidR="003A1489" w:rsidRPr="008B1465" w:rsidRDefault="003A1489" w:rsidP="00FE7438">
            <w:pPr>
              <w:jc w:val="center"/>
              <w:rPr>
                <w:rFonts w:ascii="Times New Roman" w:hAnsi="Times New Roman"/>
              </w:rPr>
            </w:pPr>
            <w:r w:rsidRPr="008B1465">
              <w:rPr>
                <w:rFonts w:ascii="Times New Roman" w:hAnsi="Times New Roman"/>
              </w:rPr>
              <w:t>-.575</w:t>
            </w:r>
          </w:p>
        </w:tc>
        <w:tc>
          <w:tcPr>
            <w:tcW w:w="240" w:type="dxa"/>
          </w:tcPr>
          <w:p w14:paraId="59778BE1" w14:textId="77777777" w:rsidR="003A1489" w:rsidRPr="008B1465" w:rsidRDefault="003A1489" w:rsidP="00FE7438">
            <w:pPr>
              <w:jc w:val="center"/>
              <w:rPr>
                <w:rFonts w:ascii="Times New Roman" w:hAnsi="Times New Roman"/>
              </w:rPr>
            </w:pPr>
          </w:p>
        </w:tc>
        <w:tc>
          <w:tcPr>
            <w:tcW w:w="1976" w:type="dxa"/>
          </w:tcPr>
          <w:p w14:paraId="5A3E142C" w14:textId="77777777" w:rsidR="003A1489" w:rsidRPr="008B1465" w:rsidRDefault="003A1489" w:rsidP="00FE7438">
            <w:pPr>
              <w:jc w:val="center"/>
              <w:rPr>
                <w:rFonts w:ascii="Times New Roman" w:hAnsi="Times New Roman"/>
              </w:rPr>
            </w:pPr>
            <w:r w:rsidRPr="008B1465">
              <w:rPr>
                <w:rFonts w:ascii="Times New Roman" w:hAnsi="Times New Roman"/>
              </w:rPr>
              <w:t>-18.427</w:t>
            </w:r>
          </w:p>
        </w:tc>
        <w:tc>
          <w:tcPr>
            <w:tcW w:w="1143" w:type="dxa"/>
          </w:tcPr>
          <w:p w14:paraId="1A98C93C" w14:textId="77777777" w:rsidR="003A1489" w:rsidRPr="008B1465" w:rsidRDefault="003A1489" w:rsidP="00FE7438">
            <w:pPr>
              <w:jc w:val="center"/>
              <w:rPr>
                <w:rFonts w:ascii="Times New Roman" w:hAnsi="Times New Roman"/>
              </w:rPr>
            </w:pPr>
            <w:r w:rsidRPr="008B1465">
              <w:rPr>
                <w:rFonts w:ascii="Times New Roman" w:hAnsi="Times New Roman"/>
              </w:rPr>
              <w:t>.000</w:t>
            </w:r>
          </w:p>
        </w:tc>
        <w:tc>
          <w:tcPr>
            <w:tcW w:w="1143" w:type="dxa"/>
          </w:tcPr>
          <w:p w14:paraId="726CAFD3" w14:textId="77777777" w:rsidR="003A1489" w:rsidRPr="008B1465" w:rsidRDefault="003A1489" w:rsidP="00FE7438">
            <w:pPr>
              <w:jc w:val="center"/>
              <w:rPr>
                <w:rFonts w:ascii="Times New Roman" w:hAnsi="Times New Roman"/>
              </w:rPr>
            </w:pPr>
            <w:r w:rsidRPr="008B1465">
              <w:rPr>
                <w:rFonts w:ascii="Times New Roman" w:hAnsi="Times New Roman"/>
              </w:rPr>
              <w:t>.586</w:t>
            </w:r>
          </w:p>
        </w:tc>
        <w:tc>
          <w:tcPr>
            <w:tcW w:w="1191" w:type="dxa"/>
          </w:tcPr>
          <w:p w14:paraId="4EA23839" w14:textId="77777777" w:rsidR="003A1489" w:rsidRPr="008B1465" w:rsidRDefault="003A1489" w:rsidP="00FE7438">
            <w:pPr>
              <w:jc w:val="center"/>
              <w:rPr>
                <w:rFonts w:ascii="Times New Roman" w:hAnsi="Times New Roman"/>
              </w:rPr>
            </w:pPr>
            <w:r w:rsidRPr="008B1465">
              <w:rPr>
                <w:rFonts w:ascii="Times New Roman" w:hAnsi="Times New Roman"/>
              </w:rPr>
              <w:t>1.707</w:t>
            </w:r>
          </w:p>
        </w:tc>
      </w:tr>
      <w:tr w:rsidR="003A1489" w:rsidRPr="008B1465" w14:paraId="20BED756" w14:textId="77777777" w:rsidTr="00FE7438">
        <w:tc>
          <w:tcPr>
            <w:tcW w:w="1404" w:type="dxa"/>
          </w:tcPr>
          <w:p w14:paraId="68C28987" w14:textId="77777777" w:rsidR="003A1489" w:rsidRPr="008B1465" w:rsidRDefault="003A1489" w:rsidP="00FE7438">
            <w:pPr>
              <w:jc w:val="center"/>
              <w:rPr>
                <w:rFonts w:ascii="Times New Roman" w:hAnsi="Times New Roman"/>
                <w:b/>
                <w:bCs/>
              </w:rPr>
            </w:pPr>
            <w:r w:rsidRPr="008B1465">
              <w:rPr>
                <w:rFonts w:ascii="Times New Roman" w:hAnsi="Times New Roman"/>
                <w:b/>
                <w:bCs/>
              </w:rPr>
              <w:t>LS</w:t>
            </w:r>
          </w:p>
        </w:tc>
        <w:tc>
          <w:tcPr>
            <w:tcW w:w="936" w:type="dxa"/>
          </w:tcPr>
          <w:p w14:paraId="0A22EE1E" w14:textId="77777777" w:rsidR="003A1489" w:rsidRPr="008B1465" w:rsidRDefault="003A1489" w:rsidP="00FE7438">
            <w:pPr>
              <w:jc w:val="center"/>
              <w:rPr>
                <w:rFonts w:ascii="Times New Roman" w:hAnsi="Times New Roman"/>
              </w:rPr>
            </w:pPr>
            <w:r>
              <w:rPr>
                <w:rFonts w:ascii="Times New Roman" w:hAnsi="Times New Roman"/>
              </w:rPr>
              <w:t>-.345</w:t>
            </w:r>
          </w:p>
        </w:tc>
        <w:tc>
          <w:tcPr>
            <w:tcW w:w="1327" w:type="dxa"/>
          </w:tcPr>
          <w:p w14:paraId="7915A1DA" w14:textId="77777777" w:rsidR="003A1489" w:rsidRPr="008B1465" w:rsidRDefault="003A1489" w:rsidP="00FE7438">
            <w:pPr>
              <w:jc w:val="center"/>
              <w:rPr>
                <w:rFonts w:ascii="Times New Roman" w:hAnsi="Times New Roman"/>
              </w:rPr>
            </w:pPr>
            <w:r w:rsidRPr="008B1465">
              <w:rPr>
                <w:rFonts w:ascii="Times New Roman" w:hAnsi="Times New Roman"/>
              </w:rPr>
              <w:t>-.072</w:t>
            </w:r>
          </w:p>
        </w:tc>
        <w:tc>
          <w:tcPr>
            <w:tcW w:w="240" w:type="dxa"/>
          </w:tcPr>
          <w:p w14:paraId="4DEF27CC" w14:textId="77777777" w:rsidR="003A1489" w:rsidRPr="008B1465" w:rsidRDefault="003A1489" w:rsidP="00FE7438">
            <w:pPr>
              <w:jc w:val="center"/>
              <w:rPr>
                <w:rFonts w:ascii="Times New Roman" w:hAnsi="Times New Roman"/>
              </w:rPr>
            </w:pPr>
          </w:p>
        </w:tc>
        <w:tc>
          <w:tcPr>
            <w:tcW w:w="1976" w:type="dxa"/>
          </w:tcPr>
          <w:p w14:paraId="6AD6A3D5" w14:textId="77777777" w:rsidR="003A1489" w:rsidRPr="008B1465" w:rsidRDefault="003A1489" w:rsidP="00FE7438">
            <w:pPr>
              <w:jc w:val="center"/>
              <w:rPr>
                <w:rFonts w:ascii="Times New Roman" w:hAnsi="Times New Roman"/>
              </w:rPr>
            </w:pPr>
            <w:r w:rsidRPr="008B1465">
              <w:rPr>
                <w:rFonts w:ascii="Times New Roman" w:hAnsi="Times New Roman"/>
              </w:rPr>
              <w:t>-3.011</w:t>
            </w:r>
          </w:p>
        </w:tc>
        <w:tc>
          <w:tcPr>
            <w:tcW w:w="1143" w:type="dxa"/>
          </w:tcPr>
          <w:p w14:paraId="475823B4" w14:textId="77777777" w:rsidR="003A1489" w:rsidRPr="008B1465" w:rsidRDefault="003A1489" w:rsidP="00FE7438">
            <w:pPr>
              <w:jc w:val="center"/>
              <w:rPr>
                <w:rFonts w:ascii="Times New Roman" w:hAnsi="Times New Roman"/>
              </w:rPr>
            </w:pPr>
            <w:r w:rsidRPr="008B1465">
              <w:rPr>
                <w:rFonts w:ascii="Times New Roman" w:hAnsi="Times New Roman"/>
              </w:rPr>
              <w:t>.003</w:t>
            </w:r>
          </w:p>
        </w:tc>
        <w:tc>
          <w:tcPr>
            <w:tcW w:w="1143" w:type="dxa"/>
          </w:tcPr>
          <w:p w14:paraId="1B5E9E03" w14:textId="77777777" w:rsidR="003A1489" w:rsidRPr="008B1465" w:rsidRDefault="003A1489" w:rsidP="00FE7438">
            <w:pPr>
              <w:jc w:val="center"/>
              <w:rPr>
                <w:rFonts w:ascii="Times New Roman" w:hAnsi="Times New Roman"/>
              </w:rPr>
            </w:pPr>
            <w:r w:rsidRPr="008B1465">
              <w:rPr>
                <w:rFonts w:ascii="Times New Roman" w:hAnsi="Times New Roman"/>
              </w:rPr>
              <w:t>.989</w:t>
            </w:r>
          </w:p>
        </w:tc>
        <w:tc>
          <w:tcPr>
            <w:tcW w:w="1191" w:type="dxa"/>
          </w:tcPr>
          <w:p w14:paraId="17E0A8F7" w14:textId="77777777" w:rsidR="003A1489" w:rsidRPr="008B1465" w:rsidRDefault="003A1489" w:rsidP="00FE7438">
            <w:pPr>
              <w:jc w:val="center"/>
              <w:rPr>
                <w:rFonts w:ascii="Times New Roman" w:hAnsi="Times New Roman"/>
              </w:rPr>
            </w:pPr>
            <w:r w:rsidRPr="008B1465">
              <w:rPr>
                <w:rFonts w:ascii="Times New Roman" w:hAnsi="Times New Roman"/>
              </w:rPr>
              <w:t>1.012</w:t>
            </w:r>
          </w:p>
        </w:tc>
      </w:tr>
      <w:tr w:rsidR="003A1489" w:rsidRPr="008B1465" w14:paraId="73475AA2" w14:textId="77777777" w:rsidTr="00D30C19">
        <w:tc>
          <w:tcPr>
            <w:tcW w:w="1404" w:type="dxa"/>
            <w:tcBorders>
              <w:bottom w:val="nil"/>
            </w:tcBorders>
          </w:tcPr>
          <w:p w14:paraId="5457BC48" w14:textId="77777777" w:rsidR="003A1489" w:rsidRPr="008B1465" w:rsidRDefault="003A1489" w:rsidP="00FE7438">
            <w:pPr>
              <w:jc w:val="center"/>
              <w:rPr>
                <w:rFonts w:ascii="Times New Roman" w:hAnsi="Times New Roman"/>
                <w:b/>
                <w:bCs/>
              </w:rPr>
            </w:pPr>
            <w:r w:rsidRPr="008B1465">
              <w:rPr>
                <w:rFonts w:ascii="Times New Roman" w:hAnsi="Times New Roman"/>
                <w:b/>
                <w:bCs/>
              </w:rPr>
              <w:t>ADE</w:t>
            </w:r>
          </w:p>
        </w:tc>
        <w:tc>
          <w:tcPr>
            <w:tcW w:w="936" w:type="dxa"/>
            <w:tcBorders>
              <w:bottom w:val="nil"/>
            </w:tcBorders>
          </w:tcPr>
          <w:p w14:paraId="44DEFF48" w14:textId="77777777" w:rsidR="003A1489" w:rsidRPr="008B1465" w:rsidRDefault="003A1489" w:rsidP="00FE7438">
            <w:pPr>
              <w:jc w:val="center"/>
              <w:rPr>
                <w:rFonts w:ascii="Times New Roman" w:hAnsi="Times New Roman"/>
              </w:rPr>
            </w:pPr>
            <w:r>
              <w:rPr>
                <w:rFonts w:ascii="Times New Roman" w:hAnsi="Times New Roman"/>
              </w:rPr>
              <w:t>2.410</w:t>
            </w:r>
          </w:p>
        </w:tc>
        <w:tc>
          <w:tcPr>
            <w:tcW w:w="1327" w:type="dxa"/>
            <w:tcBorders>
              <w:bottom w:val="nil"/>
            </w:tcBorders>
          </w:tcPr>
          <w:p w14:paraId="39F440ED" w14:textId="77777777" w:rsidR="003A1489" w:rsidRPr="008B1465" w:rsidRDefault="003A1489" w:rsidP="00FE7438">
            <w:pPr>
              <w:jc w:val="center"/>
              <w:rPr>
                <w:rFonts w:ascii="Times New Roman" w:hAnsi="Times New Roman"/>
              </w:rPr>
            </w:pPr>
            <w:r w:rsidRPr="008B1465">
              <w:rPr>
                <w:rFonts w:ascii="Times New Roman" w:hAnsi="Times New Roman"/>
              </w:rPr>
              <w:t>1.141</w:t>
            </w:r>
          </w:p>
        </w:tc>
        <w:tc>
          <w:tcPr>
            <w:tcW w:w="240" w:type="dxa"/>
            <w:tcBorders>
              <w:bottom w:val="nil"/>
            </w:tcBorders>
          </w:tcPr>
          <w:p w14:paraId="6A6BA0C8" w14:textId="77777777" w:rsidR="003A1489" w:rsidRPr="008B1465" w:rsidRDefault="003A1489" w:rsidP="00FE7438">
            <w:pPr>
              <w:jc w:val="center"/>
              <w:rPr>
                <w:rFonts w:ascii="Times New Roman" w:hAnsi="Times New Roman"/>
              </w:rPr>
            </w:pPr>
          </w:p>
        </w:tc>
        <w:tc>
          <w:tcPr>
            <w:tcW w:w="1976" w:type="dxa"/>
            <w:tcBorders>
              <w:bottom w:val="nil"/>
            </w:tcBorders>
          </w:tcPr>
          <w:p w14:paraId="3E040CF2" w14:textId="77777777" w:rsidR="003A1489" w:rsidRPr="008B1465" w:rsidRDefault="003A1489" w:rsidP="00FE7438">
            <w:pPr>
              <w:jc w:val="center"/>
              <w:rPr>
                <w:rFonts w:ascii="Times New Roman" w:hAnsi="Times New Roman"/>
              </w:rPr>
            </w:pPr>
            <w:r w:rsidRPr="008B1465">
              <w:rPr>
                <w:rFonts w:ascii="Times New Roman" w:hAnsi="Times New Roman"/>
              </w:rPr>
              <w:t>36.776</w:t>
            </w:r>
          </w:p>
        </w:tc>
        <w:tc>
          <w:tcPr>
            <w:tcW w:w="1143" w:type="dxa"/>
            <w:tcBorders>
              <w:bottom w:val="nil"/>
            </w:tcBorders>
          </w:tcPr>
          <w:p w14:paraId="3C717628" w14:textId="77777777" w:rsidR="003A1489" w:rsidRPr="008B1465" w:rsidRDefault="003A1489" w:rsidP="00FE7438">
            <w:pPr>
              <w:jc w:val="center"/>
              <w:rPr>
                <w:rFonts w:ascii="Times New Roman" w:hAnsi="Times New Roman"/>
              </w:rPr>
            </w:pPr>
            <w:r w:rsidRPr="008B1465">
              <w:rPr>
                <w:rFonts w:ascii="Times New Roman" w:hAnsi="Times New Roman"/>
              </w:rPr>
              <w:t>.000</w:t>
            </w:r>
          </w:p>
        </w:tc>
        <w:tc>
          <w:tcPr>
            <w:tcW w:w="1143" w:type="dxa"/>
            <w:tcBorders>
              <w:bottom w:val="nil"/>
            </w:tcBorders>
          </w:tcPr>
          <w:p w14:paraId="67CEB8FE" w14:textId="77777777" w:rsidR="003A1489" w:rsidRPr="008B1465" w:rsidRDefault="003A1489" w:rsidP="00FE7438">
            <w:pPr>
              <w:jc w:val="center"/>
              <w:rPr>
                <w:rFonts w:ascii="Times New Roman" w:hAnsi="Times New Roman"/>
              </w:rPr>
            </w:pPr>
            <w:r w:rsidRPr="008B1465">
              <w:rPr>
                <w:rFonts w:ascii="Times New Roman" w:hAnsi="Times New Roman"/>
              </w:rPr>
              <w:t>.592</w:t>
            </w:r>
          </w:p>
        </w:tc>
        <w:tc>
          <w:tcPr>
            <w:tcW w:w="1191" w:type="dxa"/>
            <w:tcBorders>
              <w:bottom w:val="nil"/>
            </w:tcBorders>
          </w:tcPr>
          <w:p w14:paraId="009BC7A9" w14:textId="77777777" w:rsidR="003A1489" w:rsidRPr="008B1465" w:rsidRDefault="003A1489" w:rsidP="00FE7438">
            <w:pPr>
              <w:jc w:val="center"/>
              <w:rPr>
                <w:rFonts w:ascii="Times New Roman" w:hAnsi="Times New Roman"/>
              </w:rPr>
            </w:pPr>
            <w:r w:rsidRPr="008B1465">
              <w:rPr>
                <w:rFonts w:ascii="Times New Roman" w:hAnsi="Times New Roman"/>
              </w:rPr>
              <w:t>1.689</w:t>
            </w:r>
          </w:p>
        </w:tc>
      </w:tr>
      <w:tr w:rsidR="003A1489" w:rsidRPr="008B1465" w14:paraId="5105A7EF" w14:textId="77777777" w:rsidTr="00D30C19">
        <w:trPr>
          <w:trHeight w:val="838"/>
        </w:trPr>
        <w:tc>
          <w:tcPr>
            <w:tcW w:w="9360" w:type="dxa"/>
            <w:gridSpan w:val="8"/>
            <w:tcBorders>
              <w:top w:val="nil"/>
              <w:bottom w:val="single" w:sz="12" w:space="0" w:color="auto"/>
            </w:tcBorders>
          </w:tcPr>
          <w:p w14:paraId="136CFA8F" w14:textId="77777777" w:rsidR="003A1489" w:rsidRPr="008B1465" w:rsidRDefault="003A1489" w:rsidP="00FE7438">
            <w:pPr>
              <w:spacing w:before="0" w:beforeAutospacing="0" w:after="0" w:line="240" w:lineRule="auto"/>
              <w:ind w:left="-17" w:hanging="90"/>
              <w:rPr>
                <w:rFonts w:ascii="Times New Roman" w:hAnsi="Times New Roman"/>
                <w:b/>
                <w:bCs/>
                <w:sz w:val="18"/>
                <w:szCs w:val="18"/>
              </w:rPr>
            </w:pPr>
            <w:r w:rsidRPr="008B1465">
              <w:rPr>
                <w:rFonts w:ascii="Times New Roman" w:hAnsi="Times New Roman"/>
                <w:b/>
                <w:bCs/>
                <w:sz w:val="18"/>
                <w:szCs w:val="18"/>
              </w:rPr>
              <w:t>R</w:t>
            </w:r>
            <w:r w:rsidRPr="008B1465">
              <w:rPr>
                <w:rFonts w:ascii="Times New Roman" w:hAnsi="Times New Roman"/>
                <w:b/>
                <w:bCs/>
                <w:sz w:val="18"/>
                <w:szCs w:val="18"/>
                <w:vertAlign w:val="superscript"/>
              </w:rPr>
              <w:t xml:space="preserve">2 </w:t>
            </w:r>
            <w:r w:rsidRPr="008B1465">
              <w:rPr>
                <w:rFonts w:ascii="Times New Roman" w:hAnsi="Times New Roman"/>
                <w:b/>
                <w:bCs/>
                <w:sz w:val="18"/>
                <w:szCs w:val="18"/>
              </w:rPr>
              <w:t>= .795</w:t>
            </w:r>
          </w:p>
          <w:p w14:paraId="56D4E8C9" w14:textId="77777777" w:rsidR="003A1489" w:rsidRPr="008B1465" w:rsidRDefault="003A1489" w:rsidP="00FE7438">
            <w:pPr>
              <w:spacing w:before="0" w:beforeAutospacing="0" w:after="0" w:line="240" w:lineRule="auto"/>
              <w:ind w:left="-17" w:hanging="90"/>
              <w:rPr>
                <w:rFonts w:ascii="Times New Roman" w:hAnsi="Times New Roman"/>
                <w:b/>
                <w:bCs/>
                <w:sz w:val="18"/>
                <w:szCs w:val="18"/>
              </w:rPr>
            </w:pPr>
            <w:r w:rsidRPr="008B1465">
              <w:rPr>
                <w:rFonts w:ascii="Times New Roman" w:hAnsi="Times New Roman"/>
                <w:b/>
                <w:bCs/>
                <w:sz w:val="18"/>
                <w:szCs w:val="18"/>
              </w:rPr>
              <w:t>Adj. R</w:t>
            </w:r>
            <w:r w:rsidRPr="008B1465">
              <w:rPr>
                <w:rFonts w:ascii="Times New Roman" w:hAnsi="Times New Roman"/>
                <w:b/>
                <w:bCs/>
                <w:sz w:val="18"/>
                <w:szCs w:val="18"/>
                <w:vertAlign w:val="superscript"/>
              </w:rPr>
              <w:t xml:space="preserve">2 </w:t>
            </w:r>
            <w:r w:rsidRPr="008B1465">
              <w:rPr>
                <w:rFonts w:ascii="Times New Roman" w:hAnsi="Times New Roman"/>
                <w:b/>
                <w:bCs/>
                <w:sz w:val="18"/>
                <w:szCs w:val="18"/>
              </w:rPr>
              <w:t>= .793</w:t>
            </w:r>
          </w:p>
          <w:p w14:paraId="40F340A2" w14:textId="77777777" w:rsidR="003A1489" w:rsidRPr="008B1465" w:rsidRDefault="003A1489" w:rsidP="00FE7438">
            <w:pPr>
              <w:spacing w:before="0" w:beforeAutospacing="0" w:after="0" w:line="240" w:lineRule="auto"/>
              <w:ind w:left="-17" w:hanging="90"/>
              <w:rPr>
                <w:rFonts w:ascii="Times New Roman" w:hAnsi="Times New Roman"/>
                <w:b/>
                <w:bCs/>
                <w:sz w:val="18"/>
                <w:szCs w:val="18"/>
              </w:rPr>
            </w:pPr>
            <w:r w:rsidRPr="008B1465">
              <w:rPr>
                <w:rFonts w:ascii="Times New Roman" w:hAnsi="Times New Roman"/>
                <w:b/>
                <w:bCs/>
                <w:sz w:val="18"/>
                <w:szCs w:val="18"/>
              </w:rPr>
              <w:t>F (4,359) = 348.985</w:t>
            </w:r>
          </w:p>
          <w:p w14:paraId="4F0369FB" w14:textId="77777777" w:rsidR="003A1489" w:rsidRPr="008B1465" w:rsidRDefault="003A1489" w:rsidP="00FE7438">
            <w:pPr>
              <w:spacing w:before="0" w:beforeAutospacing="0" w:after="0" w:line="240" w:lineRule="auto"/>
              <w:ind w:left="-17" w:hanging="90"/>
              <w:rPr>
                <w:rFonts w:ascii="Times New Roman" w:hAnsi="Times New Roman"/>
                <w:b/>
                <w:bCs/>
                <w:sz w:val="18"/>
                <w:szCs w:val="18"/>
              </w:rPr>
            </w:pPr>
            <w:r w:rsidRPr="008B1465">
              <w:rPr>
                <w:rFonts w:ascii="Times New Roman" w:hAnsi="Times New Roman"/>
                <w:b/>
                <w:bCs/>
                <w:sz w:val="18"/>
                <w:szCs w:val="18"/>
              </w:rPr>
              <w:t>Sig= 0.0019</w:t>
            </w:r>
          </w:p>
        </w:tc>
      </w:tr>
    </w:tbl>
    <w:p w14:paraId="61086F49" w14:textId="77777777" w:rsidR="003A1489" w:rsidRPr="008B1465" w:rsidRDefault="003A1489" w:rsidP="003A1489">
      <w:pPr>
        <w:spacing w:before="0" w:beforeAutospacing="0" w:after="0" w:line="240" w:lineRule="auto"/>
        <w:jc w:val="both"/>
        <w:rPr>
          <w:rFonts w:ascii="Times New Roman" w:hAnsi="Times New Roman"/>
          <w:b/>
          <w:bCs/>
          <w:sz w:val="18"/>
          <w:szCs w:val="18"/>
        </w:rPr>
      </w:pPr>
      <w:r w:rsidRPr="008B1465">
        <w:rPr>
          <w:rFonts w:ascii="Times New Roman" w:hAnsi="Times New Roman"/>
          <w:b/>
          <w:bCs/>
          <w:sz w:val="18"/>
          <w:szCs w:val="18"/>
        </w:rPr>
        <w:t>Durbin-Watson =1.918</w:t>
      </w:r>
    </w:p>
    <w:p w14:paraId="227024B6" w14:textId="1BA24034" w:rsidR="001C65B0" w:rsidRPr="00814316" w:rsidRDefault="003A1489" w:rsidP="003A1489">
      <w:pPr>
        <w:pStyle w:val="NoSpacing"/>
        <w:rPr>
          <w:rFonts w:ascii="Times New Roman" w:hAnsi="Times New Roman"/>
          <w:b/>
          <w:bCs/>
          <w:sz w:val="18"/>
          <w:szCs w:val="18"/>
        </w:rPr>
      </w:pPr>
      <w:r w:rsidRPr="008B1465">
        <w:rPr>
          <w:rFonts w:ascii="Times New Roman" w:hAnsi="Times New Roman"/>
          <w:b/>
          <w:bCs/>
          <w:sz w:val="18"/>
          <w:szCs w:val="18"/>
        </w:rPr>
        <w:t xml:space="preserve">Source: Researchers’ Computation 2023, SPSS 25.0 </w:t>
      </w:r>
      <w:r w:rsidR="00802424" w:rsidRPr="008B1465">
        <w:rPr>
          <w:rFonts w:ascii="Times New Roman" w:hAnsi="Times New Roman"/>
          <w:b/>
          <w:bCs/>
          <w:sz w:val="18"/>
          <w:szCs w:val="18"/>
        </w:rPr>
        <w:t xml:space="preserve"> </w:t>
      </w:r>
    </w:p>
    <w:p w14:paraId="19C4C11A" w14:textId="6A42DEF4" w:rsidR="00714CD7" w:rsidRDefault="00714CD7" w:rsidP="00714CD7">
      <w:pPr>
        <w:spacing w:after="0" w:line="360" w:lineRule="auto"/>
        <w:jc w:val="both"/>
        <w:rPr>
          <w:rFonts w:ascii="Times New Roman" w:hAnsi="Times New Roman"/>
          <w:b/>
          <w:bCs/>
          <w:sz w:val="24"/>
          <w:szCs w:val="24"/>
        </w:rPr>
      </w:pPr>
      <w:r>
        <w:rPr>
          <w:rFonts w:ascii="Times New Roman" w:hAnsi="Times New Roman"/>
          <w:b/>
          <w:bCs/>
          <w:sz w:val="24"/>
          <w:szCs w:val="24"/>
        </w:rPr>
        <w:t>Operational Model 1 for Hypothesis 1 is stated as:</w:t>
      </w:r>
    </w:p>
    <w:p w14:paraId="12780FA0" w14:textId="5D3CFF64" w:rsidR="0091709A" w:rsidRDefault="00BA3D51" w:rsidP="003A36A7">
      <w:pPr>
        <w:pStyle w:val="NoSpacing"/>
        <w:spacing w:line="360" w:lineRule="auto"/>
        <w:rPr>
          <w:rFonts w:ascii="Times New Roman" w:eastAsia="DengXian" w:hAnsi="Times New Roman"/>
          <w:sz w:val="24"/>
          <w:szCs w:val="24"/>
        </w:rPr>
      </w:pPr>
      <w:r w:rsidRPr="008B1465">
        <w:rPr>
          <w:rFonts w:ascii="Times New Roman" w:eastAsia="DengXian" w:hAnsi="Times New Roman"/>
          <w:sz w:val="24"/>
          <w:szCs w:val="24"/>
        </w:rPr>
        <w:t xml:space="preserve">FM= </w:t>
      </w:r>
      <w:r w:rsidR="00DF7C36" w:rsidRPr="008B1465">
        <w:rPr>
          <w:rFonts w:ascii="Times New Roman" w:hAnsi="Times New Roman"/>
          <w:noProof/>
          <w:sz w:val="24"/>
          <w:szCs w:val="24"/>
        </w:rPr>
        <w:drawing>
          <wp:inline distT="0" distB="0" distL="0" distR="0" wp14:anchorId="3A8435F4" wp14:editId="7D16AFE6">
            <wp:extent cx="84455" cy="173355"/>
            <wp:effectExtent l="0" t="0" r="0" b="0"/>
            <wp:docPr id="254" name="Picture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Picture 23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00DF7C36" w:rsidRPr="008B1465">
        <w:rPr>
          <w:rFonts w:ascii="Times New Roman" w:eastAsia="DengXian" w:hAnsi="Times New Roman"/>
          <w:sz w:val="24"/>
          <w:szCs w:val="24"/>
          <w:vertAlign w:val="subscript"/>
        </w:rPr>
        <w:t>0</w:t>
      </w:r>
      <w:r w:rsidRPr="008B1465">
        <w:rPr>
          <w:rFonts w:ascii="Times New Roman" w:eastAsia="DengXian" w:hAnsi="Times New Roman"/>
          <w:sz w:val="24"/>
          <w:szCs w:val="24"/>
        </w:rPr>
        <w:t xml:space="preserve"> + </w:t>
      </w:r>
      <w:r w:rsidRPr="008B1465">
        <w:rPr>
          <w:rFonts w:ascii="Times New Roman" w:hAnsi="Times New Roman"/>
          <w:noProof/>
          <w:sz w:val="24"/>
          <w:szCs w:val="24"/>
        </w:rPr>
        <w:drawing>
          <wp:inline distT="0" distB="0" distL="0" distR="0" wp14:anchorId="1A53E762" wp14:editId="1FE0629C">
            <wp:extent cx="84455" cy="173355"/>
            <wp:effectExtent l="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Picture 8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Pr="008B1465">
        <w:rPr>
          <w:rFonts w:ascii="Times New Roman" w:eastAsia="DengXian" w:hAnsi="Times New Roman"/>
          <w:sz w:val="24"/>
          <w:szCs w:val="24"/>
          <w:vertAlign w:val="subscript"/>
        </w:rPr>
        <w:t>1</w:t>
      </w:r>
      <w:r w:rsidRPr="008B1465">
        <w:rPr>
          <w:rFonts w:ascii="Times New Roman" w:eastAsia="DengXian" w:hAnsi="Times New Roman"/>
          <w:sz w:val="24"/>
          <w:szCs w:val="24"/>
        </w:rPr>
        <w:t>IF</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Pr="008B1465">
        <w:rPr>
          <w:rFonts w:ascii="Times New Roman" w:hAnsi="Times New Roman"/>
          <w:noProof/>
          <w:sz w:val="24"/>
          <w:szCs w:val="24"/>
        </w:rPr>
        <w:drawing>
          <wp:inline distT="0" distB="0" distL="0" distR="0" wp14:anchorId="7E33C380" wp14:editId="22DFF49F">
            <wp:extent cx="84455" cy="173355"/>
            <wp:effectExtent l="0" t="0" r="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Picture 8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Pr="008B1465">
        <w:rPr>
          <w:rFonts w:ascii="Times New Roman" w:eastAsia="DengXian" w:hAnsi="Times New Roman"/>
          <w:sz w:val="24"/>
          <w:szCs w:val="24"/>
          <w:vertAlign w:val="subscript"/>
        </w:rPr>
        <w:t>2</w:t>
      </w:r>
      <w:r w:rsidRPr="008B1465">
        <w:rPr>
          <w:rFonts w:ascii="Times New Roman" w:eastAsia="DengXian" w:hAnsi="Times New Roman"/>
          <w:sz w:val="24"/>
          <w:szCs w:val="24"/>
        </w:rPr>
        <w:t>LS</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Pr="008B1465">
        <w:rPr>
          <w:rFonts w:ascii="Times New Roman" w:hAnsi="Times New Roman"/>
          <w:noProof/>
          <w:sz w:val="24"/>
          <w:szCs w:val="24"/>
        </w:rPr>
        <w:drawing>
          <wp:inline distT="0" distB="0" distL="0" distR="0" wp14:anchorId="04B839A1" wp14:editId="2A877C01">
            <wp:extent cx="84455" cy="173355"/>
            <wp:effectExtent l="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Picture 8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Pr="008B1465">
        <w:rPr>
          <w:rFonts w:ascii="Times New Roman" w:eastAsia="DengXian" w:hAnsi="Times New Roman"/>
          <w:sz w:val="24"/>
          <w:szCs w:val="24"/>
          <w:vertAlign w:val="subscript"/>
        </w:rPr>
        <w:t>3</w:t>
      </w:r>
      <w:r w:rsidRPr="008B1465">
        <w:rPr>
          <w:rFonts w:ascii="Times New Roman" w:eastAsia="DengXian" w:hAnsi="Times New Roman"/>
          <w:sz w:val="24"/>
          <w:szCs w:val="24"/>
        </w:rPr>
        <w:t>SCCP</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Pr="008B1465">
        <w:rPr>
          <w:rFonts w:ascii="Times New Roman" w:hAnsi="Times New Roman"/>
          <w:noProof/>
          <w:sz w:val="24"/>
          <w:szCs w:val="24"/>
        </w:rPr>
        <w:drawing>
          <wp:inline distT="0" distB="0" distL="0" distR="0" wp14:anchorId="2AACF3C7" wp14:editId="4810E2B9">
            <wp:extent cx="84455" cy="173355"/>
            <wp:effectExtent l="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icture 23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Pr="008B1465">
        <w:rPr>
          <w:rFonts w:ascii="Times New Roman" w:eastAsia="DengXian" w:hAnsi="Times New Roman"/>
          <w:sz w:val="24"/>
          <w:szCs w:val="24"/>
          <w:vertAlign w:val="subscript"/>
        </w:rPr>
        <w:t>4</w:t>
      </w:r>
      <w:r w:rsidRPr="008B1465">
        <w:rPr>
          <w:rFonts w:ascii="Times New Roman" w:eastAsia="DengXian" w:hAnsi="Times New Roman"/>
          <w:sz w:val="24"/>
          <w:szCs w:val="24"/>
        </w:rPr>
        <w:t>ADE</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Pr="008B1465">
        <w:rPr>
          <w:rFonts w:ascii="Times New Roman" w:hAnsi="Times New Roman"/>
          <w:sz w:val="32"/>
          <w:szCs w:val="32"/>
        </w:rPr>
        <w:t>ԑ</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Model 1</w:t>
      </w:r>
    </w:p>
    <w:p w14:paraId="2CCA6110" w14:textId="727CE55E" w:rsidR="00D33813" w:rsidRDefault="000E6365" w:rsidP="003A36A7">
      <w:pPr>
        <w:pStyle w:val="NoSpacing"/>
        <w:spacing w:line="360" w:lineRule="auto"/>
        <w:rPr>
          <w:rFonts w:ascii="Times New Roman" w:eastAsia="DengXian" w:hAnsi="Times New Roman"/>
          <w:sz w:val="24"/>
          <w:szCs w:val="24"/>
          <w:vertAlign w:val="subscript"/>
        </w:rPr>
      </w:pPr>
      <w:r w:rsidRPr="008B1465">
        <w:rPr>
          <w:rFonts w:ascii="Times New Roman" w:eastAsia="DengXian" w:hAnsi="Times New Roman"/>
          <w:sz w:val="24"/>
          <w:szCs w:val="24"/>
        </w:rPr>
        <w:t xml:space="preserve">FM= </w:t>
      </w:r>
      <w:r>
        <w:rPr>
          <w:rFonts w:ascii="Times New Roman" w:hAnsi="Times New Roman"/>
          <w:noProof/>
          <w:sz w:val="24"/>
          <w:szCs w:val="24"/>
        </w:rPr>
        <w:t>10.032</w:t>
      </w:r>
      <w:r w:rsidRPr="008B1465">
        <w:rPr>
          <w:rFonts w:ascii="Times New Roman" w:eastAsia="DengXian" w:hAnsi="Times New Roman"/>
          <w:sz w:val="24"/>
          <w:szCs w:val="24"/>
        </w:rPr>
        <w:t xml:space="preserve"> + </w:t>
      </w:r>
      <w:r w:rsidR="00854ADF">
        <w:rPr>
          <w:rFonts w:ascii="Times New Roman" w:hAnsi="Times New Roman"/>
          <w:noProof/>
          <w:sz w:val="24"/>
          <w:szCs w:val="24"/>
        </w:rPr>
        <w:t>-.612</w:t>
      </w:r>
      <w:r w:rsidRPr="008B1465">
        <w:rPr>
          <w:rFonts w:ascii="Times New Roman" w:eastAsia="DengXian" w:hAnsi="Times New Roman"/>
          <w:sz w:val="24"/>
          <w:szCs w:val="24"/>
        </w:rPr>
        <w:t>IF</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00854ADF">
        <w:rPr>
          <w:rFonts w:ascii="Times New Roman" w:hAnsi="Times New Roman"/>
          <w:noProof/>
          <w:sz w:val="24"/>
          <w:szCs w:val="24"/>
        </w:rPr>
        <w:t>-.345</w:t>
      </w:r>
      <w:r w:rsidRPr="008B1465">
        <w:rPr>
          <w:rFonts w:ascii="Times New Roman" w:eastAsia="DengXian" w:hAnsi="Times New Roman"/>
          <w:sz w:val="24"/>
          <w:szCs w:val="24"/>
        </w:rPr>
        <w:t>LS</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00854ADF">
        <w:rPr>
          <w:rFonts w:ascii="Times New Roman" w:hAnsi="Times New Roman"/>
          <w:noProof/>
          <w:sz w:val="24"/>
          <w:szCs w:val="24"/>
        </w:rPr>
        <w:t>-.</w:t>
      </w:r>
      <w:r w:rsidR="004D3480">
        <w:rPr>
          <w:rFonts w:ascii="Times New Roman" w:hAnsi="Times New Roman"/>
          <w:noProof/>
          <w:sz w:val="24"/>
          <w:szCs w:val="24"/>
        </w:rPr>
        <w:t>215</w:t>
      </w:r>
      <w:r w:rsidRPr="008B1465">
        <w:rPr>
          <w:rFonts w:ascii="Times New Roman" w:eastAsia="DengXian" w:hAnsi="Times New Roman"/>
          <w:sz w:val="24"/>
          <w:szCs w:val="24"/>
        </w:rPr>
        <w:t>SCCP</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004D3480">
        <w:rPr>
          <w:rFonts w:ascii="Times New Roman" w:hAnsi="Times New Roman"/>
          <w:noProof/>
          <w:sz w:val="24"/>
          <w:szCs w:val="24"/>
        </w:rPr>
        <w:t>2.410</w:t>
      </w:r>
      <w:r w:rsidRPr="008B1465">
        <w:rPr>
          <w:rFonts w:ascii="Times New Roman" w:eastAsia="DengXian" w:hAnsi="Times New Roman"/>
          <w:sz w:val="24"/>
          <w:szCs w:val="24"/>
        </w:rPr>
        <w:t>ADE</w:t>
      </w:r>
      <w:r w:rsidRPr="008B1465">
        <w:rPr>
          <w:rFonts w:ascii="Times New Roman" w:eastAsia="DengXian" w:hAnsi="Times New Roman"/>
          <w:sz w:val="24"/>
          <w:szCs w:val="24"/>
          <w:vertAlign w:val="subscript"/>
        </w:rPr>
        <w:t>i</w:t>
      </w:r>
    </w:p>
    <w:p w14:paraId="70B3FBB0" w14:textId="4EDD338B" w:rsidR="004D3480" w:rsidRDefault="00206096" w:rsidP="00F06720">
      <w:pPr>
        <w:pStyle w:val="NoSpacing"/>
        <w:spacing w:line="360" w:lineRule="auto"/>
        <w:jc w:val="both"/>
        <w:rPr>
          <w:rFonts w:ascii="Times New Roman" w:eastAsia="DengXian" w:hAnsi="Times New Roman"/>
          <w:b/>
          <w:bCs/>
          <w:sz w:val="24"/>
          <w:szCs w:val="24"/>
        </w:rPr>
      </w:pPr>
      <w:r>
        <w:rPr>
          <w:rFonts w:ascii="Times New Roman" w:eastAsia="DengXian" w:hAnsi="Times New Roman"/>
          <w:b/>
          <w:bCs/>
          <w:sz w:val="24"/>
          <w:szCs w:val="24"/>
        </w:rPr>
        <w:t>Interpretation</w:t>
      </w:r>
    </w:p>
    <w:p w14:paraId="6ECBECB1" w14:textId="78835CD8" w:rsidR="0075790B" w:rsidRDefault="004C69F7" w:rsidP="00F06720">
      <w:pPr>
        <w:pStyle w:val="NoSpacing"/>
        <w:spacing w:line="360" w:lineRule="auto"/>
        <w:jc w:val="both"/>
        <w:rPr>
          <w:rFonts w:ascii="Times New Roman" w:hAnsi="Times New Roman"/>
          <w:sz w:val="24"/>
          <w:szCs w:val="24"/>
        </w:rPr>
      </w:pPr>
      <w:r>
        <w:rPr>
          <w:rFonts w:ascii="Times New Roman" w:eastAsia="DengXian" w:hAnsi="Times New Roman"/>
          <w:sz w:val="24"/>
          <w:szCs w:val="24"/>
        </w:rPr>
        <w:t>LS=</w:t>
      </w:r>
      <w:r w:rsidR="001F051E">
        <w:rPr>
          <w:rFonts w:ascii="Times New Roman" w:eastAsia="DengXian" w:hAnsi="Times New Roman"/>
          <w:sz w:val="24"/>
          <w:szCs w:val="24"/>
        </w:rPr>
        <w:t>-.345, t=-3.011</w:t>
      </w:r>
      <w:r w:rsidR="001A5903">
        <w:rPr>
          <w:rFonts w:ascii="Times New Roman" w:eastAsia="DengXian" w:hAnsi="Times New Roman"/>
          <w:sz w:val="24"/>
          <w:szCs w:val="24"/>
        </w:rPr>
        <w:t>, p= .003</w:t>
      </w:r>
      <w:r w:rsidR="00BD20AF">
        <w:rPr>
          <w:rFonts w:ascii="Times New Roman" w:eastAsia="DengXian" w:hAnsi="Times New Roman"/>
          <w:sz w:val="24"/>
          <w:szCs w:val="24"/>
        </w:rPr>
        <w:t>.</w:t>
      </w:r>
      <w:r w:rsidR="0075790B">
        <w:rPr>
          <w:rFonts w:ascii="Times New Roman" w:eastAsia="DengXian" w:hAnsi="Times New Roman"/>
          <w:sz w:val="24"/>
          <w:szCs w:val="24"/>
        </w:rPr>
        <w:t xml:space="preserve"> </w:t>
      </w:r>
      <w:r w:rsidR="00212F1E" w:rsidRPr="00426978">
        <w:rPr>
          <w:rFonts w:ascii="Times New Roman" w:hAnsi="Times New Roman"/>
          <w:sz w:val="24"/>
          <w:szCs w:val="24"/>
        </w:rPr>
        <w:t xml:space="preserve">The regression result indicates a statistically significant relationship between forensic accounting techniques and Litigation Services (LS). </w:t>
      </w:r>
      <w:r w:rsidR="00212F1E" w:rsidRPr="00426978">
        <w:rPr>
          <w:rFonts w:ascii="Times New Roman" w:hAnsi="Times New Roman"/>
          <w:b/>
          <w:bCs/>
          <w:sz w:val="24"/>
          <w:szCs w:val="24"/>
          <w:bdr w:val="single" w:sz="2" w:space="0" w:color="D9D9E3" w:frame="1"/>
        </w:rPr>
        <w:t>LS = -0.345:</w:t>
      </w:r>
      <w:r w:rsidR="00212F1E" w:rsidRPr="00426978">
        <w:rPr>
          <w:rFonts w:ascii="Times New Roman" w:hAnsi="Times New Roman"/>
          <w:sz w:val="24"/>
          <w:szCs w:val="24"/>
        </w:rPr>
        <w:t xml:space="preserve"> The coefficient of -0.345 represents the estimated effect of forensic accounting techniques on Litigation Services. Specifically, for each unit increase in the use of forensic accounting techniques, Litigation Services (LS) decreases by 0.345 units on average.</w:t>
      </w:r>
      <w:r w:rsidR="00212F1E" w:rsidRPr="00FB1DE8">
        <w:rPr>
          <w:rFonts w:ascii="Times New Roman" w:hAnsi="Times New Roman"/>
          <w:sz w:val="24"/>
          <w:szCs w:val="24"/>
        </w:rPr>
        <w:t xml:space="preserve"> </w:t>
      </w:r>
      <w:r w:rsidR="00212F1E" w:rsidRPr="00426978">
        <w:rPr>
          <w:rFonts w:ascii="Times New Roman" w:hAnsi="Times New Roman"/>
          <w:b/>
          <w:bCs/>
          <w:sz w:val="24"/>
          <w:szCs w:val="24"/>
          <w:bdr w:val="single" w:sz="2" w:space="0" w:color="D9D9E3" w:frame="1"/>
        </w:rPr>
        <w:t>t = -3.011:</w:t>
      </w:r>
      <w:r w:rsidR="00212F1E" w:rsidRPr="00426978">
        <w:rPr>
          <w:rFonts w:ascii="Times New Roman" w:hAnsi="Times New Roman"/>
          <w:sz w:val="24"/>
          <w:szCs w:val="24"/>
        </w:rPr>
        <w:t xml:space="preserve"> The t-value measures how many standard errors the coefficient estimate is away from zero. In this case, the t-value is -3.011, indicating that the coefficient is significantly different from zero. A larger absolute t-value suggests a more significant result.</w:t>
      </w:r>
      <w:r w:rsidR="00212F1E" w:rsidRPr="00FB1DE8">
        <w:rPr>
          <w:rFonts w:ascii="Times New Roman" w:hAnsi="Times New Roman"/>
          <w:sz w:val="24"/>
          <w:szCs w:val="24"/>
        </w:rPr>
        <w:t xml:space="preserve"> </w:t>
      </w:r>
      <w:r w:rsidR="00212F1E" w:rsidRPr="00426978">
        <w:rPr>
          <w:rFonts w:ascii="Times New Roman" w:hAnsi="Times New Roman"/>
          <w:b/>
          <w:bCs/>
          <w:sz w:val="24"/>
          <w:szCs w:val="24"/>
          <w:bdr w:val="single" w:sz="2" w:space="0" w:color="D9D9E3" w:frame="1"/>
        </w:rPr>
        <w:t>p = 0.003:</w:t>
      </w:r>
      <w:r w:rsidR="00212F1E" w:rsidRPr="00426978">
        <w:rPr>
          <w:rFonts w:ascii="Times New Roman" w:hAnsi="Times New Roman"/>
          <w:sz w:val="24"/>
          <w:szCs w:val="24"/>
        </w:rPr>
        <w:t xml:space="preserve"> The p-value is associated with the t-value and measures the probability that the observed relationship between forensic accounting techniques and Litigation Services is due to random chance. A p-value of 0.003 is quite low, which suggests that the relationship is statistically significant.</w:t>
      </w:r>
    </w:p>
    <w:p w14:paraId="628DD037" w14:textId="77777777" w:rsidR="00F06720" w:rsidRDefault="00F06720" w:rsidP="00F06720">
      <w:pPr>
        <w:pStyle w:val="NoSpacing"/>
        <w:spacing w:line="360" w:lineRule="auto"/>
        <w:jc w:val="both"/>
        <w:rPr>
          <w:rFonts w:ascii="Times New Roman" w:hAnsi="Times New Roman"/>
          <w:sz w:val="24"/>
          <w:szCs w:val="24"/>
        </w:rPr>
      </w:pPr>
    </w:p>
    <w:p w14:paraId="5C3691BF" w14:textId="3C7837C4" w:rsidR="00212F1E" w:rsidRPr="00426978" w:rsidRDefault="00212F1E" w:rsidP="00F06720">
      <w:pPr>
        <w:pStyle w:val="NoSpacing"/>
        <w:spacing w:line="360" w:lineRule="auto"/>
        <w:jc w:val="both"/>
        <w:rPr>
          <w:rFonts w:ascii="Times New Roman" w:hAnsi="Times New Roman"/>
          <w:sz w:val="24"/>
          <w:szCs w:val="24"/>
        </w:rPr>
      </w:pPr>
      <w:r w:rsidRPr="00426978">
        <w:rPr>
          <w:rFonts w:ascii="Times New Roman" w:hAnsi="Times New Roman"/>
          <w:b/>
          <w:bCs/>
          <w:sz w:val="24"/>
          <w:szCs w:val="24"/>
        </w:rPr>
        <w:t>Decision Criteria:</w:t>
      </w:r>
      <w:r w:rsidRPr="00FB1DE8">
        <w:rPr>
          <w:rFonts w:ascii="Times New Roman" w:hAnsi="Times New Roman"/>
          <w:sz w:val="24"/>
          <w:szCs w:val="24"/>
        </w:rPr>
        <w:t xml:space="preserve"> </w:t>
      </w:r>
      <w:r w:rsidRPr="00426978">
        <w:rPr>
          <w:rFonts w:ascii="Times New Roman" w:hAnsi="Times New Roman"/>
          <w:sz w:val="24"/>
          <w:szCs w:val="24"/>
        </w:rPr>
        <w:t xml:space="preserve">If the p-value is less than the chosen significance level (commonly 0.05), </w:t>
      </w:r>
      <w:r w:rsidR="00FD1321">
        <w:rPr>
          <w:rFonts w:ascii="Times New Roman" w:hAnsi="Times New Roman"/>
          <w:sz w:val="24"/>
          <w:szCs w:val="24"/>
        </w:rPr>
        <w:t>the study</w:t>
      </w:r>
      <w:r w:rsidRPr="00426978">
        <w:rPr>
          <w:rFonts w:ascii="Times New Roman" w:hAnsi="Times New Roman"/>
          <w:sz w:val="24"/>
          <w:szCs w:val="24"/>
        </w:rPr>
        <w:t xml:space="preserve"> typically reject</w:t>
      </w:r>
      <w:r w:rsidR="006F097F">
        <w:rPr>
          <w:rFonts w:ascii="Times New Roman" w:hAnsi="Times New Roman"/>
          <w:sz w:val="24"/>
          <w:szCs w:val="24"/>
        </w:rPr>
        <w:t>s</w:t>
      </w:r>
      <w:r w:rsidRPr="00426978">
        <w:rPr>
          <w:rFonts w:ascii="Times New Roman" w:hAnsi="Times New Roman"/>
          <w:sz w:val="24"/>
          <w:szCs w:val="24"/>
        </w:rPr>
        <w:t xml:space="preserve"> the null hypothesis.</w:t>
      </w:r>
      <w:r w:rsidRPr="00FB1DE8">
        <w:rPr>
          <w:rFonts w:ascii="Times New Roman" w:hAnsi="Times New Roman"/>
          <w:sz w:val="24"/>
          <w:szCs w:val="24"/>
        </w:rPr>
        <w:t xml:space="preserve"> </w:t>
      </w:r>
      <w:r w:rsidRPr="00426978">
        <w:rPr>
          <w:rFonts w:ascii="Times New Roman" w:hAnsi="Times New Roman"/>
          <w:sz w:val="24"/>
          <w:szCs w:val="24"/>
        </w:rPr>
        <w:t>If the t-value is large in absolute terms (greater than 2 is often considered substantial), it suggests a significant result.</w:t>
      </w:r>
      <w:r w:rsidRPr="00FB1DE8">
        <w:rPr>
          <w:rFonts w:ascii="Times New Roman" w:hAnsi="Times New Roman"/>
          <w:sz w:val="24"/>
          <w:szCs w:val="24"/>
        </w:rPr>
        <w:t xml:space="preserve"> </w:t>
      </w:r>
      <w:r w:rsidRPr="00426978">
        <w:rPr>
          <w:rFonts w:ascii="Times New Roman" w:hAnsi="Times New Roman"/>
          <w:sz w:val="24"/>
          <w:szCs w:val="24"/>
        </w:rPr>
        <w:t>The p-value of 0.003 is less than 0.05 (the common significance level), indicating statistical significance.</w:t>
      </w:r>
      <w:r w:rsidRPr="00FB1DE8">
        <w:rPr>
          <w:rFonts w:ascii="Times New Roman" w:hAnsi="Times New Roman"/>
          <w:sz w:val="24"/>
          <w:szCs w:val="24"/>
        </w:rPr>
        <w:t xml:space="preserve"> </w:t>
      </w:r>
      <w:r w:rsidRPr="00426978">
        <w:rPr>
          <w:rFonts w:ascii="Times New Roman" w:hAnsi="Times New Roman"/>
          <w:sz w:val="24"/>
          <w:szCs w:val="24"/>
        </w:rPr>
        <w:t>The t-value of -3.011 is relatively large in absolute terms, further supporting statistical significance.</w:t>
      </w:r>
      <w:r w:rsidR="00FD1321">
        <w:rPr>
          <w:rFonts w:ascii="Times New Roman" w:hAnsi="Times New Roman"/>
          <w:sz w:val="24"/>
          <w:szCs w:val="24"/>
        </w:rPr>
        <w:t xml:space="preserve"> </w:t>
      </w:r>
      <w:r w:rsidRPr="00426978">
        <w:rPr>
          <w:rFonts w:ascii="Times New Roman" w:hAnsi="Times New Roman"/>
          <w:sz w:val="24"/>
          <w:szCs w:val="24"/>
        </w:rPr>
        <w:t xml:space="preserve">Therefore, </w:t>
      </w:r>
      <w:r w:rsidRPr="00FB1DE8">
        <w:rPr>
          <w:rFonts w:ascii="Times New Roman" w:hAnsi="Times New Roman"/>
          <w:sz w:val="24"/>
          <w:szCs w:val="24"/>
        </w:rPr>
        <w:t>the study</w:t>
      </w:r>
      <w:r w:rsidRPr="00426978">
        <w:rPr>
          <w:rFonts w:ascii="Times New Roman" w:hAnsi="Times New Roman"/>
          <w:sz w:val="24"/>
          <w:szCs w:val="24"/>
        </w:rPr>
        <w:t xml:space="preserve"> reject</w:t>
      </w:r>
      <w:r>
        <w:rPr>
          <w:rFonts w:ascii="Times New Roman" w:hAnsi="Times New Roman"/>
          <w:sz w:val="24"/>
          <w:szCs w:val="24"/>
        </w:rPr>
        <w:t>s</w:t>
      </w:r>
      <w:r w:rsidRPr="00426978">
        <w:rPr>
          <w:rFonts w:ascii="Times New Roman" w:hAnsi="Times New Roman"/>
          <w:sz w:val="24"/>
          <w:szCs w:val="24"/>
        </w:rPr>
        <w:t xml:space="preserve"> the null hypothesis in favor of the alternative hypothesis. In other words, there is strong evidence to suggest that there is a statistically significant negative relationship between the use of forensic accounting techniques and Litigation Services. As forensic accounting techniques increase, Litigation Services tend to decrease.</w:t>
      </w:r>
    </w:p>
    <w:p w14:paraId="5ABACFD4" w14:textId="2A6F25E4" w:rsidR="003D24A2" w:rsidRDefault="00E9217B" w:rsidP="00F06720">
      <w:pPr>
        <w:pStyle w:val="NoSpacing"/>
        <w:spacing w:line="360" w:lineRule="auto"/>
        <w:jc w:val="both"/>
        <w:rPr>
          <w:rFonts w:ascii="Times New Roman" w:eastAsia="DengXian" w:hAnsi="Times New Roman"/>
          <w:sz w:val="24"/>
          <w:szCs w:val="24"/>
        </w:rPr>
      </w:pPr>
      <w:r>
        <w:rPr>
          <w:rFonts w:ascii="Times New Roman" w:eastAsia="DengXian" w:hAnsi="Times New Roman"/>
          <w:sz w:val="24"/>
          <w:szCs w:val="24"/>
        </w:rPr>
        <w:t xml:space="preserve">  </w:t>
      </w:r>
      <w:r w:rsidR="00105132">
        <w:rPr>
          <w:rFonts w:ascii="Times New Roman" w:eastAsia="DengXian" w:hAnsi="Times New Roman"/>
          <w:sz w:val="24"/>
          <w:szCs w:val="24"/>
        </w:rPr>
        <w:t xml:space="preserve"> </w:t>
      </w:r>
    </w:p>
    <w:p w14:paraId="6701DE0C" w14:textId="5B6C0A8F" w:rsidR="0075790B" w:rsidRPr="00FD1321" w:rsidRDefault="00B42F96" w:rsidP="00F06720">
      <w:pPr>
        <w:pStyle w:val="NoSpacing"/>
        <w:spacing w:line="360" w:lineRule="auto"/>
        <w:jc w:val="both"/>
        <w:rPr>
          <w:rFonts w:ascii="Times New Roman" w:eastAsia="DengXian" w:hAnsi="Times New Roman"/>
          <w:sz w:val="24"/>
          <w:szCs w:val="24"/>
        </w:rPr>
      </w:pPr>
      <w:r>
        <w:rPr>
          <w:rFonts w:ascii="Times New Roman" w:eastAsia="DengXian" w:hAnsi="Times New Roman"/>
          <w:sz w:val="24"/>
          <w:szCs w:val="24"/>
        </w:rPr>
        <w:t>IF</w:t>
      </w:r>
      <w:r w:rsidR="00DE4B89">
        <w:rPr>
          <w:rFonts w:ascii="Times New Roman" w:eastAsia="DengXian" w:hAnsi="Times New Roman"/>
          <w:sz w:val="24"/>
          <w:szCs w:val="24"/>
        </w:rPr>
        <w:t>=-.612, t=-18.427</w:t>
      </w:r>
      <w:r w:rsidR="00A832CD">
        <w:rPr>
          <w:rFonts w:ascii="Times New Roman" w:eastAsia="DengXian" w:hAnsi="Times New Roman"/>
          <w:sz w:val="24"/>
          <w:szCs w:val="24"/>
        </w:rPr>
        <w:t>, p=.000</w:t>
      </w:r>
      <w:r w:rsidR="00284210">
        <w:rPr>
          <w:rFonts w:ascii="Times New Roman" w:eastAsia="DengXian" w:hAnsi="Times New Roman"/>
          <w:sz w:val="24"/>
          <w:szCs w:val="24"/>
        </w:rPr>
        <w:t xml:space="preserve">: </w:t>
      </w:r>
      <w:r w:rsidR="00233591" w:rsidRPr="00426978">
        <w:rPr>
          <w:rFonts w:ascii="Times New Roman" w:hAnsi="Times New Roman"/>
          <w:sz w:val="24"/>
          <w:szCs w:val="24"/>
        </w:rPr>
        <w:t xml:space="preserve">The regression result </w:t>
      </w:r>
      <w:r w:rsidR="00233591" w:rsidRPr="00FB1DE8">
        <w:rPr>
          <w:rFonts w:ascii="Times New Roman" w:hAnsi="Times New Roman"/>
          <w:sz w:val="24"/>
          <w:szCs w:val="24"/>
        </w:rPr>
        <w:t>also</w:t>
      </w:r>
      <w:r w:rsidR="00233591" w:rsidRPr="00426978">
        <w:rPr>
          <w:rFonts w:ascii="Times New Roman" w:hAnsi="Times New Roman"/>
          <w:sz w:val="24"/>
          <w:szCs w:val="24"/>
        </w:rPr>
        <w:t xml:space="preserve"> indicates a highly statistically significant relationship between the use of forensic accounting techniques and the Investigation of Fraud (IF). </w:t>
      </w:r>
      <w:r w:rsidR="00233591" w:rsidRPr="00426978">
        <w:rPr>
          <w:rFonts w:ascii="Times New Roman" w:hAnsi="Times New Roman"/>
          <w:b/>
          <w:bCs/>
          <w:sz w:val="24"/>
          <w:szCs w:val="24"/>
          <w:bdr w:val="single" w:sz="2" w:space="0" w:color="D9D9E3" w:frame="1"/>
        </w:rPr>
        <w:t>IF = -0.612:</w:t>
      </w:r>
      <w:r w:rsidR="00233591" w:rsidRPr="00426978">
        <w:rPr>
          <w:rFonts w:ascii="Times New Roman" w:hAnsi="Times New Roman"/>
          <w:sz w:val="24"/>
          <w:szCs w:val="24"/>
        </w:rPr>
        <w:t xml:space="preserve"> The coefficient of -0.612 represents the estimated effect of forensic accounting techniques on the Investigation of Fraud (IF). Specifically, for each unit increase in the use of forensic accounting techniques, the Investigation of Fraud (IF) decreases by 0.612 units on average.</w:t>
      </w:r>
      <w:r w:rsidR="00233591" w:rsidRPr="00FB1DE8">
        <w:rPr>
          <w:rFonts w:ascii="Times New Roman" w:hAnsi="Times New Roman"/>
          <w:sz w:val="24"/>
          <w:szCs w:val="24"/>
        </w:rPr>
        <w:t xml:space="preserve"> </w:t>
      </w:r>
      <w:r w:rsidR="00233591" w:rsidRPr="00426978">
        <w:rPr>
          <w:rFonts w:ascii="Times New Roman" w:hAnsi="Times New Roman"/>
          <w:b/>
          <w:bCs/>
          <w:sz w:val="24"/>
          <w:szCs w:val="24"/>
          <w:bdr w:val="single" w:sz="2" w:space="0" w:color="D9D9E3" w:frame="1"/>
        </w:rPr>
        <w:t>t = -18.427:</w:t>
      </w:r>
      <w:r w:rsidR="00233591" w:rsidRPr="00426978">
        <w:rPr>
          <w:rFonts w:ascii="Times New Roman" w:hAnsi="Times New Roman"/>
          <w:sz w:val="24"/>
          <w:szCs w:val="24"/>
        </w:rPr>
        <w:t xml:space="preserve"> The t-value measures how many standard errors the coefficient estimate is away from zero. In this case, the t-value is extremely large in absolute value, indicating a highly significant result.</w:t>
      </w:r>
      <w:r w:rsidR="00233591" w:rsidRPr="00FB1DE8">
        <w:rPr>
          <w:rFonts w:ascii="Times New Roman" w:hAnsi="Times New Roman"/>
          <w:sz w:val="24"/>
          <w:szCs w:val="24"/>
        </w:rPr>
        <w:t xml:space="preserve"> </w:t>
      </w:r>
      <w:r w:rsidR="00233591" w:rsidRPr="00426978">
        <w:rPr>
          <w:rFonts w:ascii="Times New Roman" w:hAnsi="Times New Roman"/>
          <w:b/>
          <w:bCs/>
          <w:sz w:val="24"/>
          <w:szCs w:val="24"/>
          <w:bdr w:val="single" w:sz="2" w:space="0" w:color="D9D9E3" w:frame="1"/>
        </w:rPr>
        <w:t>p = 0.000:</w:t>
      </w:r>
      <w:r w:rsidR="00233591" w:rsidRPr="00426978">
        <w:rPr>
          <w:rFonts w:ascii="Times New Roman" w:hAnsi="Times New Roman"/>
          <w:sz w:val="24"/>
          <w:szCs w:val="24"/>
        </w:rPr>
        <w:t xml:space="preserve"> The p-value is associated with the t-value and measures the probability that the observed relationship between forensic accounting techniques and Investigation of Fraud is due to random chance. A p-value of 0.000 is the lowest possible value and indicates an extremely high level of statistical significance.</w:t>
      </w:r>
    </w:p>
    <w:p w14:paraId="02C16981" w14:textId="6370D582" w:rsidR="00394424" w:rsidRDefault="006143A2" w:rsidP="006143A2">
      <w:pPr>
        <w:pStyle w:val="NoSpacing"/>
        <w:tabs>
          <w:tab w:val="left" w:pos="4154"/>
        </w:tabs>
        <w:spacing w:line="360" w:lineRule="auto"/>
        <w:jc w:val="both"/>
        <w:rPr>
          <w:rFonts w:ascii="Times New Roman" w:hAnsi="Times New Roman"/>
          <w:b/>
          <w:bCs/>
          <w:sz w:val="24"/>
          <w:szCs w:val="24"/>
        </w:rPr>
      </w:pPr>
      <w:r>
        <w:rPr>
          <w:rFonts w:ascii="Times New Roman" w:hAnsi="Times New Roman"/>
          <w:b/>
          <w:bCs/>
          <w:sz w:val="24"/>
          <w:szCs w:val="24"/>
        </w:rPr>
        <w:tab/>
      </w:r>
    </w:p>
    <w:p w14:paraId="56AB2EEC" w14:textId="735AD793" w:rsidR="00233591" w:rsidRPr="0099409F" w:rsidRDefault="00233591" w:rsidP="00F06720">
      <w:pPr>
        <w:pStyle w:val="NoSpacing"/>
        <w:spacing w:line="360" w:lineRule="auto"/>
        <w:jc w:val="both"/>
        <w:rPr>
          <w:rFonts w:ascii="Times New Roman" w:hAnsi="Times New Roman"/>
          <w:sz w:val="24"/>
          <w:szCs w:val="24"/>
        </w:rPr>
      </w:pPr>
      <w:r w:rsidRPr="00426978">
        <w:rPr>
          <w:rFonts w:ascii="Times New Roman" w:hAnsi="Times New Roman"/>
          <w:b/>
          <w:bCs/>
          <w:sz w:val="24"/>
          <w:szCs w:val="24"/>
        </w:rPr>
        <w:t>Decision Criteria:</w:t>
      </w:r>
      <w:r w:rsidRPr="00FB1DE8">
        <w:rPr>
          <w:rFonts w:ascii="Times New Roman" w:hAnsi="Times New Roman"/>
          <w:sz w:val="24"/>
          <w:szCs w:val="24"/>
        </w:rPr>
        <w:t xml:space="preserve"> </w:t>
      </w:r>
      <w:r w:rsidRPr="00426978">
        <w:rPr>
          <w:rFonts w:ascii="Times New Roman" w:hAnsi="Times New Roman"/>
          <w:sz w:val="24"/>
          <w:szCs w:val="24"/>
        </w:rPr>
        <w:t>If the p-value is less than the chosen significance level (commonly 0.05), you would typically reject the null hypothesis.</w:t>
      </w:r>
      <w:r w:rsidRPr="00FB1DE8">
        <w:rPr>
          <w:rFonts w:ascii="Times New Roman" w:hAnsi="Times New Roman"/>
          <w:sz w:val="24"/>
          <w:szCs w:val="24"/>
        </w:rPr>
        <w:t xml:space="preserve"> </w:t>
      </w:r>
      <w:r w:rsidRPr="00426978">
        <w:rPr>
          <w:rFonts w:ascii="Times New Roman" w:hAnsi="Times New Roman"/>
          <w:sz w:val="24"/>
          <w:szCs w:val="24"/>
        </w:rPr>
        <w:t>If the t-value is very large in absolute terms, it suggests an extremely significant result.</w:t>
      </w:r>
      <w:r w:rsidRPr="00FB1DE8">
        <w:rPr>
          <w:rFonts w:ascii="Times New Roman" w:hAnsi="Times New Roman"/>
          <w:sz w:val="24"/>
          <w:szCs w:val="24"/>
        </w:rPr>
        <w:t xml:space="preserve"> </w:t>
      </w:r>
      <w:r w:rsidRPr="00426978">
        <w:rPr>
          <w:rFonts w:ascii="Times New Roman" w:hAnsi="Times New Roman"/>
          <w:sz w:val="24"/>
          <w:szCs w:val="24"/>
        </w:rPr>
        <w:t>The p-value of 0.000 is far less than 0.05 (the common significance level), indicating an extremely high level of statistical significance.</w:t>
      </w:r>
      <w:r w:rsidRPr="00FB1DE8">
        <w:rPr>
          <w:rFonts w:ascii="Times New Roman" w:hAnsi="Times New Roman"/>
          <w:sz w:val="24"/>
          <w:szCs w:val="24"/>
        </w:rPr>
        <w:t xml:space="preserve"> </w:t>
      </w:r>
      <w:r w:rsidRPr="00426978">
        <w:rPr>
          <w:rFonts w:ascii="Times New Roman" w:hAnsi="Times New Roman"/>
          <w:sz w:val="24"/>
          <w:szCs w:val="24"/>
        </w:rPr>
        <w:t>The t-value of -18.427 is extremely large in absolute terms, confirming an exceptionally significant result.</w:t>
      </w:r>
      <w:r w:rsidR="0099409F">
        <w:rPr>
          <w:rFonts w:ascii="Times New Roman" w:hAnsi="Times New Roman"/>
          <w:sz w:val="24"/>
          <w:szCs w:val="24"/>
        </w:rPr>
        <w:t xml:space="preserve"> </w:t>
      </w:r>
      <w:r w:rsidRPr="00426978">
        <w:rPr>
          <w:rFonts w:ascii="Times New Roman" w:hAnsi="Times New Roman"/>
          <w:sz w:val="24"/>
          <w:szCs w:val="24"/>
        </w:rPr>
        <w:t xml:space="preserve">Therefore, </w:t>
      </w:r>
      <w:r w:rsidRPr="00FB1DE8">
        <w:rPr>
          <w:rFonts w:ascii="Times New Roman" w:hAnsi="Times New Roman"/>
          <w:sz w:val="24"/>
          <w:szCs w:val="24"/>
        </w:rPr>
        <w:t>the</w:t>
      </w:r>
      <w:r w:rsidRPr="00426978">
        <w:rPr>
          <w:rFonts w:ascii="Times New Roman" w:hAnsi="Times New Roman"/>
          <w:sz w:val="24"/>
          <w:szCs w:val="24"/>
        </w:rPr>
        <w:t xml:space="preserve"> strongly reject the null hypothesis in favor of the alternative hypothesis. There is overwhelming evidence to suggest that there is a highly statistically significant negative relationship between the use of forensic accounting techniques and the Investigation of Fraud. In other words, as forensic accounting techniques increase, the level of Investigation of Fraud tends to decrease significantly.</w:t>
      </w:r>
    </w:p>
    <w:p w14:paraId="69BF0F88" w14:textId="15E07692" w:rsidR="009D582D" w:rsidRDefault="00A832CD" w:rsidP="003A36A7">
      <w:pPr>
        <w:pStyle w:val="NoSpacing"/>
        <w:spacing w:line="360" w:lineRule="auto"/>
        <w:rPr>
          <w:rFonts w:ascii="Times New Roman" w:eastAsia="DengXian" w:hAnsi="Times New Roman"/>
          <w:sz w:val="24"/>
          <w:szCs w:val="24"/>
        </w:rPr>
      </w:pPr>
      <w:r>
        <w:rPr>
          <w:rFonts w:ascii="Times New Roman" w:eastAsia="DengXian" w:hAnsi="Times New Roman"/>
          <w:sz w:val="24"/>
          <w:szCs w:val="24"/>
        </w:rPr>
        <w:t xml:space="preserve">   </w:t>
      </w:r>
    </w:p>
    <w:p w14:paraId="12E57C3E" w14:textId="08DC0535" w:rsidR="00D531F1" w:rsidRDefault="00A832CD" w:rsidP="00D531F1">
      <w:pPr>
        <w:pStyle w:val="NoSpacing"/>
        <w:spacing w:line="360" w:lineRule="auto"/>
        <w:jc w:val="both"/>
        <w:rPr>
          <w:rFonts w:ascii="Times New Roman" w:hAnsi="Times New Roman"/>
          <w:sz w:val="24"/>
          <w:szCs w:val="24"/>
        </w:rPr>
      </w:pPr>
      <w:r>
        <w:rPr>
          <w:rFonts w:ascii="Times New Roman" w:eastAsia="DengXian" w:hAnsi="Times New Roman"/>
          <w:sz w:val="24"/>
          <w:szCs w:val="24"/>
        </w:rPr>
        <w:t>ADE=2.14</w:t>
      </w:r>
      <w:r w:rsidR="00DA3074">
        <w:rPr>
          <w:rFonts w:ascii="Times New Roman" w:eastAsia="DengXian" w:hAnsi="Times New Roman"/>
          <w:sz w:val="24"/>
          <w:szCs w:val="24"/>
        </w:rPr>
        <w:t>0, t=36.776. p=.000</w:t>
      </w:r>
      <w:r w:rsidR="00D531F1">
        <w:rPr>
          <w:rFonts w:ascii="Times New Roman" w:eastAsia="DengXian" w:hAnsi="Times New Roman"/>
          <w:sz w:val="24"/>
          <w:szCs w:val="24"/>
        </w:rPr>
        <w:t xml:space="preserve">: </w:t>
      </w:r>
      <w:r w:rsidR="00A85E86" w:rsidRPr="00426978">
        <w:rPr>
          <w:rFonts w:ascii="Times New Roman" w:hAnsi="Times New Roman"/>
          <w:sz w:val="24"/>
          <w:szCs w:val="24"/>
        </w:rPr>
        <w:t>The regression res</w:t>
      </w:r>
      <w:r w:rsidR="00A85E86" w:rsidRPr="00FB1DE8">
        <w:rPr>
          <w:rFonts w:ascii="Times New Roman" w:hAnsi="Times New Roman"/>
          <w:sz w:val="24"/>
          <w:szCs w:val="24"/>
        </w:rPr>
        <w:t>ult</w:t>
      </w:r>
      <w:r w:rsidR="00A85E86" w:rsidRPr="00426978">
        <w:rPr>
          <w:rFonts w:ascii="Times New Roman" w:hAnsi="Times New Roman"/>
          <w:sz w:val="24"/>
          <w:szCs w:val="24"/>
        </w:rPr>
        <w:t xml:space="preserve"> indicates a highly statistically significant relationship between the use of forensic accounting techniques and the Accounting and Digital Environment</w:t>
      </w:r>
      <w:r w:rsidR="00A85E86" w:rsidRPr="00FB1DE8">
        <w:rPr>
          <w:rFonts w:ascii="Times New Roman" w:hAnsi="Times New Roman"/>
          <w:sz w:val="24"/>
          <w:szCs w:val="24"/>
        </w:rPr>
        <w:t xml:space="preserve">, </w:t>
      </w:r>
      <w:r w:rsidR="00A85E86" w:rsidRPr="00426978">
        <w:rPr>
          <w:rFonts w:ascii="Times New Roman" w:hAnsi="Times New Roman"/>
          <w:b/>
          <w:bCs/>
          <w:sz w:val="24"/>
          <w:szCs w:val="24"/>
          <w:bdr w:val="single" w:sz="2" w:space="0" w:color="D9D9E3" w:frame="1"/>
        </w:rPr>
        <w:t>ADE = 2.140:</w:t>
      </w:r>
      <w:r w:rsidR="00A85E86" w:rsidRPr="00426978">
        <w:rPr>
          <w:rFonts w:ascii="Times New Roman" w:hAnsi="Times New Roman"/>
          <w:sz w:val="24"/>
          <w:szCs w:val="24"/>
        </w:rPr>
        <w:t xml:space="preserve"> The coefficient of 2.140 represents the estimated effect of forensic accounting techniques on the Accounting and Digital Environment (ADE). Specifically, for each unit increase in the use of forensic accounting techniques, the Accounting and Digital Environment (ADE) increases by 2.140 units on average.</w:t>
      </w:r>
      <w:r w:rsidR="00A85E86" w:rsidRPr="00FB1DE8">
        <w:rPr>
          <w:rFonts w:ascii="Times New Roman" w:hAnsi="Times New Roman"/>
          <w:sz w:val="24"/>
          <w:szCs w:val="24"/>
        </w:rPr>
        <w:t xml:space="preserve"> </w:t>
      </w:r>
      <w:r w:rsidR="00A85E86" w:rsidRPr="00426978">
        <w:rPr>
          <w:rFonts w:ascii="Times New Roman" w:hAnsi="Times New Roman"/>
          <w:b/>
          <w:bCs/>
          <w:sz w:val="24"/>
          <w:szCs w:val="24"/>
          <w:bdr w:val="single" w:sz="2" w:space="0" w:color="D9D9E3" w:frame="1"/>
        </w:rPr>
        <w:t>t = 36.776:</w:t>
      </w:r>
      <w:r w:rsidR="00A85E86" w:rsidRPr="00426978">
        <w:rPr>
          <w:rFonts w:ascii="Times New Roman" w:hAnsi="Times New Roman"/>
          <w:sz w:val="24"/>
          <w:szCs w:val="24"/>
        </w:rPr>
        <w:t xml:space="preserve"> The t-value measures how many standard errors the coefficient estimate is away from zero. In this case, the t-value is extremely large in absolute value, indicating an extremely significant result.</w:t>
      </w:r>
      <w:r w:rsidR="00A85E86" w:rsidRPr="00FB1DE8">
        <w:rPr>
          <w:rFonts w:ascii="Times New Roman" w:hAnsi="Times New Roman"/>
          <w:sz w:val="24"/>
          <w:szCs w:val="24"/>
        </w:rPr>
        <w:t xml:space="preserve"> </w:t>
      </w:r>
      <w:r w:rsidR="00A85E86" w:rsidRPr="00426978">
        <w:rPr>
          <w:rFonts w:ascii="Times New Roman" w:hAnsi="Times New Roman"/>
          <w:b/>
          <w:bCs/>
          <w:sz w:val="24"/>
          <w:szCs w:val="24"/>
          <w:bdr w:val="single" w:sz="2" w:space="0" w:color="D9D9E3" w:frame="1"/>
        </w:rPr>
        <w:t>p = 0.000:</w:t>
      </w:r>
      <w:r w:rsidR="00A85E86" w:rsidRPr="00426978">
        <w:rPr>
          <w:rFonts w:ascii="Times New Roman" w:hAnsi="Times New Roman"/>
          <w:sz w:val="24"/>
          <w:szCs w:val="24"/>
        </w:rPr>
        <w:t xml:space="preserve"> The p-value is associated with the t-value and measures the probability that the observed relationship between forensic accounting techniques and the Accounting and Digital Environment is due to random chance. A p-value of 0.000 is the lowest possible value and indicates an extremely high level of statistical significance.</w:t>
      </w:r>
      <w:r w:rsidR="00A85E86" w:rsidRPr="00FB1DE8">
        <w:rPr>
          <w:rFonts w:ascii="Times New Roman" w:hAnsi="Times New Roman"/>
          <w:sz w:val="24"/>
          <w:szCs w:val="24"/>
        </w:rPr>
        <w:t xml:space="preserve"> </w:t>
      </w:r>
    </w:p>
    <w:p w14:paraId="7BC07BF2" w14:textId="77777777" w:rsidR="00D531F1" w:rsidRDefault="00D531F1" w:rsidP="00D531F1">
      <w:pPr>
        <w:pStyle w:val="NoSpacing"/>
        <w:spacing w:line="360" w:lineRule="auto"/>
        <w:jc w:val="both"/>
        <w:rPr>
          <w:rFonts w:ascii="Times New Roman" w:hAnsi="Times New Roman"/>
          <w:sz w:val="24"/>
          <w:szCs w:val="24"/>
        </w:rPr>
      </w:pPr>
    </w:p>
    <w:p w14:paraId="79EC3D51" w14:textId="27CCA452" w:rsidR="00A85E86" w:rsidRPr="00B21068" w:rsidRDefault="00A85E86" w:rsidP="009F2773">
      <w:pPr>
        <w:pStyle w:val="NoSpacing"/>
        <w:spacing w:line="360" w:lineRule="auto"/>
        <w:jc w:val="both"/>
        <w:rPr>
          <w:rFonts w:ascii="Times New Roman" w:hAnsi="Times New Roman"/>
          <w:sz w:val="24"/>
          <w:szCs w:val="24"/>
        </w:rPr>
      </w:pPr>
      <w:r w:rsidRPr="00426978">
        <w:rPr>
          <w:rFonts w:ascii="Times New Roman" w:hAnsi="Times New Roman"/>
          <w:b/>
          <w:bCs/>
          <w:sz w:val="24"/>
          <w:szCs w:val="24"/>
        </w:rPr>
        <w:t>Decision Criteria:</w:t>
      </w:r>
      <w:r w:rsidRPr="00FB1DE8">
        <w:rPr>
          <w:rFonts w:ascii="Times New Roman" w:hAnsi="Times New Roman"/>
          <w:sz w:val="24"/>
          <w:szCs w:val="24"/>
        </w:rPr>
        <w:t xml:space="preserve"> </w:t>
      </w:r>
      <w:r w:rsidRPr="00426978">
        <w:rPr>
          <w:rFonts w:ascii="Times New Roman" w:hAnsi="Times New Roman"/>
          <w:sz w:val="24"/>
          <w:szCs w:val="24"/>
        </w:rPr>
        <w:t>If the p-value is less than the chosen significance level (commonly 0.05), you would typically reject the null hypothesis.</w:t>
      </w:r>
      <w:r w:rsidRPr="00FB1DE8">
        <w:rPr>
          <w:rFonts w:ascii="Times New Roman" w:hAnsi="Times New Roman"/>
          <w:sz w:val="24"/>
          <w:szCs w:val="24"/>
        </w:rPr>
        <w:t xml:space="preserve"> </w:t>
      </w:r>
      <w:r w:rsidRPr="00426978">
        <w:rPr>
          <w:rFonts w:ascii="Times New Roman" w:hAnsi="Times New Roman"/>
          <w:sz w:val="24"/>
          <w:szCs w:val="24"/>
        </w:rPr>
        <w:t>If the t-value is very large in absolute terms, it suggests an extremely significant result.</w:t>
      </w:r>
      <w:r w:rsidRPr="00FB1DE8">
        <w:rPr>
          <w:rFonts w:ascii="Times New Roman" w:hAnsi="Times New Roman"/>
          <w:sz w:val="24"/>
          <w:szCs w:val="24"/>
        </w:rPr>
        <w:t xml:space="preserve"> </w:t>
      </w:r>
      <w:r w:rsidRPr="00426978">
        <w:rPr>
          <w:rFonts w:ascii="Times New Roman" w:hAnsi="Times New Roman"/>
          <w:sz w:val="24"/>
          <w:szCs w:val="24"/>
        </w:rPr>
        <w:t>The p-value of 0.000 is far less than 0.05 (the common significance level), indicating an extremely high level of statistical significance.</w:t>
      </w:r>
      <w:r w:rsidRPr="00FB1DE8">
        <w:rPr>
          <w:rFonts w:ascii="Times New Roman" w:hAnsi="Times New Roman"/>
          <w:sz w:val="24"/>
          <w:szCs w:val="24"/>
        </w:rPr>
        <w:t xml:space="preserve"> </w:t>
      </w:r>
      <w:r w:rsidRPr="00426978">
        <w:rPr>
          <w:rFonts w:ascii="Times New Roman" w:hAnsi="Times New Roman"/>
          <w:sz w:val="24"/>
          <w:szCs w:val="24"/>
        </w:rPr>
        <w:t>The t-value of 36.776 is extremely large in absolute terms, confirming an exceptionally significant result.</w:t>
      </w:r>
      <w:r w:rsidR="00D531F1">
        <w:rPr>
          <w:rFonts w:ascii="Times New Roman" w:hAnsi="Times New Roman"/>
          <w:sz w:val="24"/>
          <w:szCs w:val="24"/>
        </w:rPr>
        <w:t xml:space="preserve"> </w:t>
      </w:r>
      <w:r w:rsidRPr="00B21068">
        <w:rPr>
          <w:rFonts w:ascii="Times New Roman" w:hAnsi="Times New Roman"/>
          <w:sz w:val="24"/>
          <w:szCs w:val="24"/>
        </w:rPr>
        <w:t>The study decisively rejects the null hypothesis in favor of the alternative. Strong evidence supports a highly significant positive correlation between employing forensic accounting techniques and enhancing the Accounting and Digital Environment. To put it simply, as forensic accounting techniques increase, the Accounting and Digital Environment significantly improves.</w:t>
      </w:r>
    </w:p>
    <w:p w14:paraId="7B870502" w14:textId="77777777" w:rsidR="00A85E86" w:rsidRDefault="00A85E86" w:rsidP="003A36A7">
      <w:pPr>
        <w:pStyle w:val="NoSpacing"/>
        <w:spacing w:line="360" w:lineRule="auto"/>
        <w:rPr>
          <w:rFonts w:ascii="Times New Roman" w:eastAsia="DengXian" w:hAnsi="Times New Roman"/>
          <w:sz w:val="24"/>
          <w:szCs w:val="24"/>
        </w:rPr>
      </w:pPr>
    </w:p>
    <w:p w14:paraId="3727E64D" w14:textId="77777777" w:rsidR="0099409F" w:rsidRDefault="00105132" w:rsidP="00390902">
      <w:pPr>
        <w:pStyle w:val="NoSpacing"/>
        <w:spacing w:line="360" w:lineRule="auto"/>
        <w:jc w:val="both"/>
        <w:rPr>
          <w:rFonts w:ascii="Times New Roman" w:hAnsi="Times New Roman"/>
          <w:sz w:val="24"/>
          <w:szCs w:val="24"/>
        </w:rPr>
      </w:pPr>
      <w:r>
        <w:rPr>
          <w:rFonts w:ascii="Times New Roman" w:eastAsia="DengXian" w:hAnsi="Times New Roman"/>
          <w:sz w:val="24"/>
          <w:szCs w:val="24"/>
        </w:rPr>
        <w:t>SCCP</w:t>
      </w:r>
      <w:r w:rsidR="000B5495">
        <w:rPr>
          <w:rFonts w:ascii="Times New Roman" w:eastAsia="DengXian" w:hAnsi="Times New Roman"/>
          <w:sz w:val="24"/>
          <w:szCs w:val="24"/>
        </w:rPr>
        <w:t>=-.215, t=-.097, p=</w:t>
      </w:r>
      <w:r w:rsidR="003D24A2">
        <w:rPr>
          <w:rFonts w:ascii="Times New Roman" w:eastAsia="DengXian" w:hAnsi="Times New Roman"/>
          <w:sz w:val="24"/>
          <w:szCs w:val="24"/>
        </w:rPr>
        <w:t>.002</w:t>
      </w:r>
      <w:r w:rsidR="00847F65">
        <w:rPr>
          <w:rFonts w:ascii="Times New Roman" w:eastAsia="DengXian" w:hAnsi="Times New Roman"/>
          <w:sz w:val="24"/>
          <w:szCs w:val="24"/>
        </w:rPr>
        <w:t xml:space="preserve">: </w:t>
      </w:r>
      <w:r w:rsidR="009C32DC" w:rsidRPr="00426978">
        <w:rPr>
          <w:rFonts w:ascii="Times New Roman" w:hAnsi="Times New Roman"/>
          <w:sz w:val="24"/>
          <w:szCs w:val="24"/>
        </w:rPr>
        <w:t xml:space="preserve">The regression result you provided suggests a statistically significant relationship between the use of forensic accounting techniques and Surprise Cash Count Practices (SCCP). </w:t>
      </w:r>
      <w:r w:rsidR="009C32DC" w:rsidRPr="00426978">
        <w:rPr>
          <w:rFonts w:ascii="Times New Roman" w:hAnsi="Times New Roman"/>
          <w:b/>
          <w:bCs/>
          <w:sz w:val="24"/>
          <w:szCs w:val="24"/>
          <w:bdr w:val="single" w:sz="2" w:space="0" w:color="D9D9E3" w:frame="1"/>
        </w:rPr>
        <w:t>SCCP = -0.215:</w:t>
      </w:r>
      <w:r w:rsidR="009C32DC" w:rsidRPr="00426978">
        <w:rPr>
          <w:rFonts w:ascii="Times New Roman" w:hAnsi="Times New Roman"/>
          <w:sz w:val="24"/>
          <w:szCs w:val="24"/>
        </w:rPr>
        <w:t xml:space="preserve"> The coefficient of -0.215 represents the estimated effect of forensic accounting techniques on Surprise Cash Count Practices (SCCP). Specifically, for each unit increase in the use of forensic accounting techniques, Surprise Cash Count Practices (SCCP) decreases by 0.215 units on average.</w:t>
      </w:r>
      <w:r w:rsidR="009C32DC" w:rsidRPr="00FB1DE8">
        <w:rPr>
          <w:rFonts w:ascii="Times New Roman" w:hAnsi="Times New Roman"/>
          <w:sz w:val="24"/>
          <w:szCs w:val="24"/>
        </w:rPr>
        <w:t xml:space="preserve"> </w:t>
      </w:r>
      <w:r w:rsidR="009C32DC" w:rsidRPr="00426978">
        <w:rPr>
          <w:rFonts w:ascii="Times New Roman" w:hAnsi="Times New Roman"/>
          <w:b/>
          <w:bCs/>
          <w:sz w:val="24"/>
          <w:szCs w:val="24"/>
          <w:bdr w:val="single" w:sz="2" w:space="0" w:color="D9D9E3" w:frame="1"/>
        </w:rPr>
        <w:t>t = -0.097:</w:t>
      </w:r>
      <w:r w:rsidR="009C32DC" w:rsidRPr="00426978">
        <w:rPr>
          <w:rFonts w:ascii="Times New Roman" w:hAnsi="Times New Roman"/>
          <w:sz w:val="24"/>
          <w:szCs w:val="24"/>
        </w:rPr>
        <w:t xml:space="preserve"> The t-value measures how many standard errors the coefficient estimate is away from zero. In this case, the t-value is relatively small in absolute value.</w:t>
      </w:r>
      <w:r w:rsidR="009C32DC" w:rsidRPr="00FB1DE8">
        <w:rPr>
          <w:rFonts w:ascii="Times New Roman" w:hAnsi="Times New Roman"/>
          <w:sz w:val="24"/>
          <w:szCs w:val="24"/>
        </w:rPr>
        <w:t xml:space="preserve"> </w:t>
      </w:r>
      <w:r w:rsidR="009C32DC" w:rsidRPr="00426978">
        <w:rPr>
          <w:rFonts w:ascii="Times New Roman" w:hAnsi="Times New Roman"/>
          <w:b/>
          <w:bCs/>
          <w:sz w:val="24"/>
          <w:szCs w:val="24"/>
          <w:bdr w:val="single" w:sz="2" w:space="0" w:color="D9D9E3" w:frame="1"/>
        </w:rPr>
        <w:t>p = 0.002:</w:t>
      </w:r>
      <w:r w:rsidR="009C32DC" w:rsidRPr="00426978">
        <w:rPr>
          <w:rFonts w:ascii="Times New Roman" w:hAnsi="Times New Roman"/>
          <w:sz w:val="24"/>
          <w:szCs w:val="24"/>
        </w:rPr>
        <w:t xml:space="preserve"> The p-value is associated with the t-value and measures the probability that the observed relationship between forensic accounting techniques and Surprise Cash Count Practices is due to random chance. A p-value of 0.002 is less than the common significance level of 0.05, indicating statistical significance.</w:t>
      </w:r>
      <w:r w:rsidR="00F16132">
        <w:rPr>
          <w:rFonts w:ascii="Times New Roman" w:hAnsi="Times New Roman"/>
          <w:sz w:val="24"/>
          <w:szCs w:val="24"/>
        </w:rPr>
        <w:t xml:space="preserve"> </w:t>
      </w:r>
    </w:p>
    <w:p w14:paraId="56E9E2A5" w14:textId="10BAF2DD" w:rsidR="00390902" w:rsidRDefault="00390902" w:rsidP="00390902">
      <w:pPr>
        <w:pStyle w:val="NoSpacing"/>
        <w:spacing w:line="360" w:lineRule="auto"/>
        <w:jc w:val="both"/>
        <w:rPr>
          <w:rFonts w:ascii="Times New Roman" w:hAnsi="Times New Roman"/>
          <w:sz w:val="24"/>
          <w:szCs w:val="24"/>
        </w:rPr>
      </w:pPr>
      <w:r w:rsidRPr="00390902">
        <w:rPr>
          <w:rFonts w:ascii="Times New Roman" w:hAnsi="Times New Roman"/>
          <w:sz w:val="24"/>
          <w:szCs w:val="24"/>
        </w:rPr>
        <w:t>Adjusted R</w:t>
      </w:r>
      <w:r w:rsidRPr="00390902">
        <w:rPr>
          <w:rFonts w:ascii="Times New Roman" w:hAnsi="Times New Roman"/>
          <w:sz w:val="24"/>
          <w:szCs w:val="24"/>
          <w:vertAlign w:val="superscript"/>
        </w:rPr>
        <w:t>2</w:t>
      </w:r>
      <w:r w:rsidRPr="00390902">
        <w:rPr>
          <w:rFonts w:ascii="Times New Roman" w:hAnsi="Times New Roman"/>
          <w:sz w:val="24"/>
          <w:szCs w:val="24"/>
        </w:rPr>
        <w:t>=</w:t>
      </w:r>
      <w:r>
        <w:rPr>
          <w:rFonts w:ascii="Times New Roman" w:hAnsi="Times New Roman"/>
          <w:sz w:val="24"/>
          <w:szCs w:val="24"/>
        </w:rPr>
        <w:t xml:space="preserve"> 0</w:t>
      </w:r>
      <w:r w:rsidRPr="00390902">
        <w:rPr>
          <w:rFonts w:ascii="Times New Roman" w:hAnsi="Times New Roman"/>
          <w:sz w:val="24"/>
          <w:szCs w:val="24"/>
        </w:rPr>
        <w:t>.793</w:t>
      </w:r>
      <w:r>
        <w:rPr>
          <w:rFonts w:ascii="Times New Roman" w:hAnsi="Times New Roman"/>
          <w:sz w:val="24"/>
          <w:szCs w:val="24"/>
        </w:rPr>
        <w:t xml:space="preserve"> </w:t>
      </w:r>
      <w:r w:rsidRPr="00390902">
        <w:rPr>
          <w:rFonts w:ascii="Times New Roman" w:hAnsi="Times New Roman"/>
          <w:sz w:val="24"/>
          <w:szCs w:val="24"/>
        </w:rPr>
        <w:t xml:space="preserve">shows that the composition of forensic accounting techniques in </w:t>
      </w:r>
      <w:r>
        <w:rPr>
          <w:rFonts w:ascii="Times New Roman" w:hAnsi="Times New Roman"/>
          <w:sz w:val="24"/>
          <w:szCs w:val="24"/>
        </w:rPr>
        <w:t xml:space="preserve">fund </w:t>
      </w:r>
      <w:r w:rsidR="00965DA5">
        <w:rPr>
          <w:rFonts w:ascii="Times New Roman" w:hAnsi="Times New Roman"/>
          <w:sz w:val="24"/>
          <w:szCs w:val="24"/>
        </w:rPr>
        <w:t>misappropriation</w:t>
      </w:r>
      <w:r w:rsidRPr="00390902">
        <w:rPr>
          <w:rFonts w:ascii="Times New Roman" w:hAnsi="Times New Roman"/>
          <w:sz w:val="24"/>
          <w:szCs w:val="24"/>
        </w:rPr>
        <w:t xml:space="preserve"> is </w:t>
      </w:r>
      <w:r>
        <w:rPr>
          <w:rFonts w:ascii="Times New Roman" w:hAnsi="Times New Roman"/>
          <w:sz w:val="24"/>
          <w:szCs w:val="24"/>
        </w:rPr>
        <w:t>79.3</w:t>
      </w:r>
      <w:r w:rsidRPr="00390902">
        <w:rPr>
          <w:rFonts w:ascii="Times New Roman" w:hAnsi="Times New Roman"/>
          <w:sz w:val="24"/>
          <w:szCs w:val="24"/>
        </w:rPr>
        <w:t xml:space="preserve">%, while the balance of </w:t>
      </w:r>
      <w:r>
        <w:rPr>
          <w:rFonts w:ascii="Times New Roman" w:hAnsi="Times New Roman"/>
          <w:sz w:val="24"/>
          <w:szCs w:val="24"/>
        </w:rPr>
        <w:t>21.7</w:t>
      </w:r>
      <w:r w:rsidRPr="00390902">
        <w:rPr>
          <w:rFonts w:ascii="Times New Roman" w:hAnsi="Times New Roman"/>
          <w:sz w:val="24"/>
          <w:szCs w:val="24"/>
        </w:rPr>
        <w:t xml:space="preserve">% represent </w:t>
      </w:r>
      <w:r>
        <w:rPr>
          <w:rFonts w:ascii="Times New Roman" w:hAnsi="Times New Roman"/>
          <w:sz w:val="24"/>
          <w:szCs w:val="24"/>
        </w:rPr>
        <w:t xml:space="preserve">the </w:t>
      </w:r>
      <w:r w:rsidRPr="00390902">
        <w:rPr>
          <w:rFonts w:ascii="Times New Roman" w:hAnsi="Times New Roman"/>
          <w:sz w:val="24"/>
          <w:szCs w:val="24"/>
        </w:rPr>
        <w:t>value not considered in this study.</w:t>
      </w:r>
    </w:p>
    <w:p w14:paraId="38D3FF24" w14:textId="77777777" w:rsidR="003A7626" w:rsidRDefault="003A7626" w:rsidP="009F2773">
      <w:pPr>
        <w:pStyle w:val="NoSpacing"/>
        <w:spacing w:line="360" w:lineRule="auto"/>
        <w:rPr>
          <w:rFonts w:ascii="Times New Roman" w:hAnsi="Times New Roman"/>
          <w:b/>
          <w:bCs/>
          <w:sz w:val="24"/>
          <w:szCs w:val="24"/>
        </w:rPr>
      </w:pPr>
    </w:p>
    <w:p w14:paraId="6A648C26" w14:textId="3315AA2A" w:rsidR="00FE7438" w:rsidRDefault="009C32DC" w:rsidP="00553F9F">
      <w:pPr>
        <w:pStyle w:val="NoSpacing"/>
        <w:spacing w:line="360" w:lineRule="auto"/>
        <w:jc w:val="both"/>
        <w:rPr>
          <w:rFonts w:ascii="Times New Roman" w:hAnsi="Times New Roman"/>
          <w:sz w:val="24"/>
          <w:szCs w:val="24"/>
        </w:rPr>
      </w:pPr>
      <w:r w:rsidRPr="00426978">
        <w:rPr>
          <w:rFonts w:ascii="Times New Roman" w:hAnsi="Times New Roman"/>
          <w:b/>
          <w:bCs/>
          <w:sz w:val="24"/>
          <w:szCs w:val="24"/>
        </w:rPr>
        <w:t>Decision Criteria:</w:t>
      </w:r>
      <w:r w:rsidRPr="00FB1DE8">
        <w:rPr>
          <w:rFonts w:ascii="Times New Roman" w:hAnsi="Times New Roman"/>
          <w:sz w:val="24"/>
          <w:szCs w:val="24"/>
        </w:rPr>
        <w:t xml:space="preserve"> </w:t>
      </w:r>
      <w:r w:rsidRPr="00426978">
        <w:rPr>
          <w:rFonts w:ascii="Times New Roman" w:hAnsi="Times New Roman"/>
          <w:sz w:val="24"/>
          <w:szCs w:val="24"/>
        </w:rPr>
        <w:t>If the p-value is less than the chosen significance level (commonly 0.05), you would typically reject the null hypothesis.</w:t>
      </w:r>
      <w:r w:rsidRPr="00FB1DE8">
        <w:rPr>
          <w:rFonts w:ascii="Times New Roman" w:hAnsi="Times New Roman"/>
          <w:sz w:val="24"/>
          <w:szCs w:val="24"/>
        </w:rPr>
        <w:t xml:space="preserve"> </w:t>
      </w:r>
      <w:r w:rsidRPr="00426978">
        <w:rPr>
          <w:rFonts w:ascii="Times New Roman" w:hAnsi="Times New Roman"/>
          <w:sz w:val="24"/>
          <w:szCs w:val="24"/>
        </w:rPr>
        <w:t>If the t-value is large in absolute terms, it suggests a significant result.</w:t>
      </w:r>
      <w:r w:rsidR="00763C87">
        <w:rPr>
          <w:rFonts w:ascii="Times New Roman" w:hAnsi="Times New Roman"/>
          <w:sz w:val="24"/>
          <w:szCs w:val="24"/>
        </w:rPr>
        <w:t xml:space="preserve"> </w:t>
      </w:r>
      <w:r w:rsidRPr="00426978">
        <w:rPr>
          <w:rFonts w:ascii="Times New Roman" w:hAnsi="Times New Roman"/>
          <w:sz w:val="24"/>
          <w:szCs w:val="24"/>
        </w:rPr>
        <w:t>In this case</w:t>
      </w:r>
      <w:r w:rsidR="00763C87">
        <w:rPr>
          <w:rFonts w:ascii="Times New Roman" w:hAnsi="Times New Roman"/>
          <w:sz w:val="24"/>
          <w:szCs w:val="24"/>
        </w:rPr>
        <w:t>, t</w:t>
      </w:r>
      <w:r w:rsidRPr="00426978">
        <w:rPr>
          <w:rFonts w:ascii="Times New Roman" w:hAnsi="Times New Roman"/>
          <w:sz w:val="24"/>
          <w:szCs w:val="24"/>
        </w:rPr>
        <w:t>he p-value of 0.002 is less than 0.05, indicating statistical significance.</w:t>
      </w:r>
      <w:r w:rsidRPr="00FB1DE8">
        <w:rPr>
          <w:rFonts w:ascii="Times New Roman" w:hAnsi="Times New Roman"/>
          <w:sz w:val="24"/>
          <w:szCs w:val="24"/>
        </w:rPr>
        <w:t xml:space="preserve"> </w:t>
      </w:r>
      <w:r w:rsidRPr="00426978">
        <w:rPr>
          <w:rFonts w:ascii="Times New Roman" w:hAnsi="Times New Roman"/>
          <w:sz w:val="24"/>
          <w:szCs w:val="24"/>
        </w:rPr>
        <w:t>The t-value of -0.097 is relatively small in absolute terms.</w:t>
      </w:r>
      <w:r w:rsidR="00847F65">
        <w:rPr>
          <w:rFonts w:ascii="Times New Roman" w:hAnsi="Times New Roman"/>
          <w:sz w:val="24"/>
          <w:szCs w:val="24"/>
        </w:rPr>
        <w:t xml:space="preserve"> </w:t>
      </w:r>
      <w:r w:rsidRPr="00426978">
        <w:rPr>
          <w:rFonts w:ascii="Times New Roman" w:hAnsi="Times New Roman"/>
          <w:sz w:val="24"/>
          <w:szCs w:val="24"/>
        </w:rPr>
        <w:t xml:space="preserve">Therefore, </w:t>
      </w:r>
      <w:r w:rsidRPr="00FB1DE8">
        <w:rPr>
          <w:rFonts w:ascii="Times New Roman" w:hAnsi="Times New Roman"/>
          <w:sz w:val="24"/>
          <w:szCs w:val="24"/>
        </w:rPr>
        <w:t>the study</w:t>
      </w:r>
      <w:r w:rsidRPr="00426978">
        <w:rPr>
          <w:rFonts w:ascii="Times New Roman" w:hAnsi="Times New Roman"/>
          <w:sz w:val="24"/>
          <w:szCs w:val="24"/>
        </w:rPr>
        <w:t xml:space="preserve"> reject</w:t>
      </w:r>
      <w:r w:rsidRPr="00FB1DE8">
        <w:rPr>
          <w:rFonts w:ascii="Times New Roman" w:hAnsi="Times New Roman"/>
          <w:sz w:val="24"/>
          <w:szCs w:val="24"/>
        </w:rPr>
        <w:t>s</w:t>
      </w:r>
      <w:r w:rsidRPr="00426978">
        <w:rPr>
          <w:rFonts w:ascii="Times New Roman" w:hAnsi="Times New Roman"/>
          <w:sz w:val="24"/>
          <w:szCs w:val="24"/>
        </w:rPr>
        <w:t xml:space="preserve"> the null hypothesis in favor of the alternative hypothesis, suggesting a statistically significant negative relationship between the use of forensic accounting techniques and Surprise Cash Count Practices. In other words, as the use of forensic accounting techniques increases, Surprise Cash Count Practices tend to decrease. However, it</w:t>
      </w:r>
      <w:r w:rsidRPr="00FB1DE8">
        <w:rPr>
          <w:rFonts w:ascii="Times New Roman" w:hAnsi="Times New Roman"/>
          <w:sz w:val="24"/>
          <w:szCs w:val="24"/>
        </w:rPr>
        <w:t xml:space="preserve"> is</w:t>
      </w:r>
      <w:r w:rsidRPr="00426978">
        <w:rPr>
          <w:rFonts w:ascii="Times New Roman" w:hAnsi="Times New Roman"/>
          <w:sz w:val="24"/>
          <w:szCs w:val="24"/>
        </w:rPr>
        <w:t xml:space="preserve"> important to note that the t-value is relatively small, so while the relationship is statistically significant, its practical significance may need further consideration or investigation.</w:t>
      </w:r>
    </w:p>
    <w:p w14:paraId="612DE2C0" w14:textId="3860C341" w:rsidR="00553F9F" w:rsidRDefault="00553F9F">
      <w:pPr>
        <w:spacing w:before="0" w:beforeAutospacing="0" w:after="0" w:line="240" w:lineRule="auto"/>
        <w:rPr>
          <w:rFonts w:ascii="Times New Roman" w:hAnsi="Times New Roman"/>
          <w:sz w:val="24"/>
          <w:szCs w:val="24"/>
        </w:rPr>
      </w:pPr>
      <w:r>
        <w:rPr>
          <w:rFonts w:ascii="Times New Roman" w:hAnsi="Times New Roman"/>
          <w:sz w:val="24"/>
          <w:szCs w:val="24"/>
        </w:rPr>
        <w:br w:type="page"/>
      </w:r>
    </w:p>
    <w:p w14:paraId="732F76D7" w14:textId="77777777" w:rsidR="00553F9F" w:rsidRDefault="00553F9F" w:rsidP="00553F9F">
      <w:pPr>
        <w:pStyle w:val="NoSpacing"/>
        <w:spacing w:line="360" w:lineRule="auto"/>
        <w:jc w:val="both"/>
        <w:rPr>
          <w:rFonts w:ascii="Times New Roman" w:hAnsi="Times New Roman"/>
          <w:sz w:val="24"/>
          <w:szCs w:val="24"/>
        </w:rPr>
      </w:pPr>
    </w:p>
    <w:p w14:paraId="48762766" w14:textId="089B9054" w:rsidR="008D035B" w:rsidRPr="009F2773" w:rsidRDefault="008D035B" w:rsidP="009F2773">
      <w:pPr>
        <w:pStyle w:val="NoSpacing"/>
        <w:spacing w:line="360" w:lineRule="auto"/>
        <w:rPr>
          <w:rFonts w:ascii="Times New Roman" w:eastAsia="DengXian" w:hAnsi="Times New Roman"/>
          <w:sz w:val="24"/>
          <w:szCs w:val="24"/>
        </w:rPr>
      </w:pPr>
      <w:r w:rsidRPr="008D035B">
        <w:rPr>
          <w:rFonts w:ascii="Times New Roman" w:hAnsi="Times New Roman"/>
          <w:b/>
          <w:bCs/>
          <w:sz w:val="24"/>
          <w:szCs w:val="24"/>
        </w:rPr>
        <w:t xml:space="preserve">Test of Hypothesis </w:t>
      </w:r>
      <w:r w:rsidR="00061CCF">
        <w:rPr>
          <w:rFonts w:ascii="Times New Roman" w:hAnsi="Times New Roman"/>
          <w:b/>
          <w:bCs/>
          <w:sz w:val="24"/>
          <w:szCs w:val="24"/>
        </w:rPr>
        <w:t>Two</w:t>
      </w:r>
    </w:p>
    <w:p w14:paraId="2C11711A" w14:textId="20EA25AA" w:rsidR="008D035B" w:rsidRDefault="00763C87" w:rsidP="00EE1448">
      <w:pPr>
        <w:spacing w:before="0" w:beforeAutospacing="0" w:after="0" w:line="360" w:lineRule="auto"/>
        <w:jc w:val="both"/>
        <w:rPr>
          <w:rFonts w:ascii="Times New Roman" w:eastAsia="Calibri" w:hAnsi="Times New Roman"/>
          <w:sz w:val="24"/>
          <w:szCs w:val="24"/>
        </w:rPr>
      </w:pPr>
      <w:r>
        <w:rPr>
          <w:rFonts w:ascii="Times New Roman" w:eastAsia="Calibri" w:hAnsi="Times New Roman"/>
          <w:b/>
          <w:bCs/>
          <w:sz w:val="24"/>
          <w:szCs w:val="24"/>
        </w:rPr>
        <w:t xml:space="preserve">Research </w:t>
      </w:r>
      <w:r w:rsidR="00407836" w:rsidRPr="00275AF2">
        <w:rPr>
          <w:rFonts w:ascii="Times New Roman" w:eastAsia="Calibri" w:hAnsi="Times New Roman"/>
          <w:b/>
          <w:bCs/>
          <w:sz w:val="24"/>
          <w:szCs w:val="24"/>
        </w:rPr>
        <w:t>O</w:t>
      </w:r>
      <w:r w:rsidR="00275AF2" w:rsidRPr="00275AF2">
        <w:rPr>
          <w:rFonts w:ascii="Times New Roman" w:eastAsia="Calibri" w:hAnsi="Times New Roman"/>
          <w:b/>
          <w:bCs/>
          <w:sz w:val="24"/>
          <w:szCs w:val="24"/>
        </w:rPr>
        <w:t>b</w:t>
      </w:r>
      <w:r w:rsidR="00407836" w:rsidRPr="00275AF2">
        <w:rPr>
          <w:rFonts w:ascii="Times New Roman" w:eastAsia="Calibri" w:hAnsi="Times New Roman"/>
          <w:b/>
          <w:bCs/>
          <w:sz w:val="24"/>
          <w:szCs w:val="24"/>
        </w:rPr>
        <w:t>jective</w:t>
      </w:r>
      <w:r w:rsidR="00275AF2" w:rsidRPr="00275AF2">
        <w:rPr>
          <w:rFonts w:ascii="Times New Roman" w:eastAsia="Calibri" w:hAnsi="Times New Roman"/>
          <w:b/>
          <w:bCs/>
          <w:sz w:val="24"/>
          <w:szCs w:val="24"/>
        </w:rPr>
        <w:t xml:space="preserve"> 2:</w:t>
      </w:r>
      <w:r w:rsidR="00275AF2">
        <w:rPr>
          <w:rFonts w:ascii="Times New Roman" w:eastAsia="Calibri" w:hAnsi="Times New Roman"/>
          <w:sz w:val="24"/>
          <w:szCs w:val="24"/>
        </w:rPr>
        <w:t xml:space="preserve"> To </w:t>
      </w:r>
      <w:r w:rsidR="008D035B" w:rsidRPr="008B1465">
        <w:rPr>
          <w:rFonts w:ascii="Times New Roman" w:eastAsia="Calibri" w:hAnsi="Times New Roman"/>
          <w:sz w:val="24"/>
          <w:szCs w:val="24"/>
        </w:rPr>
        <w:t xml:space="preserve">investigate the </w:t>
      </w:r>
      <w:r w:rsidR="008D035B">
        <w:rPr>
          <w:rFonts w:ascii="Times New Roman" w:eastAsia="Calibri" w:hAnsi="Times New Roman"/>
          <w:sz w:val="24"/>
          <w:szCs w:val="24"/>
        </w:rPr>
        <w:t>effect of</w:t>
      </w:r>
      <w:r w:rsidR="008D035B" w:rsidRPr="008B1465">
        <w:rPr>
          <w:rFonts w:ascii="Times New Roman" w:eastAsia="Calibri" w:hAnsi="Times New Roman"/>
          <w:sz w:val="24"/>
          <w:szCs w:val="24"/>
        </w:rPr>
        <w:t xml:space="preserve"> forensic accounting techniques </w:t>
      </w:r>
      <w:r w:rsidR="008D035B">
        <w:rPr>
          <w:rFonts w:ascii="Times New Roman" w:eastAsia="Calibri" w:hAnsi="Times New Roman"/>
          <w:sz w:val="24"/>
          <w:szCs w:val="24"/>
        </w:rPr>
        <w:t>on</w:t>
      </w:r>
      <w:r w:rsidR="008D035B" w:rsidRPr="008B1465">
        <w:rPr>
          <w:rFonts w:ascii="Times New Roman" w:eastAsia="Calibri" w:hAnsi="Times New Roman"/>
          <w:sz w:val="24"/>
          <w:szCs w:val="24"/>
        </w:rPr>
        <w:t xml:space="preserve"> value for money practices among Federal Universities in Southwest, Nigeria</w:t>
      </w:r>
      <w:r w:rsidR="00657F4A">
        <w:rPr>
          <w:rFonts w:ascii="Times New Roman" w:eastAsia="Calibri" w:hAnsi="Times New Roman"/>
          <w:sz w:val="24"/>
          <w:szCs w:val="24"/>
        </w:rPr>
        <w:t>.</w:t>
      </w:r>
    </w:p>
    <w:p w14:paraId="3DA1C68E" w14:textId="5E11A7CC" w:rsidR="00657F4A" w:rsidRDefault="00657F4A" w:rsidP="00EE1448">
      <w:pPr>
        <w:spacing w:before="0" w:beforeAutospacing="0" w:after="0" w:line="360" w:lineRule="auto"/>
        <w:jc w:val="both"/>
        <w:rPr>
          <w:rFonts w:ascii="Times New Roman" w:eastAsia="Calibri" w:hAnsi="Times New Roman"/>
          <w:sz w:val="24"/>
          <w:szCs w:val="24"/>
        </w:rPr>
      </w:pPr>
      <w:r w:rsidRPr="00061CCF">
        <w:rPr>
          <w:rFonts w:ascii="Times New Roman" w:eastAsia="Calibri" w:hAnsi="Times New Roman"/>
          <w:b/>
          <w:bCs/>
          <w:sz w:val="24"/>
          <w:szCs w:val="24"/>
        </w:rPr>
        <w:t>Resea</w:t>
      </w:r>
      <w:r w:rsidR="00061CCF" w:rsidRPr="00061CCF">
        <w:rPr>
          <w:rFonts w:ascii="Times New Roman" w:eastAsia="Calibri" w:hAnsi="Times New Roman"/>
          <w:b/>
          <w:bCs/>
          <w:sz w:val="24"/>
          <w:szCs w:val="24"/>
        </w:rPr>
        <w:t>rch Question 2:</w:t>
      </w:r>
      <w:r w:rsidR="00061CCF">
        <w:rPr>
          <w:rFonts w:ascii="Times New Roman" w:eastAsia="Calibri" w:hAnsi="Times New Roman"/>
          <w:sz w:val="24"/>
          <w:szCs w:val="24"/>
        </w:rPr>
        <w:t xml:space="preserve"> </w:t>
      </w:r>
      <w:r w:rsidRPr="00657F4A">
        <w:rPr>
          <w:rFonts w:ascii="Times New Roman" w:eastAsia="Calibri" w:hAnsi="Times New Roman"/>
          <w:sz w:val="24"/>
          <w:szCs w:val="24"/>
        </w:rPr>
        <w:t>To what extent do forensic accounting techniques affect value for money practices among Federal Universities in Southwest, Nigeria?</w:t>
      </w:r>
    </w:p>
    <w:p w14:paraId="46338CD2" w14:textId="48B571C7" w:rsidR="009F2773" w:rsidRDefault="00061CCF" w:rsidP="00EE1448">
      <w:pPr>
        <w:spacing w:before="0" w:beforeAutospacing="0" w:after="0" w:line="360" w:lineRule="auto"/>
        <w:jc w:val="both"/>
        <w:rPr>
          <w:rFonts w:ascii="Times New Roman" w:eastAsia="Calibri" w:hAnsi="Times New Roman"/>
          <w:sz w:val="24"/>
          <w:szCs w:val="24"/>
        </w:rPr>
      </w:pPr>
      <w:r w:rsidRPr="00061CCF">
        <w:rPr>
          <w:rFonts w:ascii="Times New Roman" w:eastAsia="Calibri" w:hAnsi="Times New Roman"/>
          <w:b/>
          <w:bCs/>
          <w:sz w:val="24"/>
          <w:szCs w:val="24"/>
        </w:rPr>
        <w:t>Research</w:t>
      </w:r>
      <w:r>
        <w:rPr>
          <w:rFonts w:ascii="Times New Roman" w:eastAsia="Calibri" w:hAnsi="Times New Roman"/>
          <w:b/>
          <w:bCs/>
          <w:sz w:val="24"/>
          <w:szCs w:val="24"/>
        </w:rPr>
        <w:t xml:space="preserve"> </w:t>
      </w:r>
      <w:r w:rsidRPr="008D035B">
        <w:rPr>
          <w:rFonts w:ascii="Times New Roman" w:hAnsi="Times New Roman"/>
          <w:b/>
          <w:bCs/>
          <w:sz w:val="24"/>
          <w:szCs w:val="24"/>
        </w:rPr>
        <w:t>Hypothesis</w:t>
      </w:r>
      <w:r w:rsidR="002F40B0">
        <w:rPr>
          <w:rFonts w:ascii="Times New Roman" w:hAnsi="Times New Roman"/>
          <w:b/>
          <w:bCs/>
          <w:sz w:val="24"/>
          <w:szCs w:val="24"/>
        </w:rPr>
        <w:t xml:space="preserve"> 2</w:t>
      </w:r>
      <w:r w:rsidR="00AD5ABF">
        <w:rPr>
          <w:rFonts w:ascii="Times New Roman" w:hAnsi="Times New Roman"/>
          <w:b/>
          <w:bCs/>
          <w:sz w:val="24"/>
          <w:szCs w:val="24"/>
        </w:rPr>
        <w:t xml:space="preserve">: </w:t>
      </w:r>
      <w:r w:rsidR="00AD5ABF" w:rsidRPr="008B1465">
        <w:rPr>
          <w:rFonts w:ascii="Times New Roman" w:eastAsia="Calibri" w:hAnsi="Times New Roman"/>
          <w:sz w:val="24"/>
          <w:szCs w:val="24"/>
        </w:rPr>
        <w:t xml:space="preserve">There is no significant </w:t>
      </w:r>
      <w:r w:rsidR="00AD5ABF">
        <w:rPr>
          <w:rFonts w:ascii="Times New Roman" w:eastAsia="Calibri" w:hAnsi="Times New Roman"/>
          <w:sz w:val="24"/>
          <w:szCs w:val="24"/>
        </w:rPr>
        <w:t>effect of</w:t>
      </w:r>
      <w:r w:rsidR="00AD5ABF" w:rsidRPr="008B1465">
        <w:rPr>
          <w:rFonts w:ascii="Times New Roman" w:eastAsia="Calibri" w:hAnsi="Times New Roman"/>
          <w:sz w:val="24"/>
          <w:szCs w:val="24"/>
        </w:rPr>
        <w:t xml:space="preserve"> forensic accounting techniques </w:t>
      </w:r>
      <w:r w:rsidR="00AD5ABF">
        <w:rPr>
          <w:rFonts w:ascii="Times New Roman" w:eastAsia="Calibri" w:hAnsi="Times New Roman"/>
          <w:sz w:val="24"/>
          <w:szCs w:val="24"/>
        </w:rPr>
        <w:t>on</w:t>
      </w:r>
      <w:r w:rsidR="00AD5ABF" w:rsidRPr="008B1465">
        <w:rPr>
          <w:rFonts w:ascii="Times New Roman" w:eastAsia="Calibri" w:hAnsi="Times New Roman"/>
          <w:sz w:val="24"/>
          <w:szCs w:val="24"/>
        </w:rPr>
        <w:t xml:space="preserve"> value for money practices among Federal Universities in Southwest, Nigeria</w:t>
      </w:r>
    </w:p>
    <w:p w14:paraId="63CD1CA2" w14:textId="5E07220B" w:rsidR="002D7AA7" w:rsidRPr="00657F4A" w:rsidRDefault="001D0FC7" w:rsidP="00657F4A">
      <w:pPr>
        <w:spacing w:after="0" w:line="360" w:lineRule="auto"/>
        <w:jc w:val="both"/>
        <w:rPr>
          <w:rFonts w:ascii="Times New Roman" w:eastAsia="Calibri" w:hAnsi="Times New Roman"/>
          <w:sz w:val="24"/>
          <w:szCs w:val="24"/>
        </w:rPr>
      </w:pPr>
      <w:r>
        <w:rPr>
          <w:rFonts w:ascii="Times New Roman" w:eastAsia="Calibri" w:hAnsi="Times New Roman"/>
          <w:sz w:val="24"/>
          <w:szCs w:val="24"/>
        </w:rPr>
        <w:t xml:space="preserve">Regression Result: </w:t>
      </w:r>
      <w:r w:rsidR="00B33CA2">
        <w:rPr>
          <w:rFonts w:ascii="Times New Roman" w:eastAsia="Calibri" w:hAnsi="Times New Roman"/>
          <w:sz w:val="24"/>
          <w:szCs w:val="24"/>
        </w:rPr>
        <w:t>Value for Money Practices</w:t>
      </w:r>
      <w:r w:rsidR="002C3D76">
        <w:rPr>
          <w:rFonts w:ascii="Times New Roman" w:eastAsia="Calibri" w:hAnsi="Times New Roman"/>
          <w:sz w:val="24"/>
          <w:szCs w:val="24"/>
        </w:rPr>
        <w:t xml:space="preserve"> </w:t>
      </w:r>
    </w:p>
    <w:tbl>
      <w:tblPr>
        <w:tblW w:w="9483" w:type="dxa"/>
        <w:tblBorders>
          <w:top w:val="single" w:sz="4" w:space="0" w:color="auto"/>
          <w:bottom w:val="single" w:sz="4" w:space="0" w:color="auto"/>
        </w:tblBorders>
        <w:tblLook w:val="04A0" w:firstRow="1" w:lastRow="0" w:firstColumn="1" w:lastColumn="0" w:noHBand="0" w:noVBand="1"/>
      </w:tblPr>
      <w:tblGrid>
        <w:gridCol w:w="1354"/>
        <w:gridCol w:w="1354"/>
        <w:gridCol w:w="1355"/>
        <w:gridCol w:w="1355"/>
        <w:gridCol w:w="1355"/>
        <w:gridCol w:w="1355"/>
        <w:gridCol w:w="1355"/>
      </w:tblGrid>
      <w:tr w:rsidR="002D7AA7" w:rsidRPr="008B1465" w14:paraId="1D41C69E" w14:textId="77777777" w:rsidTr="00F036CB">
        <w:trPr>
          <w:trHeight w:val="377"/>
        </w:trPr>
        <w:tc>
          <w:tcPr>
            <w:tcW w:w="1354" w:type="dxa"/>
            <w:tcBorders>
              <w:top w:val="thinThickSmallGap" w:sz="24" w:space="0" w:color="auto"/>
              <w:bottom w:val="thinThickSmallGap" w:sz="24" w:space="0" w:color="auto"/>
            </w:tcBorders>
          </w:tcPr>
          <w:p w14:paraId="218933DF" w14:textId="77777777" w:rsidR="002D7AA7" w:rsidRPr="008B1465" w:rsidRDefault="002D7AA7" w:rsidP="00F036CB">
            <w:pPr>
              <w:spacing w:after="0" w:line="360" w:lineRule="auto"/>
              <w:jc w:val="both"/>
              <w:rPr>
                <w:rFonts w:ascii="Times New Roman" w:hAnsi="Times New Roman"/>
                <w:b/>
                <w:bCs/>
                <w:sz w:val="24"/>
                <w:szCs w:val="24"/>
              </w:rPr>
            </w:pPr>
            <w:r w:rsidRPr="008B1465">
              <w:rPr>
                <w:rFonts w:ascii="Times New Roman" w:hAnsi="Times New Roman"/>
                <w:b/>
                <w:bCs/>
                <w:sz w:val="24"/>
                <w:szCs w:val="24"/>
              </w:rPr>
              <w:t>Variable</w:t>
            </w:r>
            <w:r>
              <w:rPr>
                <w:rFonts w:ascii="Times New Roman" w:hAnsi="Times New Roman"/>
                <w:b/>
                <w:bCs/>
                <w:sz w:val="24"/>
                <w:szCs w:val="24"/>
              </w:rPr>
              <w:t>s</w:t>
            </w:r>
          </w:p>
        </w:tc>
        <w:tc>
          <w:tcPr>
            <w:tcW w:w="1354" w:type="dxa"/>
            <w:tcBorders>
              <w:top w:val="thinThickSmallGap" w:sz="24" w:space="0" w:color="auto"/>
              <w:bottom w:val="thinThickSmallGap" w:sz="24" w:space="0" w:color="auto"/>
            </w:tcBorders>
          </w:tcPr>
          <w:p w14:paraId="2797B094" w14:textId="77777777" w:rsidR="002D7AA7" w:rsidRPr="00180A55" w:rsidRDefault="002D7AA7" w:rsidP="00F036CB">
            <w:pPr>
              <w:spacing w:after="0" w:line="360" w:lineRule="auto"/>
              <w:jc w:val="both"/>
              <w:rPr>
                <w:rFonts w:ascii="Times New Roman" w:hAnsi="Times New Roman"/>
                <w:b/>
                <w:bCs/>
                <w:sz w:val="28"/>
                <w:szCs w:val="28"/>
              </w:rPr>
            </w:pPr>
            <w:r w:rsidRPr="008B1465">
              <w:rPr>
                <w:rFonts w:ascii="Times New Roman" w:hAnsi="Times New Roman"/>
                <w:b/>
                <w:bCs/>
                <w:i/>
                <w:iCs/>
                <w:sz w:val="24"/>
                <w:szCs w:val="24"/>
              </w:rPr>
              <w:t xml:space="preserve">    </w:t>
            </w:r>
            <w:r w:rsidRPr="00180A55">
              <w:rPr>
                <w:rFonts w:ascii="Times New Roman" w:hAnsi="Times New Roman"/>
                <w:b/>
                <w:bCs/>
                <w:sz w:val="24"/>
                <w:szCs w:val="24"/>
              </w:rPr>
              <w:t>B</w:t>
            </w:r>
          </w:p>
        </w:tc>
        <w:tc>
          <w:tcPr>
            <w:tcW w:w="1355" w:type="dxa"/>
            <w:tcBorders>
              <w:top w:val="thinThickSmallGap" w:sz="24" w:space="0" w:color="auto"/>
              <w:bottom w:val="thinThickSmallGap" w:sz="24" w:space="0" w:color="auto"/>
            </w:tcBorders>
          </w:tcPr>
          <w:p w14:paraId="015DEAF2" w14:textId="77777777" w:rsidR="002D7AA7" w:rsidRPr="008B1465" w:rsidRDefault="002D7AA7" w:rsidP="00F036CB">
            <w:pPr>
              <w:spacing w:after="0" w:line="360" w:lineRule="auto"/>
              <w:jc w:val="both"/>
              <w:rPr>
                <w:rFonts w:ascii="Times New Roman" w:hAnsi="Times New Roman"/>
                <w:b/>
                <w:bCs/>
                <w:sz w:val="24"/>
                <w:szCs w:val="24"/>
              </w:rPr>
            </w:pPr>
            <w:r w:rsidRPr="008B1465">
              <w:rPr>
                <w:rFonts w:ascii="Times New Roman" w:hAnsi="Times New Roman"/>
                <w:b/>
                <w:bCs/>
                <w:sz w:val="24"/>
                <w:szCs w:val="24"/>
              </w:rPr>
              <w:t>Beta</w:t>
            </w:r>
          </w:p>
        </w:tc>
        <w:tc>
          <w:tcPr>
            <w:tcW w:w="1355" w:type="dxa"/>
            <w:tcBorders>
              <w:top w:val="thinThickSmallGap" w:sz="24" w:space="0" w:color="auto"/>
              <w:bottom w:val="thinThickSmallGap" w:sz="24" w:space="0" w:color="auto"/>
            </w:tcBorders>
          </w:tcPr>
          <w:p w14:paraId="0B0AFCD7" w14:textId="77777777" w:rsidR="002D7AA7" w:rsidRPr="008B1465" w:rsidRDefault="002D7AA7" w:rsidP="00F036CB">
            <w:pPr>
              <w:spacing w:after="0" w:line="360" w:lineRule="auto"/>
              <w:jc w:val="both"/>
              <w:rPr>
                <w:rFonts w:ascii="Times New Roman" w:hAnsi="Times New Roman"/>
                <w:b/>
                <w:bCs/>
                <w:sz w:val="24"/>
                <w:szCs w:val="24"/>
              </w:rPr>
            </w:pPr>
            <w:r w:rsidRPr="008B1465">
              <w:rPr>
                <w:rFonts w:ascii="Times New Roman" w:hAnsi="Times New Roman"/>
                <w:b/>
                <w:bCs/>
                <w:sz w:val="24"/>
                <w:szCs w:val="24"/>
              </w:rPr>
              <w:t>t</w:t>
            </w:r>
          </w:p>
        </w:tc>
        <w:tc>
          <w:tcPr>
            <w:tcW w:w="1355" w:type="dxa"/>
            <w:tcBorders>
              <w:top w:val="thinThickSmallGap" w:sz="24" w:space="0" w:color="auto"/>
              <w:bottom w:val="thinThickSmallGap" w:sz="24" w:space="0" w:color="auto"/>
            </w:tcBorders>
          </w:tcPr>
          <w:p w14:paraId="3F927D0D" w14:textId="77777777" w:rsidR="002D7AA7" w:rsidRPr="008B1465" w:rsidRDefault="002D7AA7" w:rsidP="00F036CB">
            <w:pPr>
              <w:spacing w:after="0" w:line="360" w:lineRule="auto"/>
              <w:jc w:val="both"/>
              <w:rPr>
                <w:rFonts w:ascii="Times New Roman" w:hAnsi="Times New Roman"/>
                <w:b/>
                <w:bCs/>
                <w:sz w:val="24"/>
                <w:szCs w:val="24"/>
              </w:rPr>
            </w:pPr>
            <w:r w:rsidRPr="008B1465">
              <w:rPr>
                <w:rFonts w:ascii="Times New Roman" w:hAnsi="Times New Roman"/>
                <w:b/>
                <w:bCs/>
                <w:sz w:val="24"/>
                <w:szCs w:val="24"/>
              </w:rPr>
              <w:t>Sig</w:t>
            </w:r>
          </w:p>
        </w:tc>
        <w:tc>
          <w:tcPr>
            <w:tcW w:w="1355" w:type="dxa"/>
            <w:tcBorders>
              <w:top w:val="thinThickSmallGap" w:sz="24" w:space="0" w:color="auto"/>
              <w:bottom w:val="thinThickSmallGap" w:sz="24" w:space="0" w:color="auto"/>
            </w:tcBorders>
          </w:tcPr>
          <w:p w14:paraId="71D442DC" w14:textId="77777777" w:rsidR="002D7AA7" w:rsidRPr="008B1465" w:rsidRDefault="002D7AA7" w:rsidP="00F036CB">
            <w:pPr>
              <w:spacing w:after="0" w:line="360" w:lineRule="auto"/>
              <w:jc w:val="both"/>
              <w:rPr>
                <w:rFonts w:ascii="Times New Roman" w:hAnsi="Times New Roman"/>
                <w:b/>
                <w:bCs/>
                <w:sz w:val="24"/>
                <w:szCs w:val="24"/>
              </w:rPr>
            </w:pPr>
            <w:r w:rsidRPr="008B1465">
              <w:rPr>
                <w:rFonts w:ascii="Times New Roman" w:hAnsi="Times New Roman"/>
                <w:b/>
                <w:bCs/>
                <w:sz w:val="24"/>
                <w:szCs w:val="24"/>
              </w:rPr>
              <w:t>T</w:t>
            </w:r>
          </w:p>
        </w:tc>
        <w:tc>
          <w:tcPr>
            <w:tcW w:w="1355" w:type="dxa"/>
            <w:tcBorders>
              <w:top w:val="thinThickSmallGap" w:sz="24" w:space="0" w:color="auto"/>
              <w:bottom w:val="thinThickSmallGap" w:sz="24" w:space="0" w:color="auto"/>
            </w:tcBorders>
          </w:tcPr>
          <w:p w14:paraId="7715E010" w14:textId="77777777" w:rsidR="002D7AA7" w:rsidRPr="008B1465" w:rsidRDefault="002D7AA7" w:rsidP="00F036CB">
            <w:pPr>
              <w:spacing w:after="0" w:line="360" w:lineRule="auto"/>
              <w:jc w:val="both"/>
              <w:rPr>
                <w:rFonts w:ascii="Times New Roman" w:hAnsi="Times New Roman"/>
                <w:b/>
                <w:bCs/>
                <w:sz w:val="24"/>
                <w:szCs w:val="24"/>
              </w:rPr>
            </w:pPr>
            <w:r w:rsidRPr="008B1465">
              <w:rPr>
                <w:rFonts w:ascii="Times New Roman" w:hAnsi="Times New Roman"/>
                <w:b/>
                <w:bCs/>
                <w:sz w:val="24"/>
                <w:szCs w:val="24"/>
              </w:rPr>
              <w:t>VIF</w:t>
            </w:r>
          </w:p>
        </w:tc>
      </w:tr>
      <w:tr w:rsidR="002D7AA7" w:rsidRPr="008B1465" w14:paraId="45A32510" w14:textId="77777777" w:rsidTr="00F036CB">
        <w:trPr>
          <w:trHeight w:val="377"/>
        </w:trPr>
        <w:tc>
          <w:tcPr>
            <w:tcW w:w="1354" w:type="dxa"/>
            <w:tcBorders>
              <w:top w:val="thinThickSmallGap" w:sz="24" w:space="0" w:color="auto"/>
            </w:tcBorders>
          </w:tcPr>
          <w:p w14:paraId="7F6D5829" w14:textId="77777777" w:rsidR="002D7AA7" w:rsidRPr="008B1465" w:rsidRDefault="002D7AA7" w:rsidP="00F036CB">
            <w:pPr>
              <w:spacing w:after="0" w:line="360" w:lineRule="auto"/>
              <w:jc w:val="both"/>
              <w:rPr>
                <w:rFonts w:ascii="Times New Roman" w:hAnsi="Times New Roman"/>
                <w:b/>
                <w:bCs/>
                <w:sz w:val="24"/>
                <w:szCs w:val="24"/>
              </w:rPr>
            </w:pPr>
            <w:r w:rsidRPr="008B1465">
              <w:rPr>
                <w:rFonts w:ascii="Times New Roman" w:hAnsi="Times New Roman"/>
                <w:b/>
                <w:bCs/>
                <w:sz w:val="24"/>
                <w:szCs w:val="24"/>
              </w:rPr>
              <w:t>Constant</w:t>
            </w:r>
          </w:p>
        </w:tc>
        <w:tc>
          <w:tcPr>
            <w:tcW w:w="1354" w:type="dxa"/>
            <w:tcBorders>
              <w:top w:val="thinThickSmallGap" w:sz="24" w:space="0" w:color="auto"/>
            </w:tcBorders>
          </w:tcPr>
          <w:p w14:paraId="20DC2903" w14:textId="77777777" w:rsidR="002D7AA7" w:rsidRPr="008B1465" w:rsidRDefault="002D7AA7" w:rsidP="00F036CB">
            <w:pPr>
              <w:spacing w:after="0" w:line="360" w:lineRule="auto"/>
              <w:jc w:val="both"/>
              <w:rPr>
                <w:rFonts w:ascii="Times New Roman" w:hAnsi="Times New Roman"/>
                <w:sz w:val="24"/>
                <w:szCs w:val="24"/>
              </w:rPr>
            </w:pPr>
            <w:r w:rsidRPr="008B1465">
              <w:rPr>
                <w:rFonts w:ascii="Times New Roman" w:hAnsi="Times New Roman"/>
                <w:sz w:val="24"/>
                <w:szCs w:val="24"/>
              </w:rPr>
              <w:t>12.192</w:t>
            </w:r>
          </w:p>
        </w:tc>
        <w:tc>
          <w:tcPr>
            <w:tcW w:w="1355" w:type="dxa"/>
            <w:tcBorders>
              <w:top w:val="thinThickSmallGap" w:sz="24" w:space="0" w:color="auto"/>
            </w:tcBorders>
          </w:tcPr>
          <w:p w14:paraId="391E2557" w14:textId="77777777" w:rsidR="002D7AA7" w:rsidRPr="008B1465" w:rsidRDefault="002D7AA7" w:rsidP="00F036CB">
            <w:pPr>
              <w:spacing w:after="0" w:line="360" w:lineRule="auto"/>
              <w:jc w:val="both"/>
              <w:rPr>
                <w:rFonts w:ascii="Times New Roman" w:hAnsi="Times New Roman"/>
                <w:sz w:val="24"/>
                <w:szCs w:val="24"/>
              </w:rPr>
            </w:pPr>
            <w:r w:rsidRPr="008B1465">
              <w:rPr>
                <w:rFonts w:ascii="Times New Roman" w:hAnsi="Times New Roman"/>
                <w:sz w:val="24"/>
                <w:szCs w:val="24"/>
              </w:rPr>
              <w:t xml:space="preserve">   -</w:t>
            </w:r>
          </w:p>
        </w:tc>
        <w:tc>
          <w:tcPr>
            <w:tcW w:w="1355" w:type="dxa"/>
            <w:tcBorders>
              <w:top w:val="thinThickSmallGap" w:sz="24" w:space="0" w:color="auto"/>
            </w:tcBorders>
          </w:tcPr>
          <w:p w14:paraId="548B5EDC" w14:textId="77777777" w:rsidR="002D7AA7" w:rsidRPr="008B1465" w:rsidRDefault="002D7AA7" w:rsidP="00F036CB">
            <w:pPr>
              <w:spacing w:after="0" w:line="360" w:lineRule="auto"/>
              <w:jc w:val="both"/>
              <w:rPr>
                <w:rFonts w:ascii="Times New Roman" w:hAnsi="Times New Roman"/>
                <w:sz w:val="24"/>
                <w:szCs w:val="24"/>
              </w:rPr>
            </w:pPr>
            <w:r w:rsidRPr="008B1465">
              <w:rPr>
                <w:rFonts w:ascii="Times New Roman" w:hAnsi="Times New Roman"/>
                <w:sz w:val="24"/>
                <w:szCs w:val="24"/>
              </w:rPr>
              <w:t>10.159</w:t>
            </w:r>
          </w:p>
        </w:tc>
        <w:tc>
          <w:tcPr>
            <w:tcW w:w="1355" w:type="dxa"/>
            <w:tcBorders>
              <w:top w:val="thinThickSmallGap" w:sz="24" w:space="0" w:color="auto"/>
            </w:tcBorders>
          </w:tcPr>
          <w:p w14:paraId="01C2F91D" w14:textId="77777777" w:rsidR="002D7AA7" w:rsidRPr="008B1465" w:rsidRDefault="002D7AA7" w:rsidP="00F036CB">
            <w:pPr>
              <w:spacing w:after="0" w:line="360" w:lineRule="auto"/>
              <w:jc w:val="both"/>
              <w:rPr>
                <w:rFonts w:ascii="Times New Roman" w:hAnsi="Times New Roman"/>
                <w:sz w:val="24"/>
                <w:szCs w:val="24"/>
              </w:rPr>
            </w:pPr>
            <w:r w:rsidRPr="008B1465">
              <w:rPr>
                <w:rFonts w:ascii="Times New Roman" w:hAnsi="Times New Roman"/>
                <w:sz w:val="24"/>
                <w:szCs w:val="24"/>
              </w:rPr>
              <w:t>.000</w:t>
            </w:r>
          </w:p>
        </w:tc>
        <w:tc>
          <w:tcPr>
            <w:tcW w:w="1355" w:type="dxa"/>
            <w:tcBorders>
              <w:top w:val="thinThickSmallGap" w:sz="24" w:space="0" w:color="auto"/>
            </w:tcBorders>
          </w:tcPr>
          <w:p w14:paraId="2FDB832F" w14:textId="77777777" w:rsidR="002D7AA7" w:rsidRPr="008B1465" w:rsidRDefault="002D7AA7" w:rsidP="00F036CB">
            <w:pPr>
              <w:spacing w:after="0" w:line="360" w:lineRule="auto"/>
              <w:jc w:val="both"/>
              <w:rPr>
                <w:rFonts w:ascii="Times New Roman" w:hAnsi="Times New Roman"/>
                <w:sz w:val="24"/>
                <w:szCs w:val="24"/>
              </w:rPr>
            </w:pPr>
          </w:p>
        </w:tc>
        <w:tc>
          <w:tcPr>
            <w:tcW w:w="1355" w:type="dxa"/>
            <w:tcBorders>
              <w:top w:val="thinThickSmallGap" w:sz="24" w:space="0" w:color="auto"/>
            </w:tcBorders>
          </w:tcPr>
          <w:p w14:paraId="13447E04" w14:textId="77777777" w:rsidR="002D7AA7" w:rsidRPr="008B1465" w:rsidRDefault="002D7AA7" w:rsidP="00F036CB">
            <w:pPr>
              <w:spacing w:after="0" w:line="360" w:lineRule="auto"/>
              <w:jc w:val="both"/>
              <w:rPr>
                <w:rFonts w:ascii="Times New Roman" w:hAnsi="Times New Roman"/>
                <w:sz w:val="24"/>
                <w:szCs w:val="24"/>
              </w:rPr>
            </w:pPr>
          </w:p>
        </w:tc>
      </w:tr>
      <w:tr w:rsidR="002D7AA7" w:rsidRPr="008B1465" w14:paraId="3EF62003" w14:textId="77777777" w:rsidTr="00F036CB">
        <w:trPr>
          <w:trHeight w:val="377"/>
        </w:trPr>
        <w:tc>
          <w:tcPr>
            <w:tcW w:w="1354" w:type="dxa"/>
          </w:tcPr>
          <w:p w14:paraId="1ED1A6D7" w14:textId="77777777" w:rsidR="002D7AA7" w:rsidRPr="008B1465" w:rsidRDefault="002D7AA7" w:rsidP="00F036CB">
            <w:pPr>
              <w:spacing w:after="0" w:line="360" w:lineRule="auto"/>
              <w:jc w:val="both"/>
              <w:rPr>
                <w:rFonts w:ascii="Times New Roman" w:hAnsi="Times New Roman"/>
                <w:b/>
                <w:bCs/>
                <w:sz w:val="24"/>
                <w:szCs w:val="24"/>
              </w:rPr>
            </w:pPr>
            <w:r w:rsidRPr="008B1465">
              <w:rPr>
                <w:rFonts w:ascii="Times New Roman" w:hAnsi="Times New Roman"/>
                <w:b/>
                <w:bCs/>
                <w:sz w:val="24"/>
                <w:szCs w:val="24"/>
              </w:rPr>
              <w:t>LS</w:t>
            </w:r>
          </w:p>
        </w:tc>
        <w:tc>
          <w:tcPr>
            <w:tcW w:w="1354" w:type="dxa"/>
          </w:tcPr>
          <w:p w14:paraId="6BFA3947" w14:textId="77777777" w:rsidR="002D7AA7" w:rsidRPr="008B1465" w:rsidRDefault="002D7AA7" w:rsidP="00F036CB">
            <w:pPr>
              <w:spacing w:after="0" w:line="360" w:lineRule="auto"/>
              <w:jc w:val="both"/>
              <w:rPr>
                <w:rFonts w:ascii="Times New Roman" w:hAnsi="Times New Roman"/>
                <w:sz w:val="24"/>
                <w:szCs w:val="24"/>
              </w:rPr>
            </w:pPr>
            <w:r w:rsidRPr="008B1465">
              <w:rPr>
                <w:rFonts w:ascii="Times New Roman" w:hAnsi="Times New Roman"/>
                <w:sz w:val="24"/>
                <w:szCs w:val="24"/>
              </w:rPr>
              <w:t>.097</w:t>
            </w:r>
          </w:p>
        </w:tc>
        <w:tc>
          <w:tcPr>
            <w:tcW w:w="1355" w:type="dxa"/>
          </w:tcPr>
          <w:p w14:paraId="79745B51" w14:textId="77777777" w:rsidR="002D7AA7" w:rsidRPr="008B1465" w:rsidRDefault="002D7AA7" w:rsidP="00F036CB">
            <w:pPr>
              <w:spacing w:after="0" w:line="360" w:lineRule="auto"/>
              <w:jc w:val="both"/>
              <w:rPr>
                <w:rFonts w:ascii="Times New Roman" w:hAnsi="Times New Roman"/>
                <w:sz w:val="24"/>
                <w:szCs w:val="24"/>
              </w:rPr>
            </w:pPr>
            <w:r w:rsidRPr="008B1465">
              <w:rPr>
                <w:rFonts w:ascii="Times New Roman" w:hAnsi="Times New Roman"/>
                <w:sz w:val="24"/>
                <w:szCs w:val="24"/>
              </w:rPr>
              <w:t>.140</w:t>
            </w:r>
          </w:p>
        </w:tc>
        <w:tc>
          <w:tcPr>
            <w:tcW w:w="1355" w:type="dxa"/>
          </w:tcPr>
          <w:p w14:paraId="7FE01C72" w14:textId="77777777" w:rsidR="002D7AA7" w:rsidRPr="008B1465" w:rsidRDefault="002D7AA7" w:rsidP="00F036CB">
            <w:pPr>
              <w:spacing w:after="0" w:line="360" w:lineRule="auto"/>
              <w:jc w:val="both"/>
              <w:rPr>
                <w:rFonts w:ascii="Times New Roman" w:hAnsi="Times New Roman"/>
                <w:sz w:val="24"/>
                <w:szCs w:val="24"/>
              </w:rPr>
            </w:pPr>
            <w:r w:rsidRPr="008B1465">
              <w:rPr>
                <w:rFonts w:ascii="Times New Roman" w:hAnsi="Times New Roman"/>
                <w:sz w:val="24"/>
                <w:szCs w:val="24"/>
              </w:rPr>
              <w:t>4.179</w:t>
            </w:r>
          </w:p>
        </w:tc>
        <w:tc>
          <w:tcPr>
            <w:tcW w:w="1355" w:type="dxa"/>
          </w:tcPr>
          <w:p w14:paraId="53B04284" w14:textId="77777777" w:rsidR="002D7AA7" w:rsidRPr="008B1465" w:rsidRDefault="002D7AA7" w:rsidP="00F036CB">
            <w:pPr>
              <w:spacing w:after="0" w:line="360" w:lineRule="auto"/>
              <w:jc w:val="both"/>
              <w:rPr>
                <w:rFonts w:ascii="Times New Roman" w:hAnsi="Times New Roman"/>
                <w:sz w:val="24"/>
                <w:szCs w:val="24"/>
              </w:rPr>
            </w:pPr>
            <w:r w:rsidRPr="008B1465">
              <w:rPr>
                <w:rFonts w:ascii="Times New Roman" w:hAnsi="Times New Roman"/>
                <w:sz w:val="24"/>
                <w:szCs w:val="24"/>
              </w:rPr>
              <w:t>.000</w:t>
            </w:r>
          </w:p>
        </w:tc>
        <w:tc>
          <w:tcPr>
            <w:tcW w:w="1355" w:type="dxa"/>
          </w:tcPr>
          <w:p w14:paraId="2BF49A98" w14:textId="77777777" w:rsidR="002D7AA7" w:rsidRPr="008B1465" w:rsidRDefault="002D7AA7" w:rsidP="00F036CB">
            <w:pPr>
              <w:spacing w:after="0" w:line="360" w:lineRule="auto"/>
              <w:jc w:val="both"/>
              <w:rPr>
                <w:rFonts w:ascii="Times New Roman" w:hAnsi="Times New Roman"/>
                <w:sz w:val="24"/>
                <w:szCs w:val="24"/>
              </w:rPr>
            </w:pPr>
            <w:r w:rsidRPr="008B1465">
              <w:rPr>
                <w:rFonts w:ascii="Times New Roman" w:hAnsi="Times New Roman"/>
                <w:sz w:val="24"/>
                <w:szCs w:val="24"/>
              </w:rPr>
              <w:t>.989</w:t>
            </w:r>
          </w:p>
        </w:tc>
        <w:tc>
          <w:tcPr>
            <w:tcW w:w="1355" w:type="dxa"/>
          </w:tcPr>
          <w:p w14:paraId="61DB8E7C" w14:textId="77777777" w:rsidR="002D7AA7" w:rsidRPr="008B1465" w:rsidRDefault="002D7AA7" w:rsidP="00F036CB">
            <w:pPr>
              <w:spacing w:after="0" w:line="360" w:lineRule="auto"/>
              <w:jc w:val="both"/>
              <w:rPr>
                <w:rFonts w:ascii="Times New Roman" w:hAnsi="Times New Roman"/>
                <w:sz w:val="24"/>
                <w:szCs w:val="24"/>
              </w:rPr>
            </w:pPr>
            <w:r w:rsidRPr="008B1465">
              <w:rPr>
                <w:rFonts w:ascii="Times New Roman" w:hAnsi="Times New Roman"/>
                <w:sz w:val="24"/>
                <w:szCs w:val="24"/>
              </w:rPr>
              <w:t>1.012</w:t>
            </w:r>
          </w:p>
        </w:tc>
      </w:tr>
      <w:tr w:rsidR="002D7AA7" w:rsidRPr="008B1465" w14:paraId="310D985C" w14:textId="77777777" w:rsidTr="00F036CB">
        <w:trPr>
          <w:trHeight w:val="386"/>
        </w:trPr>
        <w:tc>
          <w:tcPr>
            <w:tcW w:w="1354" w:type="dxa"/>
          </w:tcPr>
          <w:p w14:paraId="0336DB53" w14:textId="77777777" w:rsidR="002D7AA7" w:rsidRPr="008B1465" w:rsidRDefault="002D7AA7" w:rsidP="00F036CB">
            <w:pPr>
              <w:spacing w:after="0" w:line="360" w:lineRule="auto"/>
              <w:jc w:val="both"/>
              <w:rPr>
                <w:rFonts w:ascii="Times New Roman" w:hAnsi="Times New Roman"/>
                <w:b/>
                <w:bCs/>
                <w:sz w:val="24"/>
                <w:szCs w:val="24"/>
              </w:rPr>
            </w:pPr>
            <w:r w:rsidRPr="008B1465">
              <w:rPr>
                <w:rFonts w:ascii="Times New Roman" w:hAnsi="Times New Roman"/>
                <w:b/>
                <w:bCs/>
                <w:sz w:val="24"/>
                <w:szCs w:val="24"/>
              </w:rPr>
              <w:t>ADE</w:t>
            </w:r>
          </w:p>
        </w:tc>
        <w:tc>
          <w:tcPr>
            <w:tcW w:w="1354" w:type="dxa"/>
          </w:tcPr>
          <w:p w14:paraId="6A88B686" w14:textId="77777777" w:rsidR="002D7AA7" w:rsidRPr="008B1465" w:rsidRDefault="002D7AA7" w:rsidP="00F036CB">
            <w:pPr>
              <w:spacing w:after="0" w:line="360" w:lineRule="auto"/>
              <w:jc w:val="both"/>
              <w:rPr>
                <w:rFonts w:ascii="Times New Roman" w:hAnsi="Times New Roman"/>
                <w:sz w:val="24"/>
                <w:szCs w:val="24"/>
              </w:rPr>
            </w:pPr>
            <w:r w:rsidRPr="008B1465">
              <w:rPr>
                <w:rFonts w:ascii="Times New Roman" w:hAnsi="Times New Roman"/>
                <w:sz w:val="24"/>
                <w:szCs w:val="24"/>
              </w:rPr>
              <w:t>.533</w:t>
            </w:r>
          </w:p>
        </w:tc>
        <w:tc>
          <w:tcPr>
            <w:tcW w:w="1355" w:type="dxa"/>
          </w:tcPr>
          <w:p w14:paraId="19CF1571" w14:textId="77777777" w:rsidR="002D7AA7" w:rsidRPr="008B1465" w:rsidRDefault="002D7AA7" w:rsidP="00F036CB">
            <w:pPr>
              <w:spacing w:after="0" w:line="360" w:lineRule="auto"/>
              <w:jc w:val="both"/>
              <w:rPr>
                <w:rFonts w:ascii="Times New Roman" w:hAnsi="Times New Roman"/>
                <w:sz w:val="24"/>
                <w:szCs w:val="24"/>
              </w:rPr>
            </w:pPr>
            <w:r w:rsidRPr="008B1465">
              <w:rPr>
                <w:rFonts w:ascii="Times New Roman" w:hAnsi="Times New Roman"/>
                <w:sz w:val="24"/>
                <w:szCs w:val="24"/>
              </w:rPr>
              <w:t>.805</w:t>
            </w:r>
          </w:p>
        </w:tc>
        <w:tc>
          <w:tcPr>
            <w:tcW w:w="1355" w:type="dxa"/>
          </w:tcPr>
          <w:p w14:paraId="3876439A" w14:textId="77777777" w:rsidR="002D7AA7" w:rsidRPr="008B1465" w:rsidRDefault="002D7AA7" w:rsidP="00F036CB">
            <w:pPr>
              <w:spacing w:after="0" w:line="360" w:lineRule="auto"/>
              <w:jc w:val="both"/>
              <w:rPr>
                <w:rFonts w:ascii="Times New Roman" w:hAnsi="Times New Roman"/>
                <w:sz w:val="24"/>
                <w:szCs w:val="24"/>
              </w:rPr>
            </w:pPr>
            <w:r w:rsidRPr="008B1465">
              <w:rPr>
                <w:rFonts w:ascii="Times New Roman" w:hAnsi="Times New Roman"/>
                <w:sz w:val="24"/>
                <w:szCs w:val="24"/>
              </w:rPr>
              <w:t>18.615</w:t>
            </w:r>
          </w:p>
        </w:tc>
        <w:tc>
          <w:tcPr>
            <w:tcW w:w="1355" w:type="dxa"/>
          </w:tcPr>
          <w:p w14:paraId="2C0C4396" w14:textId="77777777" w:rsidR="002D7AA7" w:rsidRPr="008B1465" w:rsidRDefault="002D7AA7" w:rsidP="00F036CB">
            <w:pPr>
              <w:spacing w:after="0" w:line="360" w:lineRule="auto"/>
              <w:jc w:val="both"/>
              <w:rPr>
                <w:rFonts w:ascii="Times New Roman" w:hAnsi="Times New Roman"/>
                <w:sz w:val="24"/>
                <w:szCs w:val="24"/>
              </w:rPr>
            </w:pPr>
            <w:r w:rsidRPr="008B1465">
              <w:rPr>
                <w:rFonts w:ascii="Times New Roman" w:hAnsi="Times New Roman"/>
                <w:sz w:val="24"/>
                <w:szCs w:val="24"/>
              </w:rPr>
              <w:t>.000</w:t>
            </w:r>
          </w:p>
        </w:tc>
        <w:tc>
          <w:tcPr>
            <w:tcW w:w="1355" w:type="dxa"/>
          </w:tcPr>
          <w:p w14:paraId="6D89A6C2" w14:textId="77777777" w:rsidR="002D7AA7" w:rsidRPr="008B1465" w:rsidRDefault="002D7AA7" w:rsidP="00F036CB">
            <w:pPr>
              <w:spacing w:after="0" w:line="360" w:lineRule="auto"/>
              <w:jc w:val="both"/>
              <w:rPr>
                <w:rFonts w:ascii="Times New Roman" w:hAnsi="Times New Roman"/>
                <w:sz w:val="24"/>
                <w:szCs w:val="24"/>
              </w:rPr>
            </w:pPr>
            <w:r w:rsidRPr="008B1465">
              <w:rPr>
                <w:rFonts w:ascii="Times New Roman" w:hAnsi="Times New Roman"/>
                <w:sz w:val="24"/>
                <w:szCs w:val="24"/>
              </w:rPr>
              <w:t>.592</w:t>
            </w:r>
          </w:p>
        </w:tc>
        <w:tc>
          <w:tcPr>
            <w:tcW w:w="1355" w:type="dxa"/>
          </w:tcPr>
          <w:p w14:paraId="54CF5570" w14:textId="77777777" w:rsidR="002D7AA7" w:rsidRPr="008B1465" w:rsidRDefault="002D7AA7" w:rsidP="00F036CB">
            <w:pPr>
              <w:spacing w:after="0" w:line="360" w:lineRule="auto"/>
              <w:jc w:val="both"/>
              <w:rPr>
                <w:rFonts w:ascii="Times New Roman" w:hAnsi="Times New Roman"/>
                <w:sz w:val="24"/>
                <w:szCs w:val="24"/>
              </w:rPr>
            </w:pPr>
            <w:r w:rsidRPr="008B1465">
              <w:rPr>
                <w:rFonts w:ascii="Times New Roman" w:hAnsi="Times New Roman"/>
                <w:sz w:val="24"/>
                <w:szCs w:val="24"/>
              </w:rPr>
              <w:t>1.689</w:t>
            </w:r>
          </w:p>
        </w:tc>
      </w:tr>
      <w:tr w:rsidR="002D7AA7" w:rsidRPr="008B1465" w14:paraId="7EBB3307" w14:textId="77777777" w:rsidTr="00F036CB">
        <w:trPr>
          <w:trHeight w:val="377"/>
        </w:trPr>
        <w:tc>
          <w:tcPr>
            <w:tcW w:w="1354" w:type="dxa"/>
            <w:tcBorders>
              <w:bottom w:val="nil"/>
            </w:tcBorders>
          </w:tcPr>
          <w:p w14:paraId="719ABFC2" w14:textId="77777777" w:rsidR="002D7AA7" w:rsidRPr="008B1465" w:rsidRDefault="002D7AA7" w:rsidP="00F036CB">
            <w:pPr>
              <w:spacing w:after="0" w:line="360" w:lineRule="auto"/>
              <w:jc w:val="both"/>
              <w:rPr>
                <w:rFonts w:ascii="Times New Roman" w:hAnsi="Times New Roman"/>
                <w:b/>
                <w:bCs/>
                <w:sz w:val="24"/>
                <w:szCs w:val="24"/>
              </w:rPr>
            </w:pPr>
            <w:r w:rsidRPr="008B1465">
              <w:rPr>
                <w:rFonts w:ascii="Times New Roman" w:hAnsi="Times New Roman"/>
                <w:b/>
                <w:bCs/>
                <w:sz w:val="24"/>
                <w:szCs w:val="24"/>
              </w:rPr>
              <w:t>IF</w:t>
            </w:r>
          </w:p>
        </w:tc>
        <w:tc>
          <w:tcPr>
            <w:tcW w:w="1354" w:type="dxa"/>
            <w:tcBorders>
              <w:bottom w:val="nil"/>
            </w:tcBorders>
          </w:tcPr>
          <w:p w14:paraId="58BB7A79" w14:textId="77777777" w:rsidR="002D7AA7" w:rsidRPr="008B1465" w:rsidRDefault="002D7AA7" w:rsidP="00F036CB">
            <w:pPr>
              <w:spacing w:after="0" w:line="360" w:lineRule="auto"/>
              <w:jc w:val="both"/>
              <w:rPr>
                <w:rFonts w:ascii="Times New Roman" w:hAnsi="Times New Roman"/>
                <w:sz w:val="24"/>
                <w:szCs w:val="24"/>
              </w:rPr>
            </w:pPr>
            <w:r w:rsidRPr="008B1465">
              <w:rPr>
                <w:rFonts w:ascii="Times New Roman" w:hAnsi="Times New Roman"/>
                <w:sz w:val="24"/>
                <w:szCs w:val="24"/>
              </w:rPr>
              <w:t>.411</w:t>
            </w:r>
          </w:p>
        </w:tc>
        <w:tc>
          <w:tcPr>
            <w:tcW w:w="1355" w:type="dxa"/>
            <w:tcBorders>
              <w:bottom w:val="nil"/>
            </w:tcBorders>
          </w:tcPr>
          <w:p w14:paraId="2B565DAF" w14:textId="77777777" w:rsidR="002D7AA7" w:rsidRPr="008B1465" w:rsidRDefault="002D7AA7" w:rsidP="00F036CB">
            <w:pPr>
              <w:spacing w:after="0" w:line="360" w:lineRule="auto"/>
              <w:jc w:val="both"/>
              <w:rPr>
                <w:rFonts w:ascii="Times New Roman" w:hAnsi="Times New Roman"/>
                <w:sz w:val="24"/>
                <w:szCs w:val="24"/>
              </w:rPr>
            </w:pPr>
            <w:r w:rsidRPr="008B1465">
              <w:rPr>
                <w:rFonts w:ascii="Times New Roman" w:hAnsi="Times New Roman"/>
                <w:sz w:val="24"/>
                <w:szCs w:val="24"/>
              </w:rPr>
              <w:t>.409</w:t>
            </w:r>
          </w:p>
        </w:tc>
        <w:tc>
          <w:tcPr>
            <w:tcW w:w="1355" w:type="dxa"/>
            <w:tcBorders>
              <w:bottom w:val="nil"/>
            </w:tcBorders>
          </w:tcPr>
          <w:p w14:paraId="2B54C15E" w14:textId="77777777" w:rsidR="002D7AA7" w:rsidRPr="008B1465" w:rsidRDefault="002D7AA7" w:rsidP="00F036CB">
            <w:pPr>
              <w:spacing w:after="0" w:line="360" w:lineRule="auto"/>
              <w:jc w:val="both"/>
              <w:rPr>
                <w:rFonts w:ascii="Times New Roman" w:hAnsi="Times New Roman"/>
                <w:sz w:val="24"/>
                <w:szCs w:val="24"/>
              </w:rPr>
            </w:pPr>
            <w:r w:rsidRPr="008B1465">
              <w:rPr>
                <w:rFonts w:ascii="Times New Roman" w:hAnsi="Times New Roman"/>
                <w:sz w:val="24"/>
                <w:szCs w:val="24"/>
              </w:rPr>
              <w:t>12.181</w:t>
            </w:r>
          </w:p>
        </w:tc>
        <w:tc>
          <w:tcPr>
            <w:tcW w:w="1355" w:type="dxa"/>
            <w:tcBorders>
              <w:bottom w:val="nil"/>
            </w:tcBorders>
          </w:tcPr>
          <w:p w14:paraId="6D8AEEDD" w14:textId="77777777" w:rsidR="002D7AA7" w:rsidRPr="008B1465" w:rsidRDefault="002D7AA7" w:rsidP="00F036CB">
            <w:pPr>
              <w:spacing w:after="0" w:line="360" w:lineRule="auto"/>
              <w:jc w:val="both"/>
              <w:rPr>
                <w:rFonts w:ascii="Times New Roman" w:hAnsi="Times New Roman"/>
                <w:sz w:val="24"/>
                <w:szCs w:val="24"/>
              </w:rPr>
            </w:pPr>
            <w:r w:rsidRPr="008B1465">
              <w:rPr>
                <w:rFonts w:ascii="Times New Roman" w:hAnsi="Times New Roman"/>
                <w:sz w:val="24"/>
                <w:szCs w:val="24"/>
              </w:rPr>
              <w:t>.000</w:t>
            </w:r>
          </w:p>
        </w:tc>
        <w:tc>
          <w:tcPr>
            <w:tcW w:w="1355" w:type="dxa"/>
            <w:tcBorders>
              <w:bottom w:val="nil"/>
            </w:tcBorders>
          </w:tcPr>
          <w:p w14:paraId="05FA8B93" w14:textId="77777777" w:rsidR="002D7AA7" w:rsidRPr="008B1465" w:rsidRDefault="002D7AA7" w:rsidP="00F036CB">
            <w:pPr>
              <w:spacing w:after="0" w:line="360" w:lineRule="auto"/>
              <w:jc w:val="both"/>
              <w:rPr>
                <w:rFonts w:ascii="Times New Roman" w:hAnsi="Times New Roman"/>
                <w:sz w:val="24"/>
                <w:szCs w:val="24"/>
              </w:rPr>
            </w:pPr>
            <w:r w:rsidRPr="008B1465">
              <w:rPr>
                <w:rFonts w:ascii="Times New Roman" w:hAnsi="Times New Roman"/>
                <w:sz w:val="24"/>
                <w:szCs w:val="24"/>
              </w:rPr>
              <w:t>.983</w:t>
            </w:r>
          </w:p>
        </w:tc>
        <w:tc>
          <w:tcPr>
            <w:tcW w:w="1355" w:type="dxa"/>
            <w:tcBorders>
              <w:bottom w:val="nil"/>
            </w:tcBorders>
          </w:tcPr>
          <w:p w14:paraId="77C94078" w14:textId="77777777" w:rsidR="002D7AA7" w:rsidRPr="008B1465" w:rsidRDefault="002D7AA7" w:rsidP="00F036CB">
            <w:pPr>
              <w:spacing w:after="0" w:line="360" w:lineRule="auto"/>
              <w:jc w:val="both"/>
              <w:rPr>
                <w:rFonts w:ascii="Times New Roman" w:hAnsi="Times New Roman"/>
                <w:sz w:val="24"/>
                <w:szCs w:val="24"/>
              </w:rPr>
            </w:pPr>
            <w:r w:rsidRPr="008B1465">
              <w:rPr>
                <w:rFonts w:ascii="Times New Roman" w:hAnsi="Times New Roman"/>
                <w:sz w:val="24"/>
                <w:szCs w:val="24"/>
              </w:rPr>
              <w:t>1.017</w:t>
            </w:r>
          </w:p>
        </w:tc>
      </w:tr>
      <w:tr w:rsidR="002D7AA7" w:rsidRPr="008B1465" w14:paraId="5150D648" w14:textId="77777777" w:rsidTr="00F036CB">
        <w:trPr>
          <w:trHeight w:val="377"/>
        </w:trPr>
        <w:tc>
          <w:tcPr>
            <w:tcW w:w="1354" w:type="dxa"/>
            <w:tcBorders>
              <w:top w:val="nil"/>
              <w:bottom w:val="nil"/>
            </w:tcBorders>
          </w:tcPr>
          <w:p w14:paraId="6EA1820F" w14:textId="77777777" w:rsidR="002D7AA7" w:rsidRPr="008B1465" w:rsidRDefault="002D7AA7" w:rsidP="00F036CB">
            <w:pPr>
              <w:spacing w:after="0" w:line="360" w:lineRule="auto"/>
              <w:jc w:val="both"/>
              <w:rPr>
                <w:rFonts w:ascii="Times New Roman" w:hAnsi="Times New Roman"/>
                <w:b/>
                <w:bCs/>
                <w:sz w:val="24"/>
                <w:szCs w:val="24"/>
              </w:rPr>
            </w:pPr>
            <w:r w:rsidRPr="008B1465">
              <w:rPr>
                <w:rFonts w:ascii="Times New Roman" w:hAnsi="Times New Roman"/>
                <w:b/>
                <w:bCs/>
                <w:sz w:val="24"/>
                <w:szCs w:val="24"/>
              </w:rPr>
              <w:t>SCCP</w:t>
            </w:r>
          </w:p>
        </w:tc>
        <w:tc>
          <w:tcPr>
            <w:tcW w:w="1354" w:type="dxa"/>
            <w:tcBorders>
              <w:top w:val="nil"/>
              <w:bottom w:val="nil"/>
            </w:tcBorders>
          </w:tcPr>
          <w:p w14:paraId="450776A8" w14:textId="77777777" w:rsidR="002D7AA7" w:rsidRPr="008B1465" w:rsidRDefault="002D7AA7" w:rsidP="00F036CB">
            <w:pPr>
              <w:spacing w:after="0" w:line="360" w:lineRule="auto"/>
              <w:jc w:val="both"/>
              <w:rPr>
                <w:rFonts w:ascii="Times New Roman" w:hAnsi="Times New Roman"/>
                <w:sz w:val="24"/>
                <w:szCs w:val="24"/>
              </w:rPr>
            </w:pPr>
            <w:r w:rsidRPr="008B1465">
              <w:rPr>
                <w:rFonts w:ascii="Times New Roman" w:hAnsi="Times New Roman"/>
                <w:sz w:val="24"/>
                <w:szCs w:val="24"/>
              </w:rPr>
              <w:t>-.588</w:t>
            </w:r>
          </w:p>
        </w:tc>
        <w:tc>
          <w:tcPr>
            <w:tcW w:w="1355" w:type="dxa"/>
            <w:tcBorders>
              <w:top w:val="nil"/>
              <w:bottom w:val="nil"/>
            </w:tcBorders>
          </w:tcPr>
          <w:p w14:paraId="4A5FD296" w14:textId="77777777" w:rsidR="002D7AA7" w:rsidRPr="008B1465" w:rsidRDefault="002D7AA7" w:rsidP="00F036CB">
            <w:pPr>
              <w:spacing w:after="0" w:line="360" w:lineRule="auto"/>
              <w:jc w:val="both"/>
              <w:rPr>
                <w:rFonts w:ascii="Times New Roman" w:hAnsi="Times New Roman"/>
                <w:sz w:val="24"/>
                <w:szCs w:val="24"/>
              </w:rPr>
            </w:pPr>
            <w:r w:rsidRPr="008B1465">
              <w:rPr>
                <w:rFonts w:ascii="Times New Roman" w:hAnsi="Times New Roman"/>
                <w:sz w:val="24"/>
                <w:szCs w:val="24"/>
              </w:rPr>
              <w:t>-.440</w:t>
            </w:r>
          </w:p>
        </w:tc>
        <w:tc>
          <w:tcPr>
            <w:tcW w:w="1355" w:type="dxa"/>
            <w:tcBorders>
              <w:top w:val="nil"/>
              <w:bottom w:val="nil"/>
            </w:tcBorders>
          </w:tcPr>
          <w:p w14:paraId="591EB03D" w14:textId="77777777" w:rsidR="002D7AA7" w:rsidRPr="008B1465" w:rsidRDefault="002D7AA7" w:rsidP="00F036CB">
            <w:pPr>
              <w:spacing w:after="0" w:line="360" w:lineRule="auto"/>
              <w:jc w:val="both"/>
              <w:rPr>
                <w:rFonts w:ascii="Times New Roman" w:hAnsi="Times New Roman"/>
                <w:sz w:val="24"/>
                <w:szCs w:val="24"/>
              </w:rPr>
            </w:pPr>
            <w:r w:rsidRPr="008B1465">
              <w:rPr>
                <w:rFonts w:ascii="Times New Roman" w:hAnsi="Times New Roman"/>
                <w:sz w:val="24"/>
                <w:szCs w:val="24"/>
              </w:rPr>
              <w:t>-10.110</w:t>
            </w:r>
          </w:p>
        </w:tc>
        <w:tc>
          <w:tcPr>
            <w:tcW w:w="1355" w:type="dxa"/>
            <w:tcBorders>
              <w:top w:val="nil"/>
              <w:bottom w:val="nil"/>
            </w:tcBorders>
          </w:tcPr>
          <w:p w14:paraId="095BF5A5" w14:textId="77777777" w:rsidR="002D7AA7" w:rsidRPr="008B1465" w:rsidRDefault="002D7AA7" w:rsidP="00F036CB">
            <w:pPr>
              <w:spacing w:after="0" w:line="360" w:lineRule="auto"/>
              <w:jc w:val="both"/>
              <w:rPr>
                <w:rFonts w:ascii="Times New Roman" w:hAnsi="Times New Roman"/>
                <w:sz w:val="24"/>
                <w:szCs w:val="24"/>
              </w:rPr>
            </w:pPr>
            <w:r w:rsidRPr="008B1465">
              <w:rPr>
                <w:rFonts w:ascii="Times New Roman" w:hAnsi="Times New Roman"/>
                <w:sz w:val="24"/>
                <w:szCs w:val="24"/>
              </w:rPr>
              <w:t>.000</w:t>
            </w:r>
          </w:p>
        </w:tc>
        <w:tc>
          <w:tcPr>
            <w:tcW w:w="1355" w:type="dxa"/>
            <w:tcBorders>
              <w:top w:val="nil"/>
              <w:bottom w:val="nil"/>
            </w:tcBorders>
          </w:tcPr>
          <w:p w14:paraId="27EB7A7B" w14:textId="77777777" w:rsidR="002D7AA7" w:rsidRPr="008B1465" w:rsidRDefault="002D7AA7" w:rsidP="00F036CB">
            <w:pPr>
              <w:spacing w:after="0" w:line="360" w:lineRule="auto"/>
              <w:jc w:val="both"/>
              <w:rPr>
                <w:rFonts w:ascii="Times New Roman" w:hAnsi="Times New Roman"/>
                <w:sz w:val="24"/>
                <w:szCs w:val="24"/>
              </w:rPr>
            </w:pPr>
            <w:r w:rsidRPr="008B1465">
              <w:rPr>
                <w:rFonts w:ascii="Times New Roman" w:hAnsi="Times New Roman"/>
                <w:sz w:val="24"/>
                <w:szCs w:val="24"/>
              </w:rPr>
              <w:t>.586</w:t>
            </w:r>
          </w:p>
        </w:tc>
        <w:tc>
          <w:tcPr>
            <w:tcW w:w="1355" w:type="dxa"/>
            <w:tcBorders>
              <w:top w:val="nil"/>
              <w:bottom w:val="nil"/>
            </w:tcBorders>
          </w:tcPr>
          <w:p w14:paraId="0FC69BBA" w14:textId="77777777" w:rsidR="002D7AA7" w:rsidRPr="008B1465" w:rsidRDefault="002D7AA7" w:rsidP="00F036CB">
            <w:pPr>
              <w:spacing w:after="0" w:line="360" w:lineRule="auto"/>
              <w:jc w:val="both"/>
              <w:rPr>
                <w:rFonts w:ascii="Times New Roman" w:hAnsi="Times New Roman"/>
                <w:sz w:val="24"/>
                <w:szCs w:val="24"/>
              </w:rPr>
            </w:pPr>
            <w:r w:rsidRPr="008B1465">
              <w:rPr>
                <w:rFonts w:ascii="Times New Roman" w:hAnsi="Times New Roman"/>
                <w:sz w:val="24"/>
                <w:szCs w:val="24"/>
              </w:rPr>
              <w:t>1.707</w:t>
            </w:r>
          </w:p>
        </w:tc>
      </w:tr>
    </w:tbl>
    <w:p w14:paraId="25396C56" w14:textId="77777777" w:rsidR="002D7AA7" w:rsidRPr="008B1465" w:rsidRDefault="002D7AA7" w:rsidP="002D7AA7">
      <w:pPr>
        <w:pStyle w:val="NoSpacing"/>
        <w:rPr>
          <w:rFonts w:ascii="Times New Roman" w:hAnsi="Times New Roman"/>
          <w:b/>
          <w:bCs/>
          <w:sz w:val="18"/>
          <w:szCs w:val="18"/>
        </w:rPr>
      </w:pPr>
      <w:r w:rsidRPr="008B1465">
        <w:rPr>
          <w:rFonts w:ascii="Times New Roman" w:hAnsi="Times New Roman"/>
          <w:b/>
          <w:bCs/>
          <w:sz w:val="18"/>
          <w:szCs w:val="18"/>
        </w:rPr>
        <w:t>R= .776</w:t>
      </w:r>
    </w:p>
    <w:p w14:paraId="26FDF377" w14:textId="77777777" w:rsidR="002D7AA7" w:rsidRPr="008B1465" w:rsidRDefault="002D7AA7" w:rsidP="002D7AA7">
      <w:pPr>
        <w:pStyle w:val="NoSpacing"/>
        <w:rPr>
          <w:rFonts w:ascii="Times New Roman" w:hAnsi="Times New Roman"/>
          <w:b/>
          <w:bCs/>
          <w:sz w:val="18"/>
          <w:szCs w:val="18"/>
        </w:rPr>
      </w:pPr>
      <w:r w:rsidRPr="008B1465">
        <w:rPr>
          <w:rFonts w:ascii="Times New Roman" w:hAnsi="Times New Roman"/>
          <w:b/>
          <w:bCs/>
          <w:sz w:val="18"/>
          <w:szCs w:val="18"/>
        </w:rPr>
        <w:t>R</w:t>
      </w:r>
      <w:r w:rsidRPr="008B1465">
        <w:rPr>
          <w:rFonts w:ascii="Times New Roman" w:hAnsi="Times New Roman"/>
          <w:b/>
          <w:bCs/>
          <w:sz w:val="18"/>
          <w:szCs w:val="18"/>
          <w:vertAlign w:val="superscript"/>
        </w:rPr>
        <w:t xml:space="preserve">2 </w:t>
      </w:r>
      <w:r w:rsidRPr="008B1465">
        <w:rPr>
          <w:rFonts w:ascii="Times New Roman" w:hAnsi="Times New Roman"/>
          <w:b/>
          <w:bCs/>
          <w:sz w:val="18"/>
          <w:szCs w:val="18"/>
        </w:rPr>
        <w:t>= .602</w:t>
      </w:r>
    </w:p>
    <w:p w14:paraId="7771D5FF" w14:textId="77777777" w:rsidR="002D7AA7" w:rsidRPr="008B1465" w:rsidRDefault="002D7AA7" w:rsidP="002D7AA7">
      <w:pPr>
        <w:pStyle w:val="NoSpacing"/>
        <w:rPr>
          <w:rFonts w:ascii="Times New Roman" w:hAnsi="Times New Roman"/>
          <w:b/>
          <w:bCs/>
          <w:sz w:val="18"/>
          <w:szCs w:val="18"/>
        </w:rPr>
      </w:pPr>
      <w:r w:rsidRPr="008B1465">
        <w:rPr>
          <w:rFonts w:ascii="Times New Roman" w:hAnsi="Times New Roman"/>
          <w:b/>
          <w:bCs/>
          <w:sz w:val="18"/>
          <w:szCs w:val="18"/>
        </w:rPr>
        <w:t>Adj.R</w:t>
      </w:r>
      <w:r w:rsidRPr="008B1465">
        <w:rPr>
          <w:rFonts w:ascii="Times New Roman" w:hAnsi="Times New Roman"/>
          <w:b/>
          <w:bCs/>
          <w:sz w:val="18"/>
          <w:szCs w:val="18"/>
          <w:vertAlign w:val="superscript"/>
        </w:rPr>
        <w:t xml:space="preserve">2 </w:t>
      </w:r>
      <w:r w:rsidRPr="008B1465">
        <w:rPr>
          <w:rFonts w:ascii="Times New Roman" w:hAnsi="Times New Roman"/>
          <w:b/>
          <w:bCs/>
          <w:sz w:val="18"/>
          <w:szCs w:val="18"/>
        </w:rPr>
        <w:t>= .598</w:t>
      </w:r>
    </w:p>
    <w:p w14:paraId="652B998F" w14:textId="77777777" w:rsidR="002D7AA7" w:rsidRPr="008B1465" w:rsidRDefault="002D7AA7" w:rsidP="002D7AA7">
      <w:pPr>
        <w:pStyle w:val="NoSpacing"/>
        <w:rPr>
          <w:rFonts w:ascii="Times New Roman" w:hAnsi="Times New Roman"/>
          <w:b/>
          <w:bCs/>
          <w:sz w:val="18"/>
          <w:szCs w:val="18"/>
        </w:rPr>
      </w:pPr>
      <w:r w:rsidRPr="008B1465">
        <w:rPr>
          <w:rFonts w:ascii="Times New Roman" w:hAnsi="Times New Roman"/>
          <w:b/>
          <w:bCs/>
          <w:sz w:val="18"/>
          <w:szCs w:val="18"/>
        </w:rPr>
        <w:t>F (4,359) = 135.998</w:t>
      </w:r>
    </w:p>
    <w:p w14:paraId="54AF01F4" w14:textId="77777777" w:rsidR="002D7AA7" w:rsidRPr="008B1465" w:rsidRDefault="002D7AA7" w:rsidP="002D7AA7">
      <w:pPr>
        <w:pStyle w:val="NoSpacing"/>
        <w:pBdr>
          <w:bottom w:val="thinThickSmallGap" w:sz="24" w:space="1" w:color="auto"/>
        </w:pBdr>
        <w:rPr>
          <w:rFonts w:ascii="Times New Roman" w:hAnsi="Times New Roman"/>
          <w:b/>
          <w:bCs/>
          <w:sz w:val="18"/>
          <w:szCs w:val="18"/>
        </w:rPr>
      </w:pPr>
      <w:r w:rsidRPr="008B1465">
        <w:rPr>
          <w:rFonts w:ascii="Times New Roman" w:hAnsi="Times New Roman"/>
          <w:b/>
          <w:bCs/>
          <w:sz w:val="18"/>
          <w:szCs w:val="18"/>
        </w:rPr>
        <w:t>Sig= 0.0131</w:t>
      </w:r>
    </w:p>
    <w:p w14:paraId="58EAC2E8" w14:textId="77777777" w:rsidR="002D7AA7" w:rsidRPr="008B1465" w:rsidRDefault="002D7AA7" w:rsidP="002D7AA7">
      <w:pPr>
        <w:pStyle w:val="NoSpacing"/>
        <w:pBdr>
          <w:top w:val="single" w:sz="4" w:space="1" w:color="auto"/>
        </w:pBdr>
        <w:rPr>
          <w:rFonts w:ascii="Times New Roman" w:hAnsi="Times New Roman"/>
          <w:b/>
          <w:bCs/>
          <w:sz w:val="18"/>
          <w:szCs w:val="18"/>
        </w:rPr>
      </w:pPr>
      <w:r w:rsidRPr="008B1465">
        <w:rPr>
          <w:rFonts w:ascii="Times New Roman" w:hAnsi="Times New Roman"/>
          <w:b/>
          <w:bCs/>
          <w:sz w:val="18"/>
          <w:szCs w:val="18"/>
        </w:rPr>
        <w:t>Durbin-Watson = 1.967</w:t>
      </w:r>
    </w:p>
    <w:p w14:paraId="4144333F" w14:textId="77777777" w:rsidR="002D7AA7" w:rsidRPr="008B1465" w:rsidRDefault="002D7AA7" w:rsidP="002D7AA7">
      <w:pPr>
        <w:pStyle w:val="NoSpacing"/>
        <w:rPr>
          <w:rFonts w:ascii="Times New Roman" w:hAnsi="Times New Roman"/>
          <w:b/>
          <w:bCs/>
          <w:sz w:val="18"/>
          <w:szCs w:val="18"/>
        </w:rPr>
      </w:pPr>
      <w:r w:rsidRPr="008B1465">
        <w:rPr>
          <w:rFonts w:ascii="Times New Roman" w:hAnsi="Times New Roman"/>
          <w:b/>
          <w:bCs/>
          <w:sz w:val="18"/>
          <w:szCs w:val="18"/>
        </w:rPr>
        <w:t>Source: Researchers’ Computation 2023, SPSS 25.0</w:t>
      </w:r>
    </w:p>
    <w:p w14:paraId="3D18BA9B" w14:textId="0D40D437" w:rsidR="00657F4A" w:rsidRDefault="005741CB" w:rsidP="00234521">
      <w:pPr>
        <w:spacing w:after="0" w:line="360" w:lineRule="auto"/>
        <w:jc w:val="both"/>
        <w:rPr>
          <w:rFonts w:ascii="Times New Roman" w:hAnsi="Times New Roman"/>
          <w:b/>
          <w:bCs/>
          <w:sz w:val="24"/>
          <w:szCs w:val="24"/>
        </w:rPr>
      </w:pPr>
      <w:r>
        <w:rPr>
          <w:rFonts w:ascii="Times New Roman" w:hAnsi="Times New Roman"/>
          <w:b/>
          <w:bCs/>
          <w:sz w:val="24"/>
          <w:szCs w:val="24"/>
        </w:rPr>
        <w:t xml:space="preserve">Operational </w:t>
      </w:r>
      <w:r w:rsidR="001A22ED">
        <w:rPr>
          <w:rFonts w:ascii="Times New Roman" w:hAnsi="Times New Roman"/>
          <w:b/>
          <w:bCs/>
          <w:sz w:val="24"/>
          <w:szCs w:val="24"/>
        </w:rPr>
        <w:t>Model 2</w:t>
      </w:r>
      <w:r w:rsidR="00ED4429">
        <w:rPr>
          <w:rFonts w:ascii="Times New Roman" w:hAnsi="Times New Roman"/>
          <w:b/>
          <w:bCs/>
          <w:sz w:val="24"/>
          <w:szCs w:val="24"/>
        </w:rPr>
        <w:t xml:space="preserve"> for Hypothesis 2</w:t>
      </w:r>
      <w:r w:rsidR="00587A0C">
        <w:rPr>
          <w:rFonts w:ascii="Times New Roman" w:hAnsi="Times New Roman"/>
          <w:b/>
          <w:bCs/>
          <w:sz w:val="24"/>
          <w:szCs w:val="24"/>
        </w:rPr>
        <w:t xml:space="preserve"> is stated as:</w:t>
      </w:r>
    </w:p>
    <w:p w14:paraId="623CB876" w14:textId="6C217E3B" w:rsidR="0030176C" w:rsidRPr="008B1465" w:rsidRDefault="0030176C" w:rsidP="0030176C">
      <w:pPr>
        <w:pStyle w:val="NoSpacing"/>
        <w:spacing w:line="360" w:lineRule="auto"/>
        <w:rPr>
          <w:rFonts w:ascii="Times New Roman" w:eastAsia="DengXian" w:hAnsi="Times New Roman"/>
          <w:sz w:val="24"/>
          <w:szCs w:val="24"/>
        </w:rPr>
      </w:pPr>
      <w:r w:rsidRPr="008B1465">
        <w:rPr>
          <w:rFonts w:ascii="Times New Roman" w:eastAsia="DengXian" w:hAnsi="Times New Roman"/>
          <w:sz w:val="24"/>
          <w:szCs w:val="24"/>
        </w:rPr>
        <w:t xml:space="preserve">VM = </w:t>
      </w:r>
      <w:r w:rsidR="002D6B62" w:rsidRPr="008B1465">
        <w:rPr>
          <w:rFonts w:ascii="Times New Roman" w:hAnsi="Times New Roman"/>
          <w:noProof/>
          <w:sz w:val="24"/>
          <w:szCs w:val="24"/>
        </w:rPr>
        <w:drawing>
          <wp:inline distT="0" distB="0" distL="0" distR="0" wp14:anchorId="03612342" wp14:editId="40923FEB">
            <wp:extent cx="84455" cy="173355"/>
            <wp:effectExtent l="0" t="0" r="0" b="0"/>
            <wp:docPr id="253" name="Pictur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Picture 23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002D6B62" w:rsidRPr="008B1465">
        <w:rPr>
          <w:rFonts w:ascii="Times New Roman" w:eastAsia="DengXian" w:hAnsi="Times New Roman"/>
          <w:sz w:val="24"/>
          <w:szCs w:val="24"/>
          <w:vertAlign w:val="subscript"/>
        </w:rPr>
        <w:t>0</w:t>
      </w:r>
      <w:r w:rsidR="002D6B62" w:rsidRPr="008B1465">
        <w:rPr>
          <w:rFonts w:ascii="Times New Roman" w:eastAsia="DengXian" w:hAnsi="Times New Roman"/>
          <w:sz w:val="24"/>
          <w:szCs w:val="24"/>
        </w:rPr>
        <w:t xml:space="preserve"> </w:t>
      </w:r>
      <w:r w:rsidRPr="008B1465">
        <w:rPr>
          <w:rFonts w:ascii="Times New Roman" w:eastAsia="DengXian" w:hAnsi="Times New Roman"/>
          <w:sz w:val="24"/>
          <w:szCs w:val="24"/>
        </w:rPr>
        <w:t xml:space="preserve">+ </w:t>
      </w:r>
      <w:r w:rsidRPr="008B1465">
        <w:rPr>
          <w:rFonts w:ascii="Times New Roman" w:hAnsi="Times New Roman"/>
          <w:noProof/>
          <w:sz w:val="24"/>
          <w:szCs w:val="24"/>
        </w:rPr>
        <w:drawing>
          <wp:inline distT="0" distB="0" distL="0" distR="0" wp14:anchorId="4E7D7250" wp14:editId="3D975309">
            <wp:extent cx="84455" cy="173355"/>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Picture 23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Pr="008B1465">
        <w:rPr>
          <w:rFonts w:ascii="Times New Roman" w:eastAsia="DengXian" w:hAnsi="Times New Roman"/>
          <w:sz w:val="24"/>
          <w:szCs w:val="24"/>
          <w:vertAlign w:val="subscript"/>
        </w:rPr>
        <w:t>1</w:t>
      </w:r>
      <w:r w:rsidRPr="008B1465">
        <w:rPr>
          <w:rFonts w:ascii="Times New Roman" w:eastAsia="DengXian" w:hAnsi="Times New Roman"/>
          <w:sz w:val="24"/>
          <w:szCs w:val="24"/>
        </w:rPr>
        <w:t>IF</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Pr="008B1465">
        <w:rPr>
          <w:rFonts w:ascii="Times New Roman" w:hAnsi="Times New Roman"/>
          <w:noProof/>
          <w:sz w:val="24"/>
          <w:szCs w:val="24"/>
        </w:rPr>
        <w:drawing>
          <wp:inline distT="0" distB="0" distL="0" distR="0" wp14:anchorId="7159504A" wp14:editId="0A6A26CA">
            <wp:extent cx="84455" cy="173355"/>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Picture 23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Pr="008B1465">
        <w:rPr>
          <w:rFonts w:ascii="Times New Roman" w:eastAsia="DengXian" w:hAnsi="Times New Roman"/>
          <w:sz w:val="24"/>
          <w:szCs w:val="24"/>
          <w:vertAlign w:val="subscript"/>
        </w:rPr>
        <w:t>2</w:t>
      </w:r>
      <w:r w:rsidRPr="008B1465">
        <w:rPr>
          <w:rFonts w:ascii="Times New Roman" w:eastAsia="DengXian" w:hAnsi="Times New Roman"/>
          <w:sz w:val="24"/>
          <w:szCs w:val="24"/>
        </w:rPr>
        <w:t>LS</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Pr="008B1465">
        <w:rPr>
          <w:rFonts w:ascii="Times New Roman" w:hAnsi="Times New Roman"/>
          <w:noProof/>
          <w:sz w:val="24"/>
          <w:szCs w:val="24"/>
        </w:rPr>
        <w:drawing>
          <wp:inline distT="0" distB="0" distL="0" distR="0" wp14:anchorId="255EC942" wp14:editId="405BB375">
            <wp:extent cx="84455" cy="173355"/>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Picture 23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Pr="008B1465">
        <w:rPr>
          <w:rFonts w:ascii="Times New Roman" w:eastAsia="DengXian" w:hAnsi="Times New Roman"/>
          <w:sz w:val="24"/>
          <w:szCs w:val="24"/>
          <w:vertAlign w:val="subscript"/>
        </w:rPr>
        <w:t>3</w:t>
      </w:r>
      <w:r w:rsidRPr="008B1465">
        <w:rPr>
          <w:rFonts w:ascii="Times New Roman" w:eastAsia="DengXian" w:hAnsi="Times New Roman"/>
          <w:sz w:val="24"/>
          <w:szCs w:val="24"/>
        </w:rPr>
        <w:t>SCCP</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Pr="008B1465">
        <w:rPr>
          <w:rFonts w:ascii="Times New Roman" w:hAnsi="Times New Roman"/>
          <w:noProof/>
          <w:sz w:val="24"/>
          <w:szCs w:val="24"/>
        </w:rPr>
        <w:drawing>
          <wp:inline distT="0" distB="0" distL="0" distR="0" wp14:anchorId="1900581D" wp14:editId="3D410463">
            <wp:extent cx="84455" cy="173355"/>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Picture 23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Pr="008B1465">
        <w:rPr>
          <w:rFonts w:ascii="Times New Roman" w:eastAsia="DengXian" w:hAnsi="Times New Roman"/>
          <w:sz w:val="24"/>
          <w:szCs w:val="24"/>
          <w:vertAlign w:val="subscript"/>
        </w:rPr>
        <w:t>4</w:t>
      </w:r>
      <w:r w:rsidRPr="008B1465">
        <w:rPr>
          <w:rFonts w:ascii="Times New Roman" w:eastAsia="DengXian" w:hAnsi="Times New Roman"/>
          <w:sz w:val="24"/>
          <w:szCs w:val="24"/>
        </w:rPr>
        <w:t>ADE</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Pr="008B1465">
        <w:rPr>
          <w:rFonts w:ascii="Times New Roman" w:hAnsi="Times New Roman"/>
          <w:sz w:val="32"/>
          <w:szCs w:val="32"/>
        </w:rPr>
        <w:t>ԑ</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Model 2</w:t>
      </w:r>
    </w:p>
    <w:p w14:paraId="491B6A6D" w14:textId="3C0F846B" w:rsidR="00FE5828" w:rsidRDefault="00FE5828" w:rsidP="00FE5828">
      <w:pPr>
        <w:pStyle w:val="NoSpacing"/>
        <w:spacing w:line="360" w:lineRule="auto"/>
        <w:rPr>
          <w:rFonts w:ascii="Times New Roman" w:eastAsia="DengXian" w:hAnsi="Times New Roman"/>
          <w:sz w:val="24"/>
          <w:szCs w:val="24"/>
        </w:rPr>
      </w:pPr>
      <w:r w:rsidRPr="008B1465">
        <w:rPr>
          <w:rFonts w:ascii="Times New Roman" w:eastAsia="DengXian" w:hAnsi="Times New Roman"/>
          <w:sz w:val="24"/>
          <w:szCs w:val="24"/>
        </w:rPr>
        <w:t xml:space="preserve">VM = </w:t>
      </w:r>
      <w:r w:rsidR="00194B42">
        <w:rPr>
          <w:rFonts w:ascii="Times New Roman" w:eastAsia="DengXian" w:hAnsi="Times New Roman"/>
          <w:bCs/>
          <w:sz w:val="24"/>
          <w:szCs w:val="24"/>
        </w:rPr>
        <w:t>12.192</w:t>
      </w:r>
      <w:r w:rsidRPr="008B1465">
        <w:rPr>
          <w:rFonts w:ascii="Times New Roman" w:eastAsia="DengXian" w:hAnsi="Times New Roman"/>
          <w:sz w:val="24"/>
          <w:szCs w:val="24"/>
        </w:rPr>
        <w:t xml:space="preserve">+ </w:t>
      </w:r>
      <w:r w:rsidR="00194B42">
        <w:rPr>
          <w:rFonts w:ascii="Times New Roman" w:hAnsi="Times New Roman"/>
          <w:noProof/>
          <w:sz w:val="24"/>
          <w:szCs w:val="24"/>
        </w:rPr>
        <w:t>0.411</w:t>
      </w:r>
      <w:r w:rsidRPr="008B1465">
        <w:rPr>
          <w:rFonts w:ascii="Times New Roman" w:eastAsia="DengXian" w:hAnsi="Times New Roman"/>
          <w:sz w:val="24"/>
          <w:szCs w:val="24"/>
        </w:rPr>
        <w:t>IF</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006549F7">
        <w:rPr>
          <w:rFonts w:ascii="Times New Roman" w:hAnsi="Times New Roman"/>
          <w:noProof/>
          <w:sz w:val="24"/>
          <w:szCs w:val="24"/>
        </w:rPr>
        <w:t>0.097</w:t>
      </w:r>
      <w:r w:rsidRPr="008B1465">
        <w:rPr>
          <w:rFonts w:ascii="Times New Roman" w:eastAsia="DengXian" w:hAnsi="Times New Roman"/>
          <w:sz w:val="24"/>
          <w:szCs w:val="24"/>
        </w:rPr>
        <w:t>LS</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006549F7">
        <w:rPr>
          <w:rFonts w:ascii="Times New Roman" w:hAnsi="Times New Roman"/>
          <w:noProof/>
          <w:sz w:val="24"/>
          <w:szCs w:val="24"/>
        </w:rPr>
        <w:t>-0.</w:t>
      </w:r>
      <w:r w:rsidR="00753E8B">
        <w:rPr>
          <w:rFonts w:ascii="Times New Roman" w:hAnsi="Times New Roman"/>
          <w:noProof/>
          <w:sz w:val="24"/>
          <w:szCs w:val="24"/>
        </w:rPr>
        <w:t>588</w:t>
      </w:r>
      <w:r w:rsidRPr="008B1465">
        <w:rPr>
          <w:rFonts w:ascii="Times New Roman" w:eastAsia="DengXian" w:hAnsi="Times New Roman"/>
          <w:sz w:val="24"/>
          <w:szCs w:val="24"/>
        </w:rPr>
        <w:t>SCCP</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00753E8B">
        <w:rPr>
          <w:rFonts w:ascii="Times New Roman" w:hAnsi="Times New Roman"/>
          <w:noProof/>
          <w:sz w:val="24"/>
          <w:szCs w:val="24"/>
        </w:rPr>
        <w:t>0.533</w:t>
      </w:r>
      <w:r w:rsidRPr="008B1465">
        <w:rPr>
          <w:rFonts w:ascii="Times New Roman" w:eastAsia="DengXian" w:hAnsi="Times New Roman"/>
          <w:sz w:val="24"/>
          <w:szCs w:val="24"/>
        </w:rPr>
        <w:t>ADE</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w:t>
      </w:r>
    </w:p>
    <w:p w14:paraId="4A0C668F" w14:textId="639FA73E" w:rsidR="00753E8B" w:rsidRDefault="00AC1D44" w:rsidP="00FE5828">
      <w:pPr>
        <w:pStyle w:val="NoSpacing"/>
        <w:spacing w:line="360" w:lineRule="auto"/>
        <w:rPr>
          <w:rFonts w:ascii="Times New Roman" w:eastAsia="DengXian" w:hAnsi="Times New Roman"/>
          <w:b/>
          <w:bCs/>
          <w:sz w:val="24"/>
          <w:szCs w:val="24"/>
        </w:rPr>
      </w:pPr>
      <w:r w:rsidRPr="001F2A13">
        <w:rPr>
          <w:rFonts w:ascii="Times New Roman" w:eastAsia="DengXian" w:hAnsi="Times New Roman"/>
          <w:b/>
          <w:bCs/>
          <w:sz w:val="24"/>
          <w:szCs w:val="24"/>
        </w:rPr>
        <w:t>Interpretation</w:t>
      </w:r>
    </w:p>
    <w:p w14:paraId="497A9FCD" w14:textId="24F37DFE" w:rsidR="00F417B3" w:rsidRDefault="001F2A13" w:rsidP="00390902">
      <w:pPr>
        <w:pStyle w:val="NoSpacing"/>
        <w:spacing w:line="360" w:lineRule="auto"/>
        <w:jc w:val="both"/>
        <w:rPr>
          <w:rFonts w:ascii="Times New Roman" w:eastAsia="DengXian" w:hAnsi="Times New Roman"/>
          <w:sz w:val="24"/>
          <w:szCs w:val="24"/>
        </w:rPr>
      </w:pPr>
      <w:r w:rsidRPr="004A2BE1">
        <w:rPr>
          <w:rFonts w:ascii="Times New Roman" w:eastAsia="DengXian" w:hAnsi="Times New Roman"/>
          <w:sz w:val="24"/>
          <w:szCs w:val="24"/>
        </w:rPr>
        <w:t>LS= 0.079, t=4</w:t>
      </w:r>
      <w:r w:rsidR="00F417B3" w:rsidRPr="004A2BE1">
        <w:rPr>
          <w:rFonts w:ascii="Times New Roman" w:eastAsia="DengXian" w:hAnsi="Times New Roman"/>
          <w:sz w:val="24"/>
          <w:szCs w:val="24"/>
        </w:rPr>
        <w:t>.179, p=0.000</w:t>
      </w:r>
      <w:r w:rsidR="00E81687">
        <w:rPr>
          <w:rFonts w:ascii="Times New Roman" w:eastAsia="DengXian" w:hAnsi="Times New Roman"/>
          <w:sz w:val="24"/>
          <w:szCs w:val="24"/>
        </w:rPr>
        <w:t xml:space="preserve">: </w:t>
      </w:r>
      <w:r w:rsidR="00541171">
        <w:rPr>
          <w:rFonts w:ascii="Times New Roman" w:eastAsia="DengXian" w:hAnsi="Times New Roman"/>
          <w:sz w:val="24"/>
          <w:szCs w:val="24"/>
        </w:rPr>
        <w:t>One unit c</w:t>
      </w:r>
      <w:r w:rsidR="00F417B3">
        <w:rPr>
          <w:rFonts w:ascii="Times New Roman" w:eastAsia="DengXian" w:hAnsi="Times New Roman"/>
          <w:sz w:val="24"/>
          <w:szCs w:val="24"/>
        </w:rPr>
        <w:t xml:space="preserve">hange in </w:t>
      </w:r>
      <w:r w:rsidR="00BF528C">
        <w:rPr>
          <w:rFonts w:ascii="Times New Roman" w:eastAsia="DengXian" w:hAnsi="Times New Roman"/>
          <w:sz w:val="24"/>
          <w:szCs w:val="24"/>
        </w:rPr>
        <w:t>L</w:t>
      </w:r>
      <w:r w:rsidR="00F417B3">
        <w:rPr>
          <w:rFonts w:ascii="Times New Roman" w:eastAsia="DengXian" w:hAnsi="Times New Roman"/>
          <w:sz w:val="24"/>
          <w:szCs w:val="24"/>
        </w:rPr>
        <w:t>itigation</w:t>
      </w:r>
      <w:r w:rsidR="00B0464D">
        <w:rPr>
          <w:rFonts w:ascii="Times New Roman" w:eastAsia="DengXian" w:hAnsi="Times New Roman"/>
          <w:sz w:val="24"/>
          <w:szCs w:val="24"/>
        </w:rPr>
        <w:t xml:space="preserve"> </w:t>
      </w:r>
      <w:r w:rsidR="00BF528C">
        <w:rPr>
          <w:rFonts w:ascii="Times New Roman" w:eastAsia="DengXian" w:hAnsi="Times New Roman"/>
          <w:sz w:val="24"/>
          <w:szCs w:val="24"/>
        </w:rPr>
        <w:t>S</w:t>
      </w:r>
      <w:r w:rsidR="00B0464D">
        <w:rPr>
          <w:rFonts w:ascii="Times New Roman" w:eastAsia="DengXian" w:hAnsi="Times New Roman"/>
          <w:sz w:val="24"/>
          <w:szCs w:val="24"/>
        </w:rPr>
        <w:t xml:space="preserve">ervices will enhance </w:t>
      </w:r>
      <w:r w:rsidR="00BF528C">
        <w:rPr>
          <w:rFonts w:ascii="Times New Roman" w:eastAsia="DengXian" w:hAnsi="Times New Roman"/>
          <w:sz w:val="24"/>
          <w:szCs w:val="24"/>
        </w:rPr>
        <w:t>V</w:t>
      </w:r>
      <w:r w:rsidR="00B0464D">
        <w:rPr>
          <w:rFonts w:ascii="Times New Roman" w:eastAsia="DengXian" w:hAnsi="Times New Roman"/>
          <w:sz w:val="24"/>
          <w:szCs w:val="24"/>
        </w:rPr>
        <w:t xml:space="preserve">alue for </w:t>
      </w:r>
      <w:r w:rsidR="00BF528C">
        <w:rPr>
          <w:rFonts w:ascii="Times New Roman" w:eastAsia="DengXian" w:hAnsi="Times New Roman"/>
          <w:sz w:val="24"/>
          <w:szCs w:val="24"/>
        </w:rPr>
        <w:t>M</w:t>
      </w:r>
      <w:r w:rsidR="00B0464D">
        <w:rPr>
          <w:rFonts w:ascii="Times New Roman" w:eastAsia="DengXian" w:hAnsi="Times New Roman"/>
          <w:sz w:val="24"/>
          <w:szCs w:val="24"/>
        </w:rPr>
        <w:t xml:space="preserve">oney </w:t>
      </w:r>
      <w:r w:rsidR="00BF528C">
        <w:rPr>
          <w:rFonts w:ascii="Times New Roman" w:eastAsia="DengXian" w:hAnsi="Times New Roman"/>
          <w:sz w:val="24"/>
          <w:szCs w:val="24"/>
        </w:rPr>
        <w:t>P</w:t>
      </w:r>
      <w:r w:rsidR="00B0464D">
        <w:rPr>
          <w:rFonts w:ascii="Times New Roman" w:eastAsia="DengXian" w:hAnsi="Times New Roman"/>
          <w:sz w:val="24"/>
          <w:szCs w:val="24"/>
        </w:rPr>
        <w:t>ractices by 9.7units</w:t>
      </w:r>
      <w:r w:rsidR="00E7673F">
        <w:rPr>
          <w:rFonts w:ascii="Times New Roman" w:eastAsia="DengXian" w:hAnsi="Times New Roman"/>
          <w:sz w:val="24"/>
          <w:szCs w:val="24"/>
        </w:rPr>
        <w:t>, t= 4.179</w:t>
      </w:r>
      <w:r w:rsidR="00C45C7D">
        <w:rPr>
          <w:rFonts w:ascii="Times New Roman" w:eastAsia="DengXian" w:hAnsi="Times New Roman"/>
          <w:sz w:val="24"/>
          <w:szCs w:val="24"/>
        </w:rPr>
        <w:t>, p</w:t>
      </w:r>
      <w:r w:rsidR="00E92490">
        <w:rPr>
          <w:rFonts w:ascii="Times New Roman" w:eastAsia="DengXian" w:hAnsi="Times New Roman"/>
          <w:sz w:val="24"/>
          <w:szCs w:val="24"/>
        </w:rPr>
        <w:t xml:space="preserve">-value of </w:t>
      </w:r>
      <w:r w:rsidR="00C45C7D">
        <w:rPr>
          <w:rFonts w:ascii="Times New Roman" w:eastAsia="DengXian" w:hAnsi="Times New Roman"/>
          <w:sz w:val="24"/>
          <w:szCs w:val="24"/>
        </w:rPr>
        <w:t>0.000</w:t>
      </w:r>
      <w:r w:rsidR="00E92490">
        <w:rPr>
          <w:rFonts w:ascii="Times New Roman" w:eastAsia="DengXian" w:hAnsi="Times New Roman"/>
          <w:sz w:val="24"/>
          <w:szCs w:val="24"/>
        </w:rPr>
        <w:t xml:space="preserve"> less than 0.05</w:t>
      </w:r>
      <w:r w:rsidR="00872073">
        <w:rPr>
          <w:rFonts w:ascii="Times New Roman" w:eastAsia="DengXian" w:hAnsi="Times New Roman"/>
          <w:sz w:val="24"/>
          <w:szCs w:val="24"/>
        </w:rPr>
        <w:t xml:space="preserve"> adopted level of significance</w:t>
      </w:r>
      <w:r w:rsidR="00576B4B">
        <w:rPr>
          <w:rFonts w:ascii="Times New Roman" w:eastAsia="DengXian" w:hAnsi="Times New Roman"/>
          <w:sz w:val="24"/>
          <w:szCs w:val="24"/>
        </w:rPr>
        <w:t>.</w:t>
      </w:r>
    </w:p>
    <w:p w14:paraId="4331FEE5" w14:textId="77777777" w:rsidR="00E81687" w:rsidRDefault="00E81687" w:rsidP="00732DAF">
      <w:pPr>
        <w:pStyle w:val="NoSpacing"/>
        <w:spacing w:line="360" w:lineRule="auto"/>
        <w:rPr>
          <w:rFonts w:ascii="Times New Roman" w:eastAsia="DengXian" w:hAnsi="Times New Roman"/>
          <w:sz w:val="24"/>
          <w:szCs w:val="24"/>
        </w:rPr>
      </w:pPr>
    </w:p>
    <w:p w14:paraId="3E005531" w14:textId="006E6683" w:rsidR="00732DAF" w:rsidRPr="00CC7BAE" w:rsidRDefault="00AE2E70" w:rsidP="009441E8">
      <w:pPr>
        <w:pStyle w:val="NoSpacing"/>
        <w:spacing w:line="360" w:lineRule="auto"/>
        <w:jc w:val="both"/>
        <w:rPr>
          <w:rFonts w:ascii="Times New Roman" w:eastAsia="DengXian" w:hAnsi="Times New Roman"/>
          <w:sz w:val="24"/>
          <w:szCs w:val="24"/>
        </w:rPr>
      </w:pPr>
      <w:r w:rsidRPr="004A2BE1">
        <w:rPr>
          <w:rFonts w:ascii="Times New Roman" w:eastAsia="DengXian" w:hAnsi="Times New Roman"/>
          <w:sz w:val="24"/>
          <w:szCs w:val="24"/>
        </w:rPr>
        <w:t>ADE= 0.533, t=18.615, p=0.000</w:t>
      </w:r>
      <w:r w:rsidR="00E81687">
        <w:rPr>
          <w:rFonts w:ascii="Times New Roman" w:eastAsia="DengXian" w:hAnsi="Times New Roman"/>
          <w:sz w:val="24"/>
          <w:szCs w:val="24"/>
        </w:rPr>
        <w:t xml:space="preserve">: </w:t>
      </w:r>
      <w:r w:rsidR="00732DAF" w:rsidRPr="002D4C73">
        <w:rPr>
          <w:rFonts w:ascii="Times New Roman" w:hAnsi="Times New Roman"/>
          <w:sz w:val="24"/>
          <w:szCs w:val="24"/>
        </w:rPr>
        <w:t>Accounting and Digital Environments has a coefficient of 0.533, a t-value of 18.615, and a p-value of 0.000.</w:t>
      </w:r>
      <w:r w:rsidR="00CC7BAE">
        <w:rPr>
          <w:rFonts w:ascii="Times New Roman" w:hAnsi="Times New Roman"/>
          <w:sz w:val="24"/>
          <w:szCs w:val="24"/>
        </w:rPr>
        <w:t xml:space="preserve"> </w:t>
      </w:r>
      <w:r w:rsidR="00732DAF" w:rsidRPr="002D4C73">
        <w:rPr>
          <w:rFonts w:ascii="Times New Roman" w:hAnsi="Times New Roman"/>
          <w:sz w:val="24"/>
          <w:szCs w:val="24"/>
        </w:rPr>
        <w:t>The coefficient of 0.533 represents the estimated effect of forensic accounting techniques on Accounting and Digital Environments. In this case, it suggests that there is a positive relationship between the use of Forensic Accounting Techniques and the level of Accounting and Digital Environments.</w:t>
      </w:r>
      <w:r w:rsidR="00673B22">
        <w:rPr>
          <w:rFonts w:ascii="Times New Roman" w:eastAsia="DengXian" w:hAnsi="Times New Roman"/>
          <w:sz w:val="24"/>
          <w:szCs w:val="24"/>
        </w:rPr>
        <w:t xml:space="preserve"> </w:t>
      </w:r>
      <w:r w:rsidR="00732DAF" w:rsidRPr="002D4C73">
        <w:rPr>
          <w:rFonts w:ascii="Times New Roman" w:hAnsi="Times New Roman"/>
          <w:sz w:val="24"/>
          <w:szCs w:val="24"/>
        </w:rPr>
        <w:t>The t-value of 18.615 is associated with this coefficient. A high t-value like this indicates that the relationship between Forensic Accounting Techniques and ADE is highly statistically significant.</w:t>
      </w:r>
      <w:r w:rsidR="00673B22">
        <w:rPr>
          <w:rFonts w:ascii="Times New Roman" w:eastAsia="DengXian" w:hAnsi="Times New Roman"/>
          <w:sz w:val="24"/>
          <w:szCs w:val="24"/>
        </w:rPr>
        <w:t xml:space="preserve"> </w:t>
      </w:r>
      <w:r w:rsidR="00732DAF" w:rsidRPr="002D4C73">
        <w:rPr>
          <w:rFonts w:ascii="Times New Roman" w:hAnsi="Times New Roman"/>
          <w:sz w:val="24"/>
          <w:szCs w:val="24"/>
        </w:rPr>
        <w:t xml:space="preserve">The p-value of 0.000 is less than the typical significance level of 0.05, which suggests strong evidence that the relationship between </w:t>
      </w:r>
      <w:r w:rsidR="00732DAF">
        <w:rPr>
          <w:rFonts w:ascii="Times New Roman" w:hAnsi="Times New Roman"/>
          <w:sz w:val="24"/>
          <w:szCs w:val="24"/>
        </w:rPr>
        <w:t>independent</w:t>
      </w:r>
      <w:r w:rsidR="00732DAF" w:rsidRPr="002D4C73">
        <w:rPr>
          <w:rFonts w:ascii="Times New Roman" w:hAnsi="Times New Roman"/>
          <w:sz w:val="24"/>
          <w:szCs w:val="24"/>
        </w:rPr>
        <w:t xml:space="preserve"> and </w:t>
      </w:r>
      <w:r w:rsidR="00732DAF">
        <w:rPr>
          <w:rFonts w:ascii="Times New Roman" w:hAnsi="Times New Roman"/>
          <w:sz w:val="24"/>
          <w:szCs w:val="24"/>
        </w:rPr>
        <w:t>dependent</w:t>
      </w:r>
      <w:r w:rsidR="00732DAF" w:rsidRPr="002D4C73">
        <w:rPr>
          <w:rFonts w:ascii="Times New Roman" w:hAnsi="Times New Roman"/>
          <w:sz w:val="24"/>
          <w:szCs w:val="24"/>
        </w:rPr>
        <w:t xml:space="preserve"> is not due to chance. In other words, the effect is statistically significant.</w:t>
      </w:r>
    </w:p>
    <w:p w14:paraId="5F8933F9" w14:textId="0C50C7E0" w:rsidR="009441E8" w:rsidRDefault="00732DAF" w:rsidP="0044464D">
      <w:pPr>
        <w:pStyle w:val="NoSpacing"/>
        <w:spacing w:line="360" w:lineRule="auto"/>
        <w:jc w:val="both"/>
        <w:rPr>
          <w:rFonts w:ascii="Times New Roman" w:hAnsi="Times New Roman"/>
          <w:sz w:val="24"/>
          <w:szCs w:val="24"/>
        </w:rPr>
      </w:pPr>
      <w:r w:rsidRPr="002D4C73">
        <w:rPr>
          <w:rFonts w:ascii="Times New Roman" w:hAnsi="Times New Roman"/>
          <w:sz w:val="24"/>
          <w:szCs w:val="24"/>
        </w:rPr>
        <w:t xml:space="preserve">In summary, the regression result indicates that the use of </w:t>
      </w:r>
      <w:r>
        <w:rPr>
          <w:rFonts w:ascii="Times New Roman" w:hAnsi="Times New Roman"/>
          <w:sz w:val="24"/>
          <w:szCs w:val="24"/>
        </w:rPr>
        <w:t>F</w:t>
      </w:r>
      <w:r w:rsidRPr="002D4C73">
        <w:rPr>
          <w:rFonts w:ascii="Times New Roman" w:hAnsi="Times New Roman"/>
          <w:sz w:val="24"/>
          <w:szCs w:val="24"/>
        </w:rPr>
        <w:t xml:space="preserve">orensic </w:t>
      </w:r>
      <w:r>
        <w:rPr>
          <w:rFonts w:ascii="Times New Roman" w:hAnsi="Times New Roman"/>
          <w:sz w:val="24"/>
          <w:szCs w:val="24"/>
        </w:rPr>
        <w:t>A</w:t>
      </w:r>
      <w:r w:rsidRPr="002D4C73">
        <w:rPr>
          <w:rFonts w:ascii="Times New Roman" w:hAnsi="Times New Roman"/>
          <w:sz w:val="24"/>
          <w:szCs w:val="24"/>
        </w:rPr>
        <w:t xml:space="preserve">ccounting </w:t>
      </w:r>
      <w:r>
        <w:rPr>
          <w:rFonts w:ascii="Times New Roman" w:hAnsi="Times New Roman"/>
          <w:sz w:val="24"/>
          <w:szCs w:val="24"/>
        </w:rPr>
        <w:t>T</w:t>
      </w:r>
      <w:r w:rsidRPr="002D4C73">
        <w:rPr>
          <w:rFonts w:ascii="Times New Roman" w:hAnsi="Times New Roman"/>
          <w:sz w:val="24"/>
          <w:szCs w:val="24"/>
        </w:rPr>
        <w:t>echniques has a statistically significant and positive effect on Accounting and Digital Environments (ADE). This means that</w:t>
      </w:r>
      <w:r>
        <w:rPr>
          <w:rFonts w:ascii="Times New Roman" w:hAnsi="Times New Roman"/>
          <w:sz w:val="24"/>
          <w:szCs w:val="24"/>
        </w:rPr>
        <w:t xml:space="preserve"> </w:t>
      </w:r>
      <w:r w:rsidRPr="002D4C73">
        <w:rPr>
          <w:rFonts w:ascii="Times New Roman" w:hAnsi="Times New Roman"/>
          <w:sz w:val="24"/>
          <w:szCs w:val="24"/>
        </w:rPr>
        <w:t>increas</w:t>
      </w:r>
      <w:r>
        <w:rPr>
          <w:rFonts w:ascii="Times New Roman" w:hAnsi="Times New Roman"/>
          <w:sz w:val="24"/>
          <w:szCs w:val="24"/>
        </w:rPr>
        <w:t>ing</w:t>
      </w:r>
      <w:r w:rsidRPr="002D4C73">
        <w:rPr>
          <w:rFonts w:ascii="Times New Roman" w:hAnsi="Times New Roman"/>
          <w:sz w:val="24"/>
          <w:szCs w:val="24"/>
        </w:rPr>
        <w:t xml:space="preserve"> use of forensic accounting techniques, </w:t>
      </w:r>
      <w:r>
        <w:rPr>
          <w:rFonts w:ascii="Times New Roman" w:hAnsi="Times New Roman"/>
          <w:sz w:val="24"/>
          <w:szCs w:val="24"/>
        </w:rPr>
        <w:t>will lead to a</w:t>
      </w:r>
      <w:r w:rsidRPr="002D4C73">
        <w:rPr>
          <w:rFonts w:ascii="Times New Roman" w:hAnsi="Times New Roman"/>
          <w:sz w:val="24"/>
          <w:szCs w:val="24"/>
        </w:rPr>
        <w:t xml:space="preserve"> corresponding increase in the level of Accounting and Digital Environments. The high t-value and very low p-value provide strong evidence for this relationship.</w:t>
      </w:r>
    </w:p>
    <w:p w14:paraId="121094CD" w14:textId="77777777" w:rsidR="00F16132" w:rsidRPr="003A7626" w:rsidRDefault="00F16132" w:rsidP="0044464D">
      <w:pPr>
        <w:pStyle w:val="NoSpacing"/>
        <w:spacing w:line="360" w:lineRule="auto"/>
        <w:jc w:val="both"/>
        <w:rPr>
          <w:rFonts w:ascii="Times New Roman" w:hAnsi="Times New Roman"/>
          <w:sz w:val="24"/>
          <w:szCs w:val="24"/>
        </w:rPr>
      </w:pPr>
    </w:p>
    <w:p w14:paraId="67190EE0" w14:textId="1E4BD85E" w:rsidR="001A11E5" w:rsidRPr="001A11E5" w:rsidRDefault="00087F00" w:rsidP="009441E8">
      <w:pPr>
        <w:pStyle w:val="NoSpacing"/>
        <w:spacing w:line="360" w:lineRule="auto"/>
        <w:jc w:val="both"/>
        <w:rPr>
          <w:rFonts w:ascii="Times New Roman" w:eastAsia="DengXian" w:hAnsi="Times New Roman"/>
          <w:sz w:val="24"/>
          <w:szCs w:val="24"/>
        </w:rPr>
      </w:pPr>
      <w:r w:rsidRPr="004A2BE1">
        <w:rPr>
          <w:rFonts w:ascii="Times New Roman" w:eastAsia="DengXian" w:hAnsi="Times New Roman"/>
          <w:sz w:val="24"/>
          <w:szCs w:val="24"/>
        </w:rPr>
        <w:t>IF= 0.411, t=12.181, p=0.000</w:t>
      </w:r>
      <w:r w:rsidR="009441E8">
        <w:rPr>
          <w:rFonts w:ascii="Times New Roman" w:eastAsia="DengXian" w:hAnsi="Times New Roman"/>
          <w:sz w:val="24"/>
          <w:szCs w:val="24"/>
        </w:rPr>
        <w:t xml:space="preserve">: </w:t>
      </w:r>
      <w:r w:rsidR="001A11E5" w:rsidRPr="001A11E5">
        <w:rPr>
          <w:rFonts w:ascii="Times New Roman" w:eastAsia="DengXian" w:hAnsi="Times New Roman"/>
          <w:sz w:val="24"/>
          <w:szCs w:val="24"/>
        </w:rPr>
        <w:t>Investigation of Fraud has a coefficient of 0.411, a t-value of 12.181, and a p-value of 0.000.</w:t>
      </w:r>
      <w:r w:rsidR="009441E8">
        <w:rPr>
          <w:rFonts w:ascii="Times New Roman" w:eastAsia="DengXian" w:hAnsi="Times New Roman"/>
          <w:sz w:val="24"/>
          <w:szCs w:val="24"/>
        </w:rPr>
        <w:t xml:space="preserve"> </w:t>
      </w:r>
      <w:r w:rsidR="001A11E5" w:rsidRPr="001A11E5">
        <w:rPr>
          <w:rFonts w:ascii="Times New Roman" w:eastAsia="DengXian" w:hAnsi="Times New Roman"/>
          <w:sz w:val="24"/>
          <w:szCs w:val="24"/>
        </w:rPr>
        <w:t>The coefficient of 0.411 represents the estimated effect of forensic accounting techniques on the Investigation of Fraud. In this case, it suggests that there is a positive relationship between the use of Forensic Accounting Techniques and the level of Investigation of Fraud.</w:t>
      </w:r>
      <w:r w:rsidR="009441E8">
        <w:rPr>
          <w:rFonts w:ascii="Times New Roman" w:eastAsia="DengXian" w:hAnsi="Times New Roman"/>
          <w:sz w:val="24"/>
          <w:szCs w:val="24"/>
        </w:rPr>
        <w:t xml:space="preserve"> </w:t>
      </w:r>
      <w:r w:rsidR="001A11E5" w:rsidRPr="001A11E5">
        <w:rPr>
          <w:rFonts w:ascii="Times New Roman" w:eastAsia="DengXian" w:hAnsi="Times New Roman"/>
          <w:sz w:val="24"/>
          <w:szCs w:val="24"/>
        </w:rPr>
        <w:t>The t-value of 12.181 is associated with this coefficient. A high t-value like this indicates that the relationship between forensic accounting techniques and Investigation of Fraud is highly statistically significant.</w:t>
      </w:r>
      <w:r w:rsidR="009441E8">
        <w:rPr>
          <w:rFonts w:ascii="Times New Roman" w:eastAsia="DengXian" w:hAnsi="Times New Roman"/>
          <w:sz w:val="24"/>
          <w:szCs w:val="24"/>
        </w:rPr>
        <w:t xml:space="preserve"> </w:t>
      </w:r>
      <w:r w:rsidR="001A11E5" w:rsidRPr="001A11E5">
        <w:rPr>
          <w:rFonts w:ascii="Times New Roman" w:eastAsia="DengXian" w:hAnsi="Times New Roman"/>
          <w:sz w:val="24"/>
          <w:szCs w:val="24"/>
        </w:rPr>
        <w:t>The p-value of 0.000 is less than the typical significance level of 0.05, which suggests strong evidence that the relationship between forensic accounting techniques and Investigation of Fraud is not due to chance. In other words, the effect is statistically significant.</w:t>
      </w:r>
    </w:p>
    <w:p w14:paraId="2B4B86B1" w14:textId="77777777" w:rsidR="00734442" w:rsidRPr="004A2BE1" w:rsidRDefault="00734442" w:rsidP="00087F00">
      <w:pPr>
        <w:pStyle w:val="NoSpacing"/>
        <w:spacing w:line="360" w:lineRule="auto"/>
        <w:rPr>
          <w:rFonts w:ascii="Times New Roman" w:eastAsia="DengXian" w:hAnsi="Times New Roman"/>
          <w:sz w:val="24"/>
          <w:szCs w:val="24"/>
        </w:rPr>
      </w:pPr>
    </w:p>
    <w:p w14:paraId="1B2D9FE1" w14:textId="77777777" w:rsidR="00E04D64" w:rsidRPr="004A2BE1" w:rsidRDefault="00E04D64" w:rsidP="00E04D64">
      <w:pPr>
        <w:pStyle w:val="NoSpacing"/>
        <w:spacing w:line="360" w:lineRule="auto"/>
        <w:rPr>
          <w:rFonts w:ascii="Times New Roman" w:eastAsia="DengXian" w:hAnsi="Times New Roman"/>
          <w:sz w:val="24"/>
          <w:szCs w:val="24"/>
        </w:rPr>
      </w:pPr>
      <w:r w:rsidRPr="004A2BE1">
        <w:rPr>
          <w:rFonts w:ascii="Times New Roman" w:eastAsia="DengXian" w:hAnsi="Times New Roman"/>
          <w:sz w:val="24"/>
          <w:szCs w:val="24"/>
        </w:rPr>
        <w:t>SCCP= 0.588, t=-10.110, p=0.000</w:t>
      </w:r>
    </w:p>
    <w:p w14:paraId="66719ABC" w14:textId="77777777" w:rsidR="00BF19EB" w:rsidRDefault="001470DA" w:rsidP="001470DA">
      <w:pPr>
        <w:pStyle w:val="NoSpacing"/>
        <w:spacing w:line="360" w:lineRule="auto"/>
        <w:jc w:val="both"/>
        <w:rPr>
          <w:rFonts w:ascii="Times New Roman" w:eastAsia="DengXian" w:hAnsi="Times New Roman"/>
          <w:sz w:val="24"/>
          <w:szCs w:val="24"/>
        </w:rPr>
      </w:pPr>
      <w:r w:rsidRPr="001470DA">
        <w:rPr>
          <w:rFonts w:ascii="Times New Roman" w:eastAsia="DengXian" w:hAnsi="Times New Roman"/>
          <w:sz w:val="24"/>
          <w:szCs w:val="24"/>
        </w:rPr>
        <w:t>Surprise Cash Count Practices) has a coefficient of 0.588, a t-value of -10.110, and a p-value of 0.000.</w:t>
      </w:r>
      <w:r>
        <w:rPr>
          <w:rFonts w:ascii="Times New Roman" w:eastAsia="DengXian" w:hAnsi="Times New Roman"/>
          <w:sz w:val="24"/>
          <w:szCs w:val="24"/>
        </w:rPr>
        <w:t xml:space="preserve"> </w:t>
      </w:r>
      <w:r w:rsidRPr="001470DA">
        <w:rPr>
          <w:rFonts w:ascii="Times New Roman" w:eastAsia="DengXian" w:hAnsi="Times New Roman"/>
          <w:sz w:val="24"/>
          <w:szCs w:val="24"/>
        </w:rPr>
        <w:t>The coefficient of 0.588 represents the estimated effect of Forensic Accounting Techniques on Surprise Cash Count Practices. In this case, it suggests that there is a positive relationship between the use of Forensic Accounting Techniques and the level of Surprise Cash Count Practices.</w:t>
      </w:r>
      <w:r w:rsidR="006162CE">
        <w:rPr>
          <w:rFonts w:ascii="Times New Roman" w:eastAsia="DengXian" w:hAnsi="Times New Roman"/>
          <w:sz w:val="24"/>
          <w:szCs w:val="24"/>
        </w:rPr>
        <w:t xml:space="preserve"> </w:t>
      </w:r>
      <w:r w:rsidRPr="001470DA">
        <w:rPr>
          <w:rFonts w:ascii="Times New Roman" w:eastAsia="DengXian" w:hAnsi="Times New Roman"/>
          <w:sz w:val="24"/>
          <w:szCs w:val="24"/>
        </w:rPr>
        <w:t>The t-value of -10.110 is associated with this coefficient. A high absolute t-value like this (regardless of being positive or negative) indicates that the relationship between forensic accounting techniques and surprise cash count practices is highly statistically significant.</w:t>
      </w:r>
      <w:r w:rsidR="00BF19EB">
        <w:rPr>
          <w:rFonts w:ascii="Times New Roman" w:eastAsia="DengXian" w:hAnsi="Times New Roman"/>
          <w:sz w:val="24"/>
          <w:szCs w:val="24"/>
        </w:rPr>
        <w:t xml:space="preserve"> </w:t>
      </w:r>
      <w:r w:rsidRPr="001470DA">
        <w:rPr>
          <w:rFonts w:ascii="Times New Roman" w:eastAsia="DengXian" w:hAnsi="Times New Roman"/>
          <w:sz w:val="24"/>
          <w:szCs w:val="24"/>
        </w:rPr>
        <w:t>The p-value of 0.000 is less than the typical significance level of 0.05, which suggests strong evidence that the relationship between forensic accounting techniques and surprise cash count practices is not due to chance. In other words, the effect is statistically significant.</w:t>
      </w:r>
      <w:r w:rsidR="006162CE">
        <w:rPr>
          <w:rFonts w:ascii="Times New Roman" w:eastAsia="DengXian" w:hAnsi="Times New Roman"/>
          <w:sz w:val="24"/>
          <w:szCs w:val="24"/>
        </w:rPr>
        <w:t xml:space="preserve"> </w:t>
      </w:r>
    </w:p>
    <w:p w14:paraId="48C32EB5" w14:textId="77777777" w:rsidR="00BF19EB" w:rsidRDefault="00BF19EB" w:rsidP="001470DA">
      <w:pPr>
        <w:pStyle w:val="NoSpacing"/>
        <w:spacing w:line="360" w:lineRule="auto"/>
        <w:jc w:val="both"/>
        <w:rPr>
          <w:rFonts w:ascii="Times New Roman" w:eastAsia="DengXian" w:hAnsi="Times New Roman"/>
          <w:sz w:val="24"/>
          <w:szCs w:val="24"/>
        </w:rPr>
      </w:pPr>
    </w:p>
    <w:p w14:paraId="3F8FDBAA" w14:textId="1771FC08" w:rsidR="00965DA5" w:rsidRPr="001470DA" w:rsidRDefault="006162CE" w:rsidP="001470DA">
      <w:pPr>
        <w:pStyle w:val="NoSpacing"/>
        <w:spacing w:line="360" w:lineRule="auto"/>
        <w:jc w:val="both"/>
        <w:rPr>
          <w:rFonts w:ascii="Times New Roman" w:eastAsia="DengXian" w:hAnsi="Times New Roman"/>
          <w:sz w:val="24"/>
          <w:szCs w:val="24"/>
        </w:rPr>
      </w:pPr>
      <w:r>
        <w:rPr>
          <w:rFonts w:ascii="Times New Roman" w:eastAsia="DengXian" w:hAnsi="Times New Roman"/>
          <w:sz w:val="24"/>
          <w:szCs w:val="24"/>
        </w:rPr>
        <w:t>T</w:t>
      </w:r>
      <w:r w:rsidR="001470DA" w:rsidRPr="001470DA">
        <w:rPr>
          <w:rFonts w:ascii="Times New Roman" w:eastAsia="DengXian" w:hAnsi="Times New Roman"/>
          <w:sz w:val="24"/>
          <w:szCs w:val="24"/>
        </w:rPr>
        <w:t>he regression analysis shows a statistically significant and positive relationship between the use of forensic accounting techniques and Surprise Cash Count Practices (SCCP). This implies that as the institutions increase the utilization of forensic accounting techniques, it is expected that, there would be a corresponding increase in the level of Surprise Cash Count Practices. The high absolute t-value and very low p-value provide strong evidence for this relationship, indicating that the effect is unlikely to be due to random chance. Therefore, it can be concluded that forensic accounting techniques have a significant and positive impact on Surprise Cash Count Practices, which is important for financial control and auditing processes among Federal Universities in Southwest, Nigeria.</w:t>
      </w:r>
      <w:r w:rsidR="00F16132">
        <w:rPr>
          <w:rFonts w:ascii="Times New Roman" w:eastAsia="DengXian" w:hAnsi="Times New Roman"/>
          <w:sz w:val="24"/>
          <w:szCs w:val="24"/>
        </w:rPr>
        <w:t xml:space="preserve"> </w:t>
      </w:r>
      <w:r w:rsidR="00965DA5" w:rsidRPr="00965DA5">
        <w:rPr>
          <w:rFonts w:ascii="Times New Roman" w:eastAsia="DengXian" w:hAnsi="Times New Roman"/>
          <w:sz w:val="24"/>
          <w:szCs w:val="24"/>
        </w:rPr>
        <w:t>Adjusted R</w:t>
      </w:r>
      <w:r w:rsidR="00965DA5" w:rsidRPr="00965DA5">
        <w:rPr>
          <w:rFonts w:ascii="Times New Roman" w:eastAsia="DengXian" w:hAnsi="Times New Roman"/>
          <w:sz w:val="24"/>
          <w:szCs w:val="24"/>
          <w:vertAlign w:val="superscript"/>
        </w:rPr>
        <w:t>2</w:t>
      </w:r>
      <w:r w:rsidR="00965DA5" w:rsidRPr="00965DA5">
        <w:rPr>
          <w:rFonts w:ascii="Times New Roman" w:eastAsia="DengXian" w:hAnsi="Times New Roman"/>
          <w:sz w:val="24"/>
          <w:szCs w:val="24"/>
        </w:rPr>
        <w:t>=0.598 shows that the composition of forensic accounting techniques in value for money practices is 59.8%, while the balance of 40.2% represent value not considered in this study.</w:t>
      </w:r>
    </w:p>
    <w:p w14:paraId="209825CD" w14:textId="77777777" w:rsidR="00AE2E70" w:rsidRDefault="00AE2E70" w:rsidP="00FE5828">
      <w:pPr>
        <w:pStyle w:val="NoSpacing"/>
        <w:spacing w:line="360" w:lineRule="auto"/>
        <w:rPr>
          <w:rFonts w:ascii="Times New Roman" w:eastAsia="DengXian" w:hAnsi="Times New Roman"/>
          <w:sz w:val="24"/>
          <w:szCs w:val="24"/>
        </w:rPr>
      </w:pPr>
    </w:p>
    <w:p w14:paraId="0489B3BE" w14:textId="2399AF73" w:rsidR="00A200D7" w:rsidRDefault="00A200D7" w:rsidP="00BD66F9">
      <w:pPr>
        <w:pStyle w:val="NoSpacing"/>
        <w:spacing w:line="360" w:lineRule="auto"/>
        <w:jc w:val="both"/>
        <w:rPr>
          <w:rFonts w:ascii="Times New Roman" w:eastAsia="DengXian" w:hAnsi="Times New Roman"/>
          <w:sz w:val="24"/>
          <w:szCs w:val="24"/>
        </w:rPr>
      </w:pPr>
      <w:r w:rsidRPr="00AE2E70">
        <w:rPr>
          <w:rFonts w:ascii="Times New Roman" w:eastAsia="DengXian" w:hAnsi="Times New Roman"/>
          <w:b/>
          <w:bCs/>
          <w:sz w:val="24"/>
          <w:szCs w:val="24"/>
        </w:rPr>
        <w:t>Decision</w:t>
      </w:r>
      <w:r w:rsidR="003D608F">
        <w:rPr>
          <w:rFonts w:ascii="Times New Roman" w:eastAsia="DengXian" w:hAnsi="Times New Roman"/>
          <w:b/>
          <w:bCs/>
          <w:sz w:val="24"/>
          <w:szCs w:val="24"/>
        </w:rPr>
        <w:t xml:space="preserve"> Criteria</w:t>
      </w:r>
      <w:r w:rsidRPr="00AE2E70">
        <w:rPr>
          <w:rFonts w:ascii="Times New Roman" w:eastAsia="DengXian" w:hAnsi="Times New Roman"/>
          <w:b/>
          <w:bCs/>
          <w:sz w:val="24"/>
          <w:szCs w:val="24"/>
        </w:rPr>
        <w:t>:</w:t>
      </w:r>
      <w:r>
        <w:rPr>
          <w:rFonts w:ascii="Times New Roman" w:eastAsia="DengXian" w:hAnsi="Times New Roman"/>
          <w:sz w:val="24"/>
          <w:szCs w:val="24"/>
        </w:rPr>
        <w:t xml:space="preserve"> At a level of significant 0</w:t>
      </w:r>
      <w:r w:rsidR="00C90027">
        <w:rPr>
          <w:rFonts w:ascii="Times New Roman" w:eastAsia="DengXian" w:hAnsi="Times New Roman"/>
          <w:sz w:val="24"/>
          <w:szCs w:val="24"/>
        </w:rPr>
        <w:t xml:space="preserve">.05 and degree of freedom 4,359, the </w:t>
      </w:r>
      <w:r w:rsidR="0060601A">
        <w:rPr>
          <w:rFonts w:ascii="Times New Roman" w:eastAsia="DengXian" w:hAnsi="Times New Roman"/>
          <w:sz w:val="24"/>
          <w:szCs w:val="24"/>
        </w:rPr>
        <w:t>F-statistics is 135.998 while the p-value of F-statisti</w:t>
      </w:r>
      <w:r w:rsidR="00FE3DCA">
        <w:rPr>
          <w:rFonts w:ascii="Times New Roman" w:eastAsia="DengXian" w:hAnsi="Times New Roman"/>
          <w:sz w:val="24"/>
          <w:szCs w:val="24"/>
        </w:rPr>
        <w:t xml:space="preserve">cs is 0.0131 which is less than </w:t>
      </w:r>
      <w:r w:rsidR="002C1FE4">
        <w:rPr>
          <w:rFonts w:ascii="Times New Roman" w:eastAsia="DengXian" w:hAnsi="Times New Roman"/>
          <w:sz w:val="24"/>
          <w:szCs w:val="24"/>
        </w:rPr>
        <w:t>0.05 adopted for level of significance</w:t>
      </w:r>
      <w:r w:rsidR="000575F3">
        <w:rPr>
          <w:rFonts w:ascii="Times New Roman" w:eastAsia="DengXian" w:hAnsi="Times New Roman"/>
          <w:sz w:val="24"/>
          <w:szCs w:val="24"/>
        </w:rPr>
        <w:t xml:space="preserve">. Therefore, the study rejected the </w:t>
      </w:r>
      <w:r w:rsidR="00CF5291">
        <w:rPr>
          <w:rFonts w:ascii="Times New Roman" w:eastAsia="DengXian" w:hAnsi="Times New Roman"/>
          <w:sz w:val="24"/>
          <w:szCs w:val="24"/>
        </w:rPr>
        <w:t>n</w:t>
      </w:r>
      <w:r w:rsidR="000575F3">
        <w:rPr>
          <w:rFonts w:ascii="Times New Roman" w:eastAsia="DengXian" w:hAnsi="Times New Roman"/>
          <w:sz w:val="24"/>
          <w:szCs w:val="24"/>
        </w:rPr>
        <w:t>ull-hypothesis</w:t>
      </w:r>
      <w:r w:rsidR="002175E0">
        <w:rPr>
          <w:rFonts w:ascii="Times New Roman" w:eastAsia="DengXian" w:hAnsi="Times New Roman"/>
          <w:sz w:val="24"/>
          <w:szCs w:val="24"/>
        </w:rPr>
        <w:t xml:space="preserve"> whi</w:t>
      </w:r>
      <w:r w:rsidR="00687BC8">
        <w:rPr>
          <w:rFonts w:ascii="Times New Roman" w:eastAsia="DengXian" w:hAnsi="Times New Roman"/>
          <w:sz w:val="24"/>
          <w:szCs w:val="24"/>
        </w:rPr>
        <w:t>ch implies that,</w:t>
      </w:r>
      <w:r w:rsidR="00E7075E">
        <w:rPr>
          <w:rFonts w:ascii="Times New Roman" w:eastAsia="DengXian" w:hAnsi="Times New Roman"/>
          <w:sz w:val="24"/>
          <w:szCs w:val="24"/>
        </w:rPr>
        <w:t xml:space="preserve"> </w:t>
      </w:r>
      <w:r w:rsidR="00687BC8">
        <w:rPr>
          <w:rFonts w:ascii="Times New Roman" w:eastAsia="DengXian" w:hAnsi="Times New Roman"/>
          <w:sz w:val="24"/>
          <w:szCs w:val="24"/>
        </w:rPr>
        <w:t>Forensic Accounting</w:t>
      </w:r>
      <w:r w:rsidR="00E7075E">
        <w:rPr>
          <w:rFonts w:ascii="Times New Roman" w:eastAsia="DengXian" w:hAnsi="Times New Roman"/>
          <w:sz w:val="24"/>
          <w:szCs w:val="24"/>
        </w:rPr>
        <w:t xml:space="preserve"> Techniques has sig</w:t>
      </w:r>
      <w:r w:rsidR="00A2365C">
        <w:rPr>
          <w:rFonts w:ascii="Times New Roman" w:eastAsia="DengXian" w:hAnsi="Times New Roman"/>
          <w:sz w:val="24"/>
          <w:szCs w:val="24"/>
        </w:rPr>
        <w:t>nificant effect on Value for Money Practices among Federal Universities in Southwest, Nigeria.</w:t>
      </w:r>
    </w:p>
    <w:p w14:paraId="3330012C" w14:textId="77777777" w:rsidR="008351FD" w:rsidRDefault="008351FD" w:rsidP="00A1218E">
      <w:pPr>
        <w:pStyle w:val="NoSpacing"/>
        <w:spacing w:line="360" w:lineRule="auto"/>
        <w:rPr>
          <w:rFonts w:ascii="Times New Roman" w:hAnsi="Times New Roman"/>
          <w:sz w:val="24"/>
          <w:szCs w:val="24"/>
        </w:rPr>
      </w:pPr>
    </w:p>
    <w:p w14:paraId="1A98874D" w14:textId="5E81B92A" w:rsidR="0093653D" w:rsidRDefault="00423848" w:rsidP="00A1218E">
      <w:pPr>
        <w:pStyle w:val="NoSpacing"/>
        <w:spacing w:line="360" w:lineRule="auto"/>
        <w:rPr>
          <w:rFonts w:ascii="Times New Roman" w:hAnsi="Times New Roman"/>
          <w:sz w:val="24"/>
          <w:szCs w:val="24"/>
        </w:rPr>
      </w:pPr>
      <w:r w:rsidRPr="008D035B">
        <w:rPr>
          <w:rFonts w:ascii="Times New Roman" w:hAnsi="Times New Roman"/>
          <w:b/>
          <w:bCs/>
          <w:sz w:val="24"/>
          <w:szCs w:val="24"/>
        </w:rPr>
        <w:t>Test of Hypothesis</w:t>
      </w:r>
      <w:r w:rsidR="00F12FC8">
        <w:rPr>
          <w:rFonts w:ascii="Times New Roman" w:hAnsi="Times New Roman"/>
          <w:b/>
          <w:bCs/>
          <w:sz w:val="24"/>
          <w:szCs w:val="24"/>
        </w:rPr>
        <w:t xml:space="preserve"> Three</w:t>
      </w:r>
    </w:p>
    <w:p w14:paraId="4C18E2C6" w14:textId="5E6C3A8D" w:rsidR="007E7980" w:rsidRPr="00905771" w:rsidRDefault="003D608F" w:rsidP="005054E9">
      <w:pPr>
        <w:pStyle w:val="NoSpacing"/>
        <w:spacing w:line="360" w:lineRule="auto"/>
        <w:rPr>
          <w:rFonts w:ascii="Times New Roman" w:eastAsia="Calibri" w:hAnsi="Times New Roman"/>
          <w:sz w:val="24"/>
          <w:szCs w:val="24"/>
        </w:rPr>
      </w:pPr>
      <w:r>
        <w:rPr>
          <w:rFonts w:ascii="Times New Roman" w:eastAsia="Calibri" w:hAnsi="Times New Roman"/>
          <w:b/>
          <w:bCs/>
          <w:sz w:val="24"/>
          <w:szCs w:val="24"/>
        </w:rPr>
        <w:t xml:space="preserve">Research </w:t>
      </w:r>
      <w:r w:rsidR="0093653D" w:rsidRPr="00DD3F15">
        <w:rPr>
          <w:rFonts w:ascii="Times New Roman" w:eastAsia="Calibri" w:hAnsi="Times New Roman"/>
          <w:b/>
          <w:bCs/>
          <w:sz w:val="24"/>
          <w:szCs w:val="24"/>
        </w:rPr>
        <w:t>Objective</w:t>
      </w:r>
      <w:r w:rsidR="0093653D">
        <w:rPr>
          <w:rFonts w:ascii="Times New Roman" w:eastAsia="Calibri" w:hAnsi="Times New Roman"/>
          <w:b/>
          <w:bCs/>
          <w:sz w:val="24"/>
          <w:szCs w:val="24"/>
        </w:rPr>
        <w:t xml:space="preserve"> </w:t>
      </w:r>
      <w:r w:rsidR="00423848">
        <w:rPr>
          <w:rFonts w:ascii="Times New Roman" w:eastAsia="Calibri" w:hAnsi="Times New Roman"/>
          <w:b/>
          <w:bCs/>
          <w:sz w:val="24"/>
          <w:szCs w:val="24"/>
        </w:rPr>
        <w:t>3:</w:t>
      </w:r>
      <w:r w:rsidR="007E7980">
        <w:rPr>
          <w:rFonts w:ascii="Times New Roman" w:eastAsia="Calibri" w:hAnsi="Times New Roman"/>
          <w:b/>
          <w:bCs/>
          <w:sz w:val="24"/>
          <w:szCs w:val="24"/>
        </w:rPr>
        <w:t xml:space="preserve"> </w:t>
      </w:r>
      <w:r w:rsidR="007E7980">
        <w:rPr>
          <w:rFonts w:ascii="Times New Roman" w:eastAsia="Calibri" w:hAnsi="Times New Roman"/>
          <w:sz w:val="24"/>
          <w:szCs w:val="24"/>
        </w:rPr>
        <w:t xml:space="preserve">To </w:t>
      </w:r>
      <w:r w:rsidR="007E7980" w:rsidRPr="008B1465">
        <w:rPr>
          <w:rFonts w:ascii="Times New Roman" w:eastAsia="Calibri" w:hAnsi="Times New Roman"/>
          <w:sz w:val="24"/>
          <w:szCs w:val="24"/>
        </w:rPr>
        <w:t>determine the impact of forensic accounting techniques on creative accounting practices among Federal Universities in Southwest, Nigeria</w:t>
      </w:r>
      <w:r w:rsidR="007E7980">
        <w:rPr>
          <w:rFonts w:ascii="Times New Roman" w:eastAsia="Calibri" w:hAnsi="Times New Roman"/>
          <w:sz w:val="24"/>
          <w:szCs w:val="24"/>
        </w:rPr>
        <w:t>.</w:t>
      </w:r>
    </w:p>
    <w:p w14:paraId="4D64A68B" w14:textId="427D8695" w:rsidR="00F12FC8" w:rsidRPr="00354696" w:rsidRDefault="00F12FC8" w:rsidP="005054E9">
      <w:pPr>
        <w:spacing w:before="0" w:beforeAutospacing="0" w:after="0" w:line="360" w:lineRule="auto"/>
        <w:jc w:val="both"/>
        <w:rPr>
          <w:rFonts w:ascii="Times New Roman" w:eastAsia="Calibri" w:hAnsi="Times New Roman"/>
          <w:sz w:val="24"/>
          <w:szCs w:val="24"/>
        </w:rPr>
      </w:pPr>
      <w:r w:rsidRPr="00354696">
        <w:rPr>
          <w:rFonts w:ascii="Times New Roman" w:eastAsia="Calibri" w:hAnsi="Times New Roman"/>
          <w:b/>
          <w:bCs/>
          <w:sz w:val="24"/>
          <w:szCs w:val="24"/>
        </w:rPr>
        <w:t>Research Question 3:</w:t>
      </w:r>
      <w:r w:rsidR="00354696" w:rsidRPr="00354696">
        <w:rPr>
          <w:rFonts w:ascii="Times New Roman" w:eastAsia="Calibri" w:hAnsi="Times New Roman"/>
          <w:b/>
          <w:bCs/>
          <w:sz w:val="24"/>
          <w:szCs w:val="24"/>
        </w:rPr>
        <w:t xml:space="preserve"> </w:t>
      </w:r>
      <w:r w:rsidR="00354696" w:rsidRPr="00354696">
        <w:rPr>
          <w:rFonts w:ascii="Times New Roman" w:eastAsia="Calibri" w:hAnsi="Times New Roman"/>
          <w:sz w:val="24"/>
          <w:szCs w:val="24"/>
        </w:rPr>
        <w:t>To What impact do forensic accounting techniques have on creative accounting practices among Federal Universities in Southwest, Nigeria?</w:t>
      </w:r>
    </w:p>
    <w:p w14:paraId="16F608CB" w14:textId="72462D63" w:rsidR="009F183D" w:rsidRDefault="00F12FC8" w:rsidP="005054E9">
      <w:pPr>
        <w:tabs>
          <w:tab w:val="left" w:pos="90"/>
        </w:tabs>
        <w:spacing w:before="0" w:beforeAutospacing="0" w:after="0" w:line="360" w:lineRule="auto"/>
        <w:jc w:val="both"/>
        <w:rPr>
          <w:rFonts w:ascii="Times New Roman" w:eastAsia="Calibri" w:hAnsi="Times New Roman"/>
          <w:sz w:val="24"/>
          <w:szCs w:val="24"/>
        </w:rPr>
      </w:pPr>
      <w:r>
        <w:rPr>
          <w:rFonts w:ascii="Times New Roman" w:eastAsia="Calibri" w:hAnsi="Times New Roman"/>
          <w:b/>
          <w:bCs/>
          <w:sz w:val="24"/>
          <w:szCs w:val="24"/>
        </w:rPr>
        <w:t>Resea</w:t>
      </w:r>
      <w:r w:rsidR="00962D2C">
        <w:rPr>
          <w:rFonts w:ascii="Times New Roman" w:eastAsia="Calibri" w:hAnsi="Times New Roman"/>
          <w:b/>
          <w:bCs/>
          <w:sz w:val="24"/>
          <w:szCs w:val="24"/>
        </w:rPr>
        <w:t>rch Hypothesis 3</w:t>
      </w:r>
      <w:r w:rsidR="00F27DF2">
        <w:rPr>
          <w:rFonts w:ascii="Times New Roman" w:eastAsia="Calibri" w:hAnsi="Times New Roman"/>
          <w:b/>
          <w:bCs/>
          <w:sz w:val="24"/>
          <w:szCs w:val="24"/>
        </w:rPr>
        <w:t xml:space="preserve">: </w:t>
      </w:r>
      <w:r w:rsidR="00F27DF2">
        <w:rPr>
          <w:rFonts w:ascii="Times New Roman" w:eastAsia="Calibri" w:hAnsi="Times New Roman"/>
          <w:sz w:val="24"/>
          <w:szCs w:val="24"/>
        </w:rPr>
        <w:t xml:space="preserve">To </w:t>
      </w:r>
      <w:r w:rsidR="00F27DF2" w:rsidRPr="008B1465">
        <w:rPr>
          <w:rFonts w:ascii="Times New Roman" w:eastAsia="Calibri" w:hAnsi="Times New Roman"/>
          <w:sz w:val="24"/>
          <w:szCs w:val="24"/>
        </w:rPr>
        <w:t>There is no significant impact of forensic accounting techniques on creative accounting practices among Federal Universities in Southwest, Nigeria</w:t>
      </w:r>
      <w:r w:rsidR="00F27DF2">
        <w:rPr>
          <w:rFonts w:ascii="Times New Roman" w:eastAsia="Calibri" w:hAnsi="Times New Roman"/>
          <w:sz w:val="24"/>
          <w:szCs w:val="24"/>
        </w:rPr>
        <w:t>.</w:t>
      </w:r>
    </w:p>
    <w:p w14:paraId="0948280D" w14:textId="77777777" w:rsidR="005054E9" w:rsidRDefault="005054E9" w:rsidP="005054E9">
      <w:pPr>
        <w:tabs>
          <w:tab w:val="left" w:pos="90"/>
        </w:tabs>
        <w:spacing w:before="0" w:beforeAutospacing="0" w:after="0" w:line="360" w:lineRule="auto"/>
        <w:jc w:val="both"/>
        <w:rPr>
          <w:rFonts w:ascii="Times New Roman" w:eastAsia="Calibri" w:hAnsi="Times New Roman"/>
          <w:sz w:val="24"/>
          <w:szCs w:val="24"/>
        </w:rPr>
      </w:pPr>
    </w:p>
    <w:p w14:paraId="6A9415F2" w14:textId="77777777" w:rsidR="00CA54DD" w:rsidRPr="007A5360" w:rsidRDefault="005A1A81" w:rsidP="00B870C2">
      <w:pPr>
        <w:pStyle w:val="Caption"/>
        <w:keepNext/>
        <w:rPr>
          <w:rFonts w:ascii="Times New Roman" w:hAnsi="Times New Roman"/>
          <w:i w:val="0"/>
          <w:iCs w:val="0"/>
          <w:color w:val="000000" w:themeColor="text1"/>
          <w:sz w:val="24"/>
          <w:szCs w:val="24"/>
        </w:rPr>
      </w:pPr>
      <w:r>
        <w:rPr>
          <w:rFonts w:ascii="Times New Roman" w:hAnsi="Times New Roman"/>
          <w:i w:val="0"/>
          <w:iCs w:val="0"/>
          <w:color w:val="000000" w:themeColor="text1"/>
          <w:sz w:val="24"/>
          <w:szCs w:val="24"/>
        </w:rPr>
        <w:t xml:space="preserve">Regression </w:t>
      </w:r>
      <w:r w:rsidR="003A36A7">
        <w:rPr>
          <w:rFonts w:ascii="Times New Roman" w:hAnsi="Times New Roman"/>
          <w:i w:val="0"/>
          <w:iCs w:val="0"/>
          <w:color w:val="000000" w:themeColor="text1"/>
          <w:sz w:val="24"/>
          <w:szCs w:val="24"/>
        </w:rPr>
        <w:t>Re</w:t>
      </w:r>
      <w:r w:rsidR="00924809">
        <w:rPr>
          <w:rFonts w:ascii="Times New Roman" w:hAnsi="Times New Roman"/>
          <w:i w:val="0"/>
          <w:iCs w:val="0"/>
          <w:color w:val="000000" w:themeColor="text1"/>
          <w:sz w:val="24"/>
          <w:szCs w:val="24"/>
        </w:rPr>
        <w:t xml:space="preserve">sult: </w:t>
      </w:r>
      <w:r w:rsidR="00CA54DD" w:rsidRPr="007A5360">
        <w:rPr>
          <w:rFonts w:ascii="Times New Roman" w:hAnsi="Times New Roman"/>
          <w:i w:val="0"/>
          <w:iCs w:val="0"/>
          <w:color w:val="000000" w:themeColor="text1"/>
          <w:sz w:val="24"/>
          <w:szCs w:val="24"/>
        </w:rPr>
        <w:t>Creative Accounting Practices</w:t>
      </w:r>
    </w:p>
    <w:tbl>
      <w:tblPr>
        <w:tblW w:w="0" w:type="auto"/>
        <w:tblInd w:w="-5" w:type="dxa"/>
        <w:tblBorders>
          <w:top w:val="single" w:sz="4" w:space="0" w:color="auto"/>
          <w:bottom w:val="single" w:sz="4" w:space="0" w:color="auto"/>
        </w:tblBorders>
        <w:tblLook w:val="04A0" w:firstRow="1" w:lastRow="0" w:firstColumn="1" w:lastColumn="0" w:noHBand="0" w:noVBand="1"/>
      </w:tblPr>
      <w:tblGrid>
        <w:gridCol w:w="1461"/>
        <w:gridCol w:w="1197"/>
        <w:gridCol w:w="1341"/>
        <w:gridCol w:w="1406"/>
        <w:gridCol w:w="1309"/>
        <w:gridCol w:w="1309"/>
        <w:gridCol w:w="1342"/>
      </w:tblGrid>
      <w:tr w:rsidR="00CA54DD" w:rsidRPr="008B1465" w14:paraId="434A2861" w14:textId="77777777" w:rsidTr="00893F66">
        <w:tc>
          <w:tcPr>
            <w:tcW w:w="1461" w:type="dxa"/>
            <w:tcBorders>
              <w:top w:val="thinThickSmallGap" w:sz="24" w:space="0" w:color="auto"/>
              <w:bottom w:val="thinThickSmallGap" w:sz="24" w:space="0" w:color="auto"/>
            </w:tcBorders>
          </w:tcPr>
          <w:p w14:paraId="4E1AC3D9" w14:textId="77777777" w:rsidR="00CA54DD" w:rsidRPr="008B1465" w:rsidRDefault="00CA54DD" w:rsidP="00893F66">
            <w:pPr>
              <w:spacing w:after="0" w:line="360" w:lineRule="auto"/>
              <w:rPr>
                <w:rFonts w:ascii="Times New Roman" w:hAnsi="Times New Roman"/>
                <w:b/>
                <w:bCs/>
                <w:sz w:val="24"/>
                <w:szCs w:val="24"/>
              </w:rPr>
            </w:pPr>
            <w:r w:rsidRPr="008B1465">
              <w:rPr>
                <w:rFonts w:ascii="Times New Roman" w:hAnsi="Times New Roman"/>
                <w:b/>
                <w:bCs/>
                <w:sz w:val="24"/>
                <w:szCs w:val="24"/>
              </w:rPr>
              <w:t>Variable</w:t>
            </w:r>
            <w:r>
              <w:rPr>
                <w:rFonts w:ascii="Times New Roman" w:hAnsi="Times New Roman"/>
                <w:b/>
                <w:bCs/>
                <w:sz w:val="24"/>
                <w:szCs w:val="24"/>
              </w:rPr>
              <w:t>s</w:t>
            </w:r>
          </w:p>
        </w:tc>
        <w:tc>
          <w:tcPr>
            <w:tcW w:w="1197" w:type="dxa"/>
            <w:tcBorders>
              <w:top w:val="thinThickSmallGap" w:sz="24" w:space="0" w:color="auto"/>
              <w:bottom w:val="thinThickSmallGap" w:sz="24" w:space="0" w:color="auto"/>
            </w:tcBorders>
          </w:tcPr>
          <w:p w14:paraId="73D83AFD" w14:textId="77777777" w:rsidR="00CA54DD" w:rsidRPr="008B1465" w:rsidRDefault="00CA54DD" w:rsidP="00893F66">
            <w:pPr>
              <w:spacing w:after="0" w:line="360" w:lineRule="auto"/>
              <w:rPr>
                <w:rFonts w:ascii="Times New Roman" w:hAnsi="Times New Roman"/>
                <w:b/>
                <w:bCs/>
                <w:sz w:val="24"/>
                <w:szCs w:val="24"/>
              </w:rPr>
            </w:pPr>
            <w:r>
              <w:rPr>
                <w:rFonts w:ascii="Times New Roman" w:hAnsi="Times New Roman"/>
                <w:b/>
                <w:bCs/>
                <w:sz w:val="24"/>
                <w:szCs w:val="24"/>
              </w:rPr>
              <w:t>B</w:t>
            </w:r>
          </w:p>
        </w:tc>
        <w:tc>
          <w:tcPr>
            <w:tcW w:w="1341" w:type="dxa"/>
            <w:tcBorders>
              <w:top w:val="thinThickSmallGap" w:sz="24" w:space="0" w:color="auto"/>
              <w:bottom w:val="thinThickSmallGap" w:sz="24" w:space="0" w:color="auto"/>
            </w:tcBorders>
          </w:tcPr>
          <w:p w14:paraId="495BEFF9" w14:textId="77777777" w:rsidR="00CA54DD" w:rsidRPr="008B1465" w:rsidRDefault="00CA54DD" w:rsidP="00893F66">
            <w:pPr>
              <w:spacing w:after="0" w:line="360" w:lineRule="auto"/>
              <w:rPr>
                <w:rFonts w:ascii="Times New Roman" w:hAnsi="Times New Roman"/>
                <w:b/>
                <w:bCs/>
                <w:sz w:val="24"/>
                <w:szCs w:val="24"/>
              </w:rPr>
            </w:pPr>
            <w:r w:rsidRPr="008B1465">
              <w:rPr>
                <w:rFonts w:ascii="Times New Roman" w:hAnsi="Times New Roman"/>
                <w:b/>
                <w:bCs/>
                <w:sz w:val="24"/>
                <w:szCs w:val="24"/>
              </w:rPr>
              <w:t>Beta</w:t>
            </w:r>
          </w:p>
        </w:tc>
        <w:tc>
          <w:tcPr>
            <w:tcW w:w="1406" w:type="dxa"/>
            <w:tcBorders>
              <w:top w:val="thinThickSmallGap" w:sz="24" w:space="0" w:color="auto"/>
              <w:bottom w:val="thinThickSmallGap" w:sz="24" w:space="0" w:color="auto"/>
            </w:tcBorders>
          </w:tcPr>
          <w:p w14:paraId="67120B3B" w14:textId="77777777" w:rsidR="00CA54DD" w:rsidRPr="008B1465" w:rsidRDefault="00CA54DD" w:rsidP="00893F66">
            <w:pPr>
              <w:spacing w:after="0" w:line="360" w:lineRule="auto"/>
              <w:rPr>
                <w:rFonts w:ascii="Times New Roman" w:hAnsi="Times New Roman"/>
                <w:b/>
                <w:bCs/>
                <w:sz w:val="24"/>
                <w:szCs w:val="24"/>
              </w:rPr>
            </w:pPr>
            <w:r w:rsidRPr="008B1465">
              <w:rPr>
                <w:rFonts w:ascii="Times New Roman" w:hAnsi="Times New Roman"/>
                <w:b/>
                <w:bCs/>
                <w:sz w:val="24"/>
                <w:szCs w:val="24"/>
              </w:rPr>
              <w:t>t</w:t>
            </w:r>
          </w:p>
        </w:tc>
        <w:tc>
          <w:tcPr>
            <w:tcW w:w="1309" w:type="dxa"/>
            <w:tcBorders>
              <w:top w:val="thinThickSmallGap" w:sz="24" w:space="0" w:color="auto"/>
              <w:bottom w:val="thinThickSmallGap" w:sz="24" w:space="0" w:color="auto"/>
            </w:tcBorders>
          </w:tcPr>
          <w:p w14:paraId="3A45C63A" w14:textId="77777777" w:rsidR="00CA54DD" w:rsidRPr="008B1465" w:rsidRDefault="00CA54DD" w:rsidP="00893F66">
            <w:pPr>
              <w:spacing w:after="0" w:line="360" w:lineRule="auto"/>
              <w:rPr>
                <w:rFonts w:ascii="Times New Roman" w:hAnsi="Times New Roman"/>
                <w:b/>
                <w:bCs/>
                <w:sz w:val="24"/>
                <w:szCs w:val="24"/>
              </w:rPr>
            </w:pPr>
            <w:r w:rsidRPr="008B1465">
              <w:rPr>
                <w:rFonts w:ascii="Times New Roman" w:hAnsi="Times New Roman"/>
                <w:b/>
                <w:bCs/>
                <w:sz w:val="24"/>
                <w:szCs w:val="24"/>
              </w:rPr>
              <w:t>Sig</w:t>
            </w:r>
          </w:p>
        </w:tc>
        <w:tc>
          <w:tcPr>
            <w:tcW w:w="1309" w:type="dxa"/>
            <w:tcBorders>
              <w:top w:val="thinThickSmallGap" w:sz="24" w:space="0" w:color="auto"/>
              <w:bottom w:val="thinThickSmallGap" w:sz="24" w:space="0" w:color="auto"/>
            </w:tcBorders>
          </w:tcPr>
          <w:p w14:paraId="21D27936" w14:textId="77777777" w:rsidR="00CA54DD" w:rsidRPr="008B1465" w:rsidRDefault="00CA54DD" w:rsidP="00893F66">
            <w:pPr>
              <w:spacing w:after="0" w:line="360" w:lineRule="auto"/>
              <w:rPr>
                <w:rFonts w:ascii="Times New Roman" w:hAnsi="Times New Roman"/>
                <w:b/>
                <w:bCs/>
                <w:sz w:val="24"/>
                <w:szCs w:val="24"/>
              </w:rPr>
            </w:pPr>
            <w:r w:rsidRPr="008B1465">
              <w:rPr>
                <w:rFonts w:ascii="Times New Roman" w:hAnsi="Times New Roman"/>
                <w:b/>
                <w:bCs/>
                <w:sz w:val="24"/>
                <w:szCs w:val="24"/>
              </w:rPr>
              <w:t>T</w:t>
            </w:r>
          </w:p>
        </w:tc>
        <w:tc>
          <w:tcPr>
            <w:tcW w:w="1342" w:type="dxa"/>
            <w:tcBorders>
              <w:top w:val="thinThickSmallGap" w:sz="24" w:space="0" w:color="auto"/>
              <w:bottom w:val="thinThickSmallGap" w:sz="24" w:space="0" w:color="auto"/>
            </w:tcBorders>
          </w:tcPr>
          <w:p w14:paraId="2280D3CD" w14:textId="77777777" w:rsidR="00CA54DD" w:rsidRPr="008B1465" w:rsidRDefault="00CA54DD" w:rsidP="00893F66">
            <w:pPr>
              <w:spacing w:after="0" w:line="360" w:lineRule="auto"/>
              <w:rPr>
                <w:rFonts w:ascii="Times New Roman" w:hAnsi="Times New Roman"/>
                <w:b/>
                <w:bCs/>
                <w:sz w:val="24"/>
                <w:szCs w:val="24"/>
              </w:rPr>
            </w:pPr>
            <w:r w:rsidRPr="008B1465">
              <w:rPr>
                <w:rFonts w:ascii="Times New Roman" w:hAnsi="Times New Roman"/>
                <w:b/>
                <w:bCs/>
                <w:sz w:val="24"/>
                <w:szCs w:val="24"/>
              </w:rPr>
              <w:t>VIF</w:t>
            </w:r>
          </w:p>
        </w:tc>
      </w:tr>
      <w:tr w:rsidR="00CA54DD" w:rsidRPr="008B1465" w14:paraId="0823202B" w14:textId="77777777" w:rsidTr="00893F66">
        <w:tc>
          <w:tcPr>
            <w:tcW w:w="1461" w:type="dxa"/>
            <w:tcBorders>
              <w:top w:val="thinThickSmallGap" w:sz="24" w:space="0" w:color="auto"/>
            </w:tcBorders>
          </w:tcPr>
          <w:p w14:paraId="0EFBE0F7" w14:textId="77777777" w:rsidR="00CA54DD" w:rsidRPr="008B1465" w:rsidRDefault="00CA54DD" w:rsidP="00893F66">
            <w:pPr>
              <w:spacing w:after="0" w:line="360" w:lineRule="auto"/>
              <w:jc w:val="both"/>
              <w:rPr>
                <w:rFonts w:ascii="Times New Roman" w:hAnsi="Times New Roman"/>
                <w:b/>
                <w:bCs/>
                <w:sz w:val="24"/>
                <w:szCs w:val="24"/>
              </w:rPr>
            </w:pPr>
            <w:r w:rsidRPr="008B1465">
              <w:rPr>
                <w:rFonts w:ascii="Times New Roman" w:hAnsi="Times New Roman"/>
                <w:b/>
                <w:bCs/>
                <w:sz w:val="24"/>
                <w:szCs w:val="24"/>
              </w:rPr>
              <w:t>Constant</w:t>
            </w:r>
          </w:p>
        </w:tc>
        <w:tc>
          <w:tcPr>
            <w:tcW w:w="1197" w:type="dxa"/>
            <w:tcBorders>
              <w:top w:val="thinThickSmallGap" w:sz="24" w:space="0" w:color="auto"/>
            </w:tcBorders>
          </w:tcPr>
          <w:p w14:paraId="6FF22165" w14:textId="77777777" w:rsidR="00CA54DD" w:rsidRPr="008B1465" w:rsidRDefault="00CA54DD" w:rsidP="00893F66">
            <w:pPr>
              <w:spacing w:after="0" w:line="360" w:lineRule="auto"/>
              <w:jc w:val="both"/>
              <w:rPr>
                <w:rFonts w:ascii="Times New Roman" w:hAnsi="Times New Roman"/>
                <w:sz w:val="24"/>
                <w:szCs w:val="24"/>
              </w:rPr>
            </w:pPr>
            <w:r>
              <w:rPr>
                <w:rFonts w:ascii="Times New Roman" w:hAnsi="Times New Roman"/>
                <w:sz w:val="24"/>
                <w:szCs w:val="24"/>
              </w:rPr>
              <w:t>11.025</w:t>
            </w:r>
          </w:p>
        </w:tc>
        <w:tc>
          <w:tcPr>
            <w:tcW w:w="1341" w:type="dxa"/>
            <w:tcBorders>
              <w:top w:val="thinThickSmallGap" w:sz="24" w:space="0" w:color="auto"/>
            </w:tcBorders>
          </w:tcPr>
          <w:p w14:paraId="36F80C57" w14:textId="77777777" w:rsidR="00CA54DD" w:rsidRPr="008B1465" w:rsidRDefault="00CA54DD" w:rsidP="00893F66">
            <w:pPr>
              <w:spacing w:after="0" w:line="360" w:lineRule="auto"/>
              <w:jc w:val="both"/>
              <w:rPr>
                <w:rFonts w:ascii="Times New Roman" w:hAnsi="Times New Roman"/>
                <w:sz w:val="24"/>
                <w:szCs w:val="24"/>
              </w:rPr>
            </w:pPr>
          </w:p>
        </w:tc>
        <w:tc>
          <w:tcPr>
            <w:tcW w:w="1406" w:type="dxa"/>
            <w:tcBorders>
              <w:top w:val="thinThickSmallGap" w:sz="24" w:space="0" w:color="auto"/>
            </w:tcBorders>
          </w:tcPr>
          <w:p w14:paraId="64FE27C4" w14:textId="77777777" w:rsidR="00CA54DD" w:rsidRPr="008B1465" w:rsidRDefault="00CA54DD" w:rsidP="00893F66">
            <w:pPr>
              <w:spacing w:after="0" w:line="360" w:lineRule="auto"/>
              <w:jc w:val="both"/>
              <w:rPr>
                <w:rFonts w:ascii="Times New Roman" w:hAnsi="Times New Roman"/>
                <w:sz w:val="24"/>
                <w:szCs w:val="24"/>
              </w:rPr>
            </w:pPr>
            <w:r w:rsidRPr="008B1465">
              <w:rPr>
                <w:rFonts w:ascii="Times New Roman" w:hAnsi="Times New Roman"/>
                <w:sz w:val="24"/>
                <w:szCs w:val="24"/>
              </w:rPr>
              <w:t>4.147</w:t>
            </w:r>
          </w:p>
        </w:tc>
        <w:tc>
          <w:tcPr>
            <w:tcW w:w="1309" w:type="dxa"/>
            <w:tcBorders>
              <w:top w:val="thinThickSmallGap" w:sz="24" w:space="0" w:color="auto"/>
            </w:tcBorders>
          </w:tcPr>
          <w:p w14:paraId="054872F5" w14:textId="77777777" w:rsidR="00CA54DD" w:rsidRPr="008B1465" w:rsidRDefault="00CA54DD" w:rsidP="00893F66">
            <w:pPr>
              <w:spacing w:after="0" w:line="360" w:lineRule="auto"/>
              <w:jc w:val="both"/>
              <w:rPr>
                <w:rFonts w:ascii="Times New Roman" w:hAnsi="Times New Roman"/>
                <w:sz w:val="24"/>
                <w:szCs w:val="24"/>
              </w:rPr>
            </w:pPr>
            <w:r w:rsidRPr="008B1465">
              <w:rPr>
                <w:rFonts w:ascii="Times New Roman" w:hAnsi="Times New Roman"/>
                <w:sz w:val="24"/>
                <w:szCs w:val="24"/>
              </w:rPr>
              <w:t>.000</w:t>
            </w:r>
          </w:p>
        </w:tc>
        <w:tc>
          <w:tcPr>
            <w:tcW w:w="1309" w:type="dxa"/>
            <w:tcBorders>
              <w:top w:val="thinThickSmallGap" w:sz="24" w:space="0" w:color="auto"/>
            </w:tcBorders>
          </w:tcPr>
          <w:p w14:paraId="476ED1EF" w14:textId="77777777" w:rsidR="00CA54DD" w:rsidRPr="008B1465" w:rsidRDefault="00CA54DD" w:rsidP="00893F66">
            <w:pPr>
              <w:spacing w:after="0" w:line="360" w:lineRule="auto"/>
              <w:jc w:val="both"/>
              <w:rPr>
                <w:rFonts w:ascii="Times New Roman" w:hAnsi="Times New Roman"/>
                <w:sz w:val="24"/>
                <w:szCs w:val="24"/>
              </w:rPr>
            </w:pPr>
          </w:p>
        </w:tc>
        <w:tc>
          <w:tcPr>
            <w:tcW w:w="1342" w:type="dxa"/>
            <w:tcBorders>
              <w:top w:val="thinThickSmallGap" w:sz="24" w:space="0" w:color="auto"/>
            </w:tcBorders>
          </w:tcPr>
          <w:p w14:paraId="017888C2" w14:textId="77777777" w:rsidR="00CA54DD" w:rsidRPr="008B1465" w:rsidRDefault="00CA54DD" w:rsidP="00893F66">
            <w:pPr>
              <w:spacing w:after="0" w:line="360" w:lineRule="auto"/>
              <w:jc w:val="both"/>
              <w:rPr>
                <w:rFonts w:ascii="Times New Roman" w:hAnsi="Times New Roman"/>
                <w:sz w:val="24"/>
                <w:szCs w:val="24"/>
              </w:rPr>
            </w:pPr>
          </w:p>
        </w:tc>
      </w:tr>
      <w:tr w:rsidR="00CA54DD" w:rsidRPr="008B1465" w14:paraId="32700971" w14:textId="77777777" w:rsidTr="00893F66">
        <w:tc>
          <w:tcPr>
            <w:tcW w:w="1461" w:type="dxa"/>
          </w:tcPr>
          <w:p w14:paraId="4695D31C" w14:textId="77777777" w:rsidR="00CA54DD" w:rsidRPr="008B1465" w:rsidRDefault="00CA54DD" w:rsidP="00893F66">
            <w:pPr>
              <w:spacing w:after="0" w:line="360" w:lineRule="auto"/>
              <w:jc w:val="both"/>
              <w:rPr>
                <w:rFonts w:ascii="Times New Roman" w:hAnsi="Times New Roman"/>
                <w:b/>
                <w:bCs/>
                <w:sz w:val="24"/>
                <w:szCs w:val="24"/>
              </w:rPr>
            </w:pPr>
            <w:r w:rsidRPr="008B1465">
              <w:rPr>
                <w:rFonts w:ascii="Times New Roman" w:hAnsi="Times New Roman"/>
                <w:b/>
                <w:bCs/>
                <w:sz w:val="24"/>
                <w:szCs w:val="24"/>
              </w:rPr>
              <w:t>SCCP</w:t>
            </w:r>
          </w:p>
        </w:tc>
        <w:tc>
          <w:tcPr>
            <w:tcW w:w="1197" w:type="dxa"/>
          </w:tcPr>
          <w:p w14:paraId="7CD0B511" w14:textId="77777777" w:rsidR="00CA54DD" w:rsidRPr="008B1465" w:rsidRDefault="00CA54DD" w:rsidP="00893F66">
            <w:pPr>
              <w:spacing w:after="0" w:line="360" w:lineRule="auto"/>
              <w:jc w:val="both"/>
              <w:rPr>
                <w:rFonts w:ascii="Times New Roman" w:hAnsi="Times New Roman"/>
                <w:sz w:val="24"/>
                <w:szCs w:val="24"/>
              </w:rPr>
            </w:pPr>
            <w:r>
              <w:rPr>
                <w:rFonts w:ascii="Times New Roman" w:hAnsi="Times New Roman"/>
                <w:sz w:val="24"/>
                <w:szCs w:val="24"/>
              </w:rPr>
              <w:t>-.08</w:t>
            </w:r>
          </w:p>
        </w:tc>
        <w:tc>
          <w:tcPr>
            <w:tcW w:w="1341" w:type="dxa"/>
          </w:tcPr>
          <w:p w14:paraId="6DBF583D" w14:textId="77777777" w:rsidR="00CA54DD" w:rsidRPr="008B1465" w:rsidRDefault="00CA54DD" w:rsidP="00893F66">
            <w:pPr>
              <w:spacing w:after="0" w:line="360" w:lineRule="auto"/>
              <w:jc w:val="both"/>
              <w:rPr>
                <w:rFonts w:ascii="Times New Roman" w:hAnsi="Times New Roman"/>
                <w:sz w:val="24"/>
                <w:szCs w:val="24"/>
              </w:rPr>
            </w:pPr>
            <w:r w:rsidRPr="008B1465">
              <w:rPr>
                <w:rFonts w:ascii="Times New Roman" w:hAnsi="Times New Roman"/>
                <w:sz w:val="24"/>
                <w:szCs w:val="24"/>
              </w:rPr>
              <w:t>-.021</w:t>
            </w:r>
          </w:p>
        </w:tc>
        <w:tc>
          <w:tcPr>
            <w:tcW w:w="1406" w:type="dxa"/>
          </w:tcPr>
          <w:p w14:paraId="60A92128" w14:textId="77777777" w:rsidR="00CA54DD" w:rsidRPr="008B1465" w:rsidRDefault="00CA54DD" w:rsidP="00893F66">
            <w:pPr>
              <w:spacing w:after="0" w:line="360" w:lineRule="auto"/>
              <w:jc w:val="both"/>
              <w:rPr>
                <w:rFonts w:ascii="Times New Roman" w:hAnsi="Times New Roman"/>
                <w:sz w:val="24"/>
                <w:szCs w:val="24"/>
              </w:rPr>
            </w:pPr>
            <w:r w:rsidRPr="008B1465">
              <w:rPr>
                <w:rFonts w:ascii="Times New Roman" w:hAnsi="Times New Roman"/>
                <w:sz w:val="24"/>
                <w:szCs w:val="24"/>
              </w:rPr>
              <w:t>-3.007</w:t>
            </w:r>
          </w:p>
        </w:tc>
        <w:tc>
          <w:tcPr>
            <w:tcW w:w="1309" w:type="dxa"/>
          </w:tcPr>
          <w:p w14:paraId="5369E541" w14:textId="77777777" w:rsidR="00CA54DD" w:rsidRPr="008B1465" w:rsidRDefault="00CA54DD" w:rsidP="00893F66">
            <w:pPr>
              <w:spacing w:after="0" w:line="360" w:lineRule="auto"/>
              <w:jc w:val="both"/>
              <w:rPr>
                <w:rFonts w:ascii="Times New Roman" w:hAnsi="Times New Roman"/>
                <w:sz w:val="24"/>
                <w:szCs w:val="24"/>
              </w:rPr>
            </w:pPr>
            <w:r w:rsidRPr="008B1465">
              <w:rPr>
                <w:rFonts w:ascii="Times New Roman" w:hAnsi="Times New Roman"/>
                <w:sz w:val="24"/>
                <w:szCs w:val="24"/>
              </w:rPr>
              <w:t>.002</w:t>
            </w:r>
          </w:p>
        </w:tc>
        <w:tc>
          <w:tcPr>
            <w:tcW w:w="1309" w:type="dxa"/>
          </w:tcPr>
          <w:p w14:paraId="208CD3C5" w14:textId="77777777" w:rsidR="00CA54DD" w:rsidRPr="008B1465" w:rsidRDefault="00CA54DD" w:rsidP="00893F66">
            <w:pPr>
              <w:spacing w:after="0" w:line="360" w:lineRule="auto"/>
              <w:jc w:val="both"/>
              <w:rPr>
                <w:rFonts w:ascii="Times New Roman" w:hAnsi="Times New Roman"/>
                <w:sz w:val="24"/>
                <w:szCs w:val="24"/>
              </w:rPr>
            </w:pPr>
            <w:r w:rsidRPr="008B1465">
              <w:rPr>
                <w:rFonts w:ascii="Times New Roman" w:hAnsi="Times New Roman"/>
                <w:sz w:val="24"/>
                <w:szCs w:val="24"/>
              </w:rPr>
              <w:t>.983</w:t>
            </w:r>
          </w:p>
        </w:tc>
        <w:tc>
          <w:tcPr>
            <w:tcW w:w="1342" w:type="dxa"/>
          </w:tcPr>
          <w:p w14:paraId="55A4E849" w14:textId="77777777" w:rsidR="00CA54DD" w:rsidRPr="008B1465" w:rsidRDefault="00CA54DD" w:rsidP="00893F66">
            <w:pPr>
              <w:spacing w:after="0" w:line="360" w:lineRule="auto"/>
              <w:jc w:val="both"/>
              <w:rPr>
                <w:rFonts w:ascii="Times New Roman" w:hAnsi="Times New Roman"/>
                <w:sz w:val="24"/>
                <w:szCs w:val="24"/>
              </w:rPr>
            </w:pPr>
            <w:r w:rsidRPr="008B1465">
              <w:rPr>
                <w:rFonts w:ascii="Times New Roman" w:hAnsi="Times New Roman"/>
                <w:sz w:val="24"/>
                <w:szCs w:val="24"/>
              </w:rPr>
              <w:t>1.017</w:t>
            </w:r>
          </w:p>
        </w:tc>
      </w:tr>
      <w:tr w:rsidR="00CA54DD" w:rsidRPr="008B1465" w14:paraId="68D11E57" w14:textId="77777777" w:rsidTr="00893F66">
        <w:tc>
          <w:tcPr>
            <w:tcW w:w="1461" w:type="dxa"/>
          </w:tcPr>
          <w:p w14:paraId="0F27147D" w14:textId="77777777" w:rsidR="00CA54DD" w:rsidRPr="008B1465" w:rsidRDefault="00CA54DD" w:rsidP="00893F66">
            <w:pPr>
              <w:spacing w:after="0" w:line="360" w:lineRule="auto"/>
              <w:jc w:val="both"/>
              <w:rPr>
                <w:rFonts w:ascii="Times New Roman" w:hAnsi="Times New Roman"/>
                <w:b/>
                <w:bCs/>
                <w:sz w:val="24"/>
                <w:szCs w:val="24"/>
              </w:rPr>
            </w:pPr>
            <w:r w:rsidRPr="008B1465">
              <w:rPr>
                <w:rFonts w:ascii="Times New Roman" w:hAnsi="Times New Roman"/>
                <w:b/>
                <w:bCs/>
                <w:sz w:val="24"/>
                <w:szCs w:val="24"/>
              </w:rPr>
              <w:t>IF</w:t>
            </w:r>
          </w:p>
        </w:tc>
        <w:tc>
          <w:tcPr>
            <w:tcW w:w="1197" w:type="dxa"/>
          </w:tcPr>
          <w:p w14:paraId="6949AA1E" w14:textId="77777777" w:rsidR="00CA54DD" w:rsidRPr="008B1465" w:rsidRDefault="00CA54DD" w:rsidP="00893F66">
            <w:pPr>
              <w:spacing w:after="0" w:line="360" w:lineRule="auto"/>
              <w:jc w:val="both"/>
              <w:rPr>
                <w:rFonts w:ascii="Times New Roman" w:hAnsi="Times New Roman"/>
                <w:sz w:val="24"/>
                <w:szCs w:val="24"/>
              </w:rPr>
            </w:pPr>
            <w:r>
              <w:rPr>
                <w:rFonts w:ascii="Times New Roman" w:hAnsi="Times New Roman"/>
                <w:sz w:val="24"/>
                <w:szCs w:val="24"/>
              </w:rPr>
              <w:t>-1.32</w:t>
            </w:r>
          </w:p>
        </w:tc>
        <w:tc>
          <w:tcPr>
            <w:tcW w:w="1341" w:type="dxa"/>
          </w:tcPr>
          <w:p w14:paraId="4A102F44" w14:textId="77777777" w:rsidR="00CA54DD" w:rsidRPr="008B1465" w:rsidRDefault="00CA54DD" w:rsidP="00893F66">
            <w:pPr>
              <w:spacing w:after="0" w:line="360" w:lineRule="auto"/>
              <w:jc w:val="both"/>
              <w:rPr>
                <w:rFonts w:ascii="Times New Roman" w:hAnsi="Times New Roman"/>
                <w:sz w:val="24"/>
                <w:szCs w:val="24"/>
              </w:rPr>
            </w:pPr>
            <w:r w:rsidRPr="008B1465">
              <w:rPr>
                <w:rFonts w:ascii="Times New Roman" w:hAnsi="Times New Roman"/>
                <w:sz w:val="24"/>
                <w:szCs w:val="24"/>
              </w:rPr>
              <w:t>-.632</w:t>
            </w:r>
          </w:p>
        </w:tc>
        <w:tc>
          <w:tcPr>
            <w:tcW w:w="1406" w:type="dxa"/>
          </w:tcPr>
          <w:p w14:paraId="69F232E5" w14:textId="77777777" w:rsidR="00CA54DD" w:rsidRPr="008B1465" w:rsidRDefault="00CA54DD" w:rsidP="00893F66">
            <w:pPr>
              <w:spacing w:after="0" w:line="360" w:lineRule="auto"/>
              <w:jc w:val="both"/>
              <w:rPr>
                <w:rFonts w:ascii="Times New Roman" w:hAnsi="Times New Roman"/>
                <w:sz w:val="24"/>
                <w:szCs w:val="24"/>
              </w:rPr>
            </w:pPr>
            <w:r w:rsidRPr="008B1465">
              <w:rPr>
                <w:rFonts w:ascii="Times New Roman" w:hAnsi="Times New Roman"/>
                <w:sz w:val="24"/>
                <w:szCs w:val="24"/>
              </w:rPr>
              <w:t>-72.93</w:t>
            </w:r>
          </w:p>
        </w:tc>
        <w:tc>
          <w:tcPr>
            <w:tcW w:w="1309" w:type="dxa"/>
          </w:tcPr>
          <w:p w14:paraId="0B976A50" w14:textId="77777777" w:rsidR="00CA54DD" w:rsidRPr="008B1465" w:rsidRDefault="00CA54DD" w:rsidP="00893F66">
            <w:pPr>
              <w:spacing w:after="0" w:line="360" w:lineRule="auto"/>
              <w:jc w:val="both"/>
              <w:rPr>
                <w:rFonts w:ascii="Times New Roman" w:hAnsi="Times New Roman"/>
                <w:sz w:val="24"/>
                <w:szCs w:val="24"/>
              </w:rPr>
            </w:pPr>
            <w:r w:rsidRPr="008B1465">
              <w:rPr>
                <w:rFonts w:ascii="Times New Roman" w:hAnsi="Times New Roman"/>
                <w:sz w:val="24"/>
                <w:szCs w:val="24"/>
              </w:rPr>
              <w:t>.000</w:t>
            </w:r>
          </w:p>
        </w:tc>
        <w:tc>
          <w:tcPr>
            <w:tcW w:w="1309" w:type="dxa"/>
          </w:tcPr>
          <w:p w14:paraId="4AD640D9" w14:textId="77777777" w:rsidR="00CA54DD" w:rsidRPr="008B1465" w:rsidRDefault="00CA54DD" w:rsidP="00893F66">
            <w:pPr>
              <w:spacing w:after="0" w:line="360" w:lineRule="auto"/>
              <w:jc w:val="both"/>
              <w:rPr>
                <w:rFonts w:ascii="Times New Roman" w:hAnsi="Times New Roman"/>
                <w:sz w:val="24"/>
                <w:szCs w:val="24"/>
              </w:rPr>
            </w:pPr>
            <w:r w:rsidRPr="008B1465">
              <w:rPr>
                <w:rFonts w:ascii="Times New Roman" w:hAnsi="Times New Roman"/>
                <w:sz w:val="24"/>
                <w:szCs w:val="24"/>
              </w:rPr>
              <w:t>.586</w:t>
            </w:r>
          </w:p>
        </w:tc>
        <w:tc>
          <w:tcPr>
            <w:tcW w:w="1342" w:type="dxa"/>
          </w:tcPr>
          <w:p w14:paraId="1882B11B" w14:textId="77777777" w:rsidR="00CA54DD" w:rsidRPr="008B1465" w:rsidRDefault="00CA54DD" w:rsidP="00893F66">
            <w:pPr>
              <w:spacing w:after="0" w:line="360" w:lineRule="auto"/>
              <w:jc w:val="both"/>
              <w:rPr>
                <w:rFonts w:ascii="Times New Roman" w:hAnsi="Times New Roman"/>
                <w:sz w:val="24"/>
                <w:szCs w:val="24"/>
              </w:rPr>
            </w:pPr>
            <w:r w:rsidRPr="008B1465">
              <w:rPr>
                <w:rFonts w:ascii="Times New Roman" w:hAnsi="Times New Roman"/>
                <w:sz w:val="24"/>
                <w:szCs w:val="24"/>
              </w:rPr>
              <w:t>1.707</w:t>
            </w:r>
          </w:p>
        </w:tc>
      </w:tr>
      <w:tr w:rsidR="00CA54DD" w:rsidRPr="008B1465" w14:paraId="47BC2B5A" w14:textId="77777777" w:rsidTr="00893F66">
        <w:tc>
          <w:tcPr>
            <w:tcW w:w="1461" w:type="dxa"/>
          </w:tcPr>
          <w:p w14:paraId="3985DF06" w14:textId="77777777" w:rsidR="00CA54DD" w:rsidRPr="008B1465" w:rsidRDefault="00CA54DD" w:rsidP="00893F66">
            <w:pPr>
              <w:spacing w:after="0" w:line="360" w:lineRule="auto"/>
              <w:jc w:val="both"/>
              <w:rPr>
                <w:rFonts w:ascii="Times New Roman" w:hAnsi="Times New Roman"/>
                <w:b/>
                <w:bCs/>
                <w:sz w:val="24"/>
                <w:szCs w:val="24"/>
              </w:rPr>
            </w:pPr>
            <w:r w:rsidRPr="008B1465">
              <w:rPr>
                <w:rFonts w:ascii="Times New Roman" w:hAnsi="Times New Roman"/>
                <w:b/>
                <w:bCs/>
                <w:sz w:val="24"/>
                <w:szCs w:val="24"/>
              </w:rPr>
              <w:t>LS</w:t>
            </w:r>
          </w:p>
        </w:tc>
        <w:tc>
          <w:tcPr>
            <w:tcW w:w="1197" w:type="dxa"/>
            <w:tcBorders>
              <w:bottom w:val="nil"/>
            </w:tcBorders>
          </w:tcPr>
          <w:p w14:paraId="5FC9C6D7" w14:textId="77777777" w:rsidR="00CA54DD" w:rsidRPr="008B1465" w:rsidRDefault="00CA54DD" w:rsidP="00893F66">
            <w:pPr>
              <w:spacing w:after="0" w:line="360" w:lineRule="auto"/>
              <w:jc w:val="both"/>
              <w:rPr>
                <w:rFonts w:ascii="Times New Roman" w:hAnsi="Times New Roman"/>
                <w:sz w:val="24"/>
                <w:szCs w:val="24"/>
              </w:rPr>
            </w:pPr>
            <w:r>
              <w:rPr>
                <w:rFonts w:ascii="Times New Roman" w:hAnsi="Times New Roman"/>
                <w:sz w:val="24"/>
                <w:szCs w:val="24"/>
              </w:rPr>
              <w:t>-.35</w:t>
            </w:r>
          </w:p>
        </w:tc>
        <w:tc>
          <w:tcPr>
            <w:tcW w:w="1341" w:type="dxa"/>
            <w:tcBorders>
              <w:bottom w:val="nil"/>
            </w:tcBorders>
          </w:tcPr>
          <w:p w14:paraId="5ADE01E4" w14:textId="77777777" w:rsidR="00CA54DD" w:rsidRPr="008B1465" w:rsidRDefault="00CA54DD" w:rsidP="00893F66">
            <w:pPr>
              <w:spacing w:after="0" w:line="360" w:lineRule="auto"/>
              <w:jc w:val="both"/>
              <w:rPr>
                <w:rFonts w:ascii="Times New Roman" w:hAnsi="Times New Roman"/>
                <w:sz w:val="24"/>
                <w:szCs w:val="24"/>
              </w:rPr>
            </w:pPr>
            <w:r w:rsidRPr="008B1465">
              <w:rPr>
                <w:rFonts w:ascii="Times New Roman" w:hAnsi="Times New Roman"/>
                <w:sz w:val="24"/>
                <w:szCs w:val="24"/>
              </w:rPr>
              <w:t>-.020</w:t>
            </w:r>
          </w:p>
        </w:tc>
        <w:tc>
          <w:tcPr>
            <w:tcW w:w="1406" w:type="dxa"/>
            <w:tcBorders>
              <w:bottom w:val="nil"/>
            </w:tcBorders>
          </w:tcPr>
          <w:p w14:paraId="11FB753A" w14:textId="77777777" w:rsidR="00CA54DD" w:rsidRPr="008B1465" w:rsidRDefault="00CA54DD" w:rsidP="00893F66">
            <w:pPr>
              <w:spacing w:after="0" w:line="360" w:lineRule="auto"/>
              <w:jc w:val="both"/>
              <w:rPr>
                <w:rFonts w:ascii="Times New Roman" w:hAnsi="Times New Roman"/>
                <w:sz w:val="24"/>
                <w:szCs w:val="24"/>
              </w:rPr>
            </w:pPr>
            <w:r w:rsidRPr="008B1465">
              <w:rPr>
                <w:rFonts w:ascii="Times New Roman" w:hAnsi="Times New Roman"/>
                <w:sz w:val="24"/>
                <w:szCs w:val="24"/>
              </w:rPr>
              <w:t>-3.011</w:t>
            </w:r>
          </w:p>
        </w:tc>
        <w:tc>
          <w:tcPr>
            <w:tcW w:w="1309" w:type="dxa"/>
            <w:tcBorders>
              <w:bottom w:val="nil"/>
            </w:tcBorders>
          </w:tcPr>
          <w:p w14:paraId="76CCED09" w14:textId="77777777" w:rsidR="00CA54DD" w:rsidRPr="008B1465" w:rsidRDefault="00CA54DD" w:rsidP="00893F66">
            <w:pPr>
              <w:spacing w:after="0" w:line="360" w:lineRule="auto"/>
              <w:jc w:val="both"/>
              <w:rPr>
                <w:rFonts w:ascii="Times New Roman" w:hAnsi="Times New Roman"/>
                <w:sz w:val="24"/>
                <w:szCs w:val="24"/>
              </w:rPr>
            </w:pPr>
            <w:r w:rsidRPr="008B1465">
              <w:rPr>
                <w:rFonts w:ascii="Times New Roman" w:hAnsi="Times New Roman"/>
                <w:sz w:val="24"/>
                <w:szCs w:val="24"/>
              </w:rPr>
              <w:t>.003</w:t>
            </w:r>
          </w:p>
        </w:tc>
        <w:tc>
          <w:tcPr>
            <w:tcW w:w="1309" w:type="dxa"/>
            <w:tcBorders>
              <w:bottom w:val="nil"/>
            </w:tcBorders>
          </w:tcPr>
          <w:p w14:paraId="2EAE709A" w14:textId="77777777" w:rsidR="00CA54DD" w:rsidRPr="008B1465" w:rsidRDefault="00CA54DD" w:rsidP="00893F66">
            <w:pPr>
              <w:spacing w:after="0" w:line="360" w:lineRule="auto"/>
              <w:jc w:val="both"/>
              <w:rPr>
                <w:rFonts w:ascii="Times New Roman" w:hAnsi="Times New Roman"/>
                <w:sz w:val="24"/>
                <w:szCs w:val="24"/>
              </w:rPr>
            </w:pPr>
            <w:r w:rsidRPr="008B1465">
              <w:rPr>
                <w:rFonts w:ascii="Times New Roman" w:hAnsi="Times New Roman"/>
                <w:sz w:val="24"/>
                <w:szCs w:val="24"/>
              </w:rPr>
              <w:t>.989</w:t>
            </w:r>
          </w:p>
        </w:tc>
        <w:tc>
          <w:tcPr>
            <w:tcW w:w="1342" w:type="dxa"/>
            <w:tcBorders>
              <w:bottom w:val="nil"/>
            </w:tcBorders>
          </w:tcPr>
          <w:p w14:paraId="75228102" w14:textId="77777777" w:rsidR="00CA54DD" w:rsidRPr="008B1465" w:rsidRDefault="00CA54DD" w:rsidP="00893F66">
            <w:pPr>
              <w:spacing w:after="0" w:line="360" w:lineRule="auto"/>
              <w:jc w:val="both"/>
              <w:rPr>
                <w:rFonts w:ascii="Times New Roman" w:hAnsi="Times New Roman"/>
                <w:sz w:val="24"/>
                <w:szCs w:val="24"/>
              </w:rPr>
            </w:pPr>
            <w:r w:rsidRPr="008B1465">
              <w:rPr>
                <w:rFonts w:ascii="Times New Roman" w:hAnsi="Times New Roman"/>
                <w:sz w:val="24"/>
                <w:szCs w:val="24"/>
              </w:rPr>
              <w:t>1.012</w:t>
            </w:r>
          </w:p>
        </w:tc>
      </w:tr>
      <w:tr w:rsidR="00CA54DD" w:rsidRPr="008B1465" w14:paraId="07CAC501" w14:textId="77777777" w:rsidTr="00893F66">
        <w:tc>
          <w:tcPr>
            <w:tcW w:w="1461" w:type="dxa"/>
          </w:tcPr>
          <w:p w14:paraId="18D7FED4" w14:textId="77777777" w:rsidR="00CA54DD" w:rsidRPr="008B1465" w:rsidRDefault="00CA54DD" w:rsidP="00893F66">
            <w:pPr>
              <w:spacing w:after="0" w:line="360" w:lineRule="auto"/>
              <w:jc w:val="both"/>
              <w:rPr>
                <w:rFonts w:ascii="Times New Roman" w:hAnsi="Times New Roman"/>
                <w:b/>
                <w:bCs/>
                <w:sz w:val="24"/>
                <w:szCs w:val="24"/>
              </w:rPr>
            </w:pPr>
            <w:r w:rsidRPr="008B1465">
              <w:rPr>
                <w:rFonts w:ascii="Times New Roman" w:hAnsi="Times New Roman"/>
                <w:b/>
                <w:bCs/>
                <w:sz w:val="24"/>
                <w:szCs w:val="24"/>
              </w:rPr>
              <w:t>ADE</w:t>
            </w:r>
          </w:p>
        </w:tc>
        <w:tc>
          <w:tcPr>
            <w:tcW w:w="1197" w:type="dxa"/>
            <w:tcBorders>
              <w:top w:val="nil"/>
              <w:bottom w:val="nil"/>
            </w:tcBorders>
          </w:tcPr>
          <w:p w14:paraId="3157CA68" w14:textId="77777777" w:rsidR="00CA54DD" w:rsidRPr="008B1465" w:rsidRDefault="00CA54DD" w:rsidP="00893F66">
            <w:pPr>
              <w:spacing w:after="0" w:line="360" w:lineRule="auto"/>
              <w:jc w:val="both"/>
              <w:rPr>
                <w:rFonts w:ascii="Times New Roman" w:hAnsi="Times New Roman"/>
                <w:sz w:val="24"/>
                <w:szCs w:val="24"/>
              </w:rPr>
            </w:pPr>
            <w:r>
              <w:rPr>
                <w:rFonts w:ascii="Times New Roman" w:hAnsi="Times New Roman"/>
                <w:sz w:val="24"/>
                <w:szCs w:val="24"/>
              </w:rPr>
              <w:t>2.165</w:t>
            </w:r>
          </w:p>
        </w:tc>
        <w:tc>
          <w:tcPr>
            <w:tcW w:w="1341" w:type="dxa"/>
            <w:tcBorders>
              <w:top w:val="nil"/>
              <w:bottom w:val="nil"/>
            </w:tcBorders>
          </w:tcPr>
          <w:p w14:paraId="0FFCC4E3" w14:textId="77777777" w:rsidR="00CA54DD" w:rsidRPr="008B1465" w:rsidRDefault="00CA54DD" w:rsidP="00893F66">
            <w:pPr>
              <w:spacing w:after="0" w:line="360" w:lineRule="auto"/>
              <w:jc w:val="both"/>
              <w:rPr>
                <w:rFonts w:ascii="Times New Roman" w:hAnsi="Times New Roman"/>
                <w:sz w:val="24"/>
                <w:szCs w:val="24"/>
              </w:rPr>
            </w:pPr>
            <w:r w:rsidRPr="008B1465">
              <w:rPr>
                <w:rFonts w:ascii="Times New Roman" w:hAnsi="Times New Roman"/>
                <w:sz w:val="24"/>
                <w:szCs w:val="24"/>
              </w:rPr>
              <w:t>1.269</w:t>
            </w:r>
          </w:p>
        </w:tc>
        <w:tc>
          <w:tcPr>
            <w:tcW w:w="1406" w:type="dxa"/>
            <w:tcBorders>
              <w:top w:val="nil"/>
              <w:bottom w:val="nil"/>
            </w:tcBorders>
          </w:tcPr>
          <w:p w14:paraId="6F19E86B" w14:textId="77777777" w:rsidR="00CA54DD" w:rsidRPr="008B1465" w:rsidRDefault="00CA54DD" w:rsidP="00893F66">
            <w:pPr>
              <w:spacing w:after="0" w:line="360" w:lineRule="auto"/>
              <w:jc w:val="both"/>
              <w:rPr>
                <w:rFonts w:ascii="Times New Roman" w:hAnsi="Times New Roman"/>
                <w:sz w:val="24"/>
                <w:szCs w:val="24"/>
              </w:rPr>
            </w:pPr>
            <w:r w:rsidRPr="008B1465">
              <w:rPr>
                <w:rFonts w:ascii="Times New Roman" w:hAnsi="Times New Roman"/>
                <w:sz w:val="24"/>
                <w:szCs w:val="24"/>
              </w:rPr>
              <w:t>147.383</w:t>
            </w:r>
          </w:p>
        </w:tc>
        <w:tc>
          <w:tcPr>
            <w:tcW w:w="1309" w:type="dxa"/>
            <w:tcBorders>
              <w:top w:val="nil"/>
              <w:bottom w:val="nil"/>
            </w:tcBorders>
          </w:tcPr>
          <w:p w14:paraId="4FF6344D" w14:textId="77777777" w:rsidR="00CA54DD" w:rsidRPr="008B1465" w:rsidRDefault="00CA54DD" w:rsidP="00893F66">
            <w:pPr>
              <w:spacing w:after="0" w:line="360" w:lineRule="auto"/>
              <w:jc w:val="both"/>
              <w:rPr>
                <w:rFonts w:ascii="Times New Roman" w:hAnsi="Times New Roman"/>
                <w:sz w:val="24"/>
                <w:szCs w:val="24"/>
              </w:rPr>
            </w:pPr>
            <w:r w:rsidRPr="008B1465">
              <w:rPr>
                <w:rFonts w:ascii="Times New Roman" w:hAnsi="Times New Roman"/>
                <w:sz w:val="24"/>
                <w:szCs w:val="24"/>
              </w:rPr>
              <w:t>.000</w:t>
            </w:r>
          </w:p>
        </w:tc>
        <w:tc>
          <w:tcPr>
            <w:tcW w:w="1309" w:type="dxa"/>
            <w:tcBorders>
              <w:top w:val="nil"/>
              <w:bottom w:val="nil"/>
            </w:tcBorders>
          </w:tcPr>
          <w:p w14:paraId="33414950" w14:textId="77777777" w:rsidR="00CA54DD" w:rsidRPr="008B1465" w:rsidRDefault="00CA54DD" w:rsidP="00893F66">
            <w:pPr>
              <w:spacing w:after="0" w:line="360" w:lineRule="auto"/>
              <w:jc w:val="both"/>
              <w:rPr>
                <w:rFonts w:ascii="Times New Roman" w:hAnsi="Times New Roman"/>
                <w:sz w:val="24"/>
                <w:szCs w:val="24"/>
              </w:rPr>
            </w:pPr>
            <w:r w:rsidRPr="008B1465">
              <w:rPr>
                <w:rFonts w:ascii="Times New Roman" w:hAnsi="Times New Roman"/>
                <w:sz w:val="24"/>
                <w:szCs w:val="24"/>
              </w:rPr>
              <w:t>.592</w:t>
            </w:r>
          </w:p>
        </w:tc>
        <w:tc>
          <w:tcPr>
            <w:tcW w:w="1342" w:type="dxa"/>
            <w:tcBorders>
              <w:top w:val="nil"/>
              <w:bottom w:val="nil"/>
            </w:tcBorders>
          </w:tcPr>
          <w:p w14:paraId="6AA645A5" w14:textId="77777777" w:rsidR="00CA54DD" w:rsidRPr="008B1465" w:rsidRDefault="00CA54DD" w:rsidP="00893F66">
            <w:pPr>
              <w:spacing w:after="0" w:line="360" w:lineRule="auto"/>
              <w:jc w:val="both"/>
              <w:rPr>
                <w:rFonts w:ascii="Times New Roman" w:hAnsi="Times New Roman"/>
                <w:sz w:val="24"/>
                <w:szCs w:val="24"/>
              </w:rPr>
            </w:pPr>
            <w:r w:rsidRPr="008B1465">
              <w:rPr>
                <w:rFonts w:ascii="Times New Roman" w:hAnsi="Times New Roman"/>
                <w:sz w:val="24"/>
                <w:szCs w:val="24"/>
              </w:rPr>
              <w:t>1.689</w:t>
            </w:r>
          </w:p>
        </w:tc>
      </w:tr>
      <w:tr w:rsidR="00CA54DD" w:rsidRPr="008B1465" w14:paraId="08E56AB3" w14:textId="77777777" w:rsidTr="00893F66">
        <w:tc>
          <w:tcPr>
            <w:tcW w:w="1461" w:type="dxa"/>
          </w:tcPr>
          <w:p w14:paraId="08F466B9" w14:textId="77777777" w:rsidR="00CA54DD" w:rsidRPr="008B1465" w:rsidRDefault="00CA54DD" w:rsidP="00893F66">
            <w:pPr>
              <w:spacing w:before="0" w:beforeAutospacing="0" w:after="0" w:line="240" w:lineRule="auto"/>
              <w:ind w:left="-106"/>
              <w:rPr>
                <w:rFonts w:ascii="Times New Roman" w:hAnsi="Times New Roman"/>
                <w:b/>
                <w:bCs/>
                <w:sz w:val="18"/>
                <w:szCs w:val="18"/>
              </w:rPr>
            </w:pPr>
          </w:p>
        </w:tc>
        <w:tc>
          <w:tcPr>
            <w:tcW w:w="7904" w:type="dxa"/>
            <w:gridSpan w:val="6"/>
            <w:tcBorders>
              <w:top w:val="nil"/>
              <w:bottom w:val="nil"/>
            </w:tcBorders>
          </w:tcPr>
          <w:p w14:paraId="231572E4" w14:textId="77777777" w:rsidR="00CA54DD" w:rsidRPr="008B1465" w:rsidRDefault="00CA54DD" w:rsidP="00893F66">
            <w:pPr>
              <w:spacing w:before="0" w:beforeAutospacing="0" w:after="0" w:line="240" w:lineRule="auto"/>
              <w:ind w:left="-106"/>
              <w:rPr>
                <w:rFonts w:ascii="Times New Roman" w:hAnsi="Times New Roman"/>
                <w:b/>
                <w:bCs/>
                <w:sz w:val="18"/>
                <w:szCs w:val="18"/>
              </w:rPr>
            </w:pPr>
          </w:p>
        </w:tc>
      </w:tr>
      <w:tr w:rsidR="00CA54DD" w:rsidRPr="008B1465" w14:paraId="4D426231" w14:textId="77777777" w:rsidTr="00893F66">
        <w:tc>
          <w:tcPr>
            <w:tcW w:w="1461" w:type="dxa"/>
          </w:tcPr>
          <w:p w14:paraId="643B0EA5" w14:textId="77777777" w:rsidR="00CA54DD" w:rsidRPr="008B1465" w:rsidRDefault="00CA54DD" w:rsidP="00893F66">
            <w:pPr>
              <w:spacing w:before="0" w:beforeAutospacing="0" w:after="0" w:line="240" w:lineRule="auto"/>
              <w:ind w:left="-106"/>
              <w:rPr>
                <w:rFonts w:ascii="Times New Roman" w:hAnsi="Times New Roman"/>
                <w:b/>
                <w:bCs/>
                <w:sz w:val="18"/>
                <w:szCs w:val="18"/>
              </w:rPr>
            </w:pPr>
            <w:r w:rsidRPr="008B1465">
              <w:rPr>
                <w:rFonts w:ascii="Times New Roman" w:hAnsi="Times New Roman"/>
                <w:b/>
                <w:bCs/>
                <w:sz w:val="18"/>
                <w:szCs w:val="18"/>
              </w:rPr>
              <w:t>R</w:t>
            </w:r>
            <w:r w:rsidRPr="008B1465">
              <w:rPr>
                <w:rFonts w:ascii="Times New Roman" w:hAnsi="Times New Roman"/>
                <w:b/>
                <w:bCs/>
                <w:sz w:val="18"/>
                <w:szCs w:val="18"/>
                <w:vertAlign w:val="superscript"/>
              </w:rPr>
              <w:t xml:space="preserve">2 </w:t>
            </w:r>
            <w:r w:rsidRPr="008B1465">
              <w:rPr>
                <w:rFonts w:ascii="Times New Roman" w:hAnsi="Times New Roman"/>
                <w:b/>
                <w:bCs/>
                <w:sz w:val="18"/>
                <w:szCs w:val="18"/>
              </w:rPr>
              <w:t>= .984</w:t>
            </w:r>
          </w:p>
        </w:tc>
        <w:tc>
          <w:tcPr>
            <w:tcW w:w="7904" w:type="dxa"/>
            <w:gridSpan w:val="6"/>
            <w:tcBorders>
              <w:top w:val="nil"/>
              <w:bottom w:val="nil"/>
            </w:tcBorders>
          </w:tcPr>
          <w:p w14:paraId="48ADC3EE" w14:textId="77777777" w:rsidR="00CA54DD" w:rsidRPr="008B1465" w:rsidRDefault="00CA54DD" w:rsidP="00893F66">
            <w:pPr>
              <w:spacing w:before="0" w:beforeAutospacing="0" w:after="0" w:line="240" w:lineRule="auto"/>
              <w:ind w:left="-106"/>
              <w:rPr>
                <w:rFonts w:ascii="Times New Roman" w:hAnsi="Times New Roman"/>
                <w:b/>
                <w:bCs/>
                <w:sz w:val="18"/>
                <w:szCs w:val="18"/>
              </w:rPr>
            </w:pPr>
          </w:p>
        </w:tc>
      </w:tr>
      <w:tr w:rsidR="00CA54DD" w:rsidRPr="008B1465" w14:paraId="3BB0FEC2" w14:textId="77777777" w:rsidTr="00893F66">
        <w:tc>
          <w:tcPr>
            <w:tcW w:w="1461" w:type="dxa"/>
            <w:tcBorders>
              <w:bottom w:val="nil"/>
            </w:tcBorders>
          </w:tcPr>
          <w:p w14:paraId="06BDDEC0" w14:textId="77777777" w:rsidR="00CA54DD" w:rsidRPr="008B1465" w:rsidRDefault="00CA54DD" w:rsidP="00893F66">
            <w:pPr>
              <w:spacing w:before="0" w:beforeAutospacing="0" w:after="0" w:line="240" w:lineRule="auto"/>
              <w:ind w:left="-106"/>
              <w:jc w:val="both"/>
              <w:rPr>
                <w:rFonts w:ascii="Times New Roman" w:hAnsi="Times New Roman"/>
                <w:b/>
                <w:bCs/>
                <w:sz w:val="18"/>
                <w:szCs w:val="18"/>
              </w:rPr>
            </w:pPr>
            <w:r w:rsidRPr="008B1465">
              <w:rPr>
                <w:rFonts w:ascii="Times New Roman" w:hAnsi="Times New Roman"/>
                <w:b/>
                <w:bCs/>
                <w:sz w:val="18"/>
                <w:szCs w:val="18"/>
              </w:rPr>
              <w:t>Adj. R</w:t>
            </w:r>
            <w:r w:rsidRPr="008B1465">
              <w:rPr>
                <w:rFonts w:ascii="Times New Roman" w:hAnsi="Times New Roman"/>
                <w:b/>
                <w:bCs/>
                <w:sz w:val="18"/>
                <w:szCs w:val="18"/>
                <w:vertAlign w:val="superscript"/>
              </w:rPr>
              <w:t xml:space="preserve">2 </w:t>
            </w:r>
            <w:r w:rsidRPr="008B1465">
              <w:rPr>
                <w:rFonts w:ascii="Times New Roman" w:hAnsi="Times New Roman"/>
                <w:b/>
                <w:bCs/>
                <w:sz w:val="18"/>
                <w:szCs w:val="18"/>
              </w:rPr>
              <w:t>= .984</w:t>
            </w:r>
          </w:p>
        </w:tc>
        <w:tc>
          <w:tcPr>
            <w:tcW w:w="7904" w:type="dxa"/>
            <w:gridSpan w:val="6"/>
            <w:tcBorders>
              <w:top w:val="nil"/>
              <w:bottom w:val="nil"/>
            </w:tcBorders>
          </w:tcPr>
          <w:p w14:paraId="3D172346" w14:textId="77777777" w:rsidR="00CA54DD" w:rsidRPr="008B1465" w:rsidRDefault="00CA54DD" w:rsidP="00893F66">
            <w:pPr>
              <w:spacing w:before="0" w:beforeAutospacing="0" w:after="0" w:line="240" w:lineRule="auto"/>
              <w:ind w:left="-106"/>
              <w:jc w:val="both"/>
              <w:rPr>
                <w:rFonts w:ascii="Times New Roman" w:hAnsi="Times New Roman"/>
                <w:b/>
                <w:bCs/>
                <w:sz w:val="18"/>
                <w:szCs w:val="18"/>
              </w:rPr>
            </w:pPr>
          </w:p>
        </w:tc>
      </w:tr>
      <w:tr w:rsidR="00CA54DD" w:rsidRPr="008B1465" w14:paraId="27F290FA" w14:textId="77777777" w:rsidTr="00893F66">
        <w:tc>
          <w:tcPr>
            <w:tcW w:w="1461" w:type="dxa"/>
            <w:tcBorders>
              <w:bottom w:val="nil"/>
            </w:tcBorders>
          </w:tcPr>
          <w:p w14:paraId="102A3983" w14:textId="77777777" w:rsidR="00CA54DD" w:rsidRPr="008B1465" w:rsidRDefault="00CA54DD" w:rsidP="00893F66">
            <w:pPr>
              <w:spacing w:before="0" w:beforeAutospacing="0" w:after="0" w:line="240" w:lineRule="auto"/>
              <w:jc w:val="both"/>
              <w:rPr>
                <w:rFonts w:ascii="Times New Roman" w:hAnsi="Times New Roman"/>
                <w:b/>
                <w:bCs/>
                <w:sz w:val="18"/>
                <w:szCs w:val="18"/>
              </w:rPr>
            </w:pPr>
          </w:p>
        </w:tc>
        <w:tc>
          <w:tcPr>
            <w:tcW w:w="7904" w:type="dxa"/>
            <w:gridSpan w:val="6"/>
            <w:tcBorders>
              <w:top w:val="nil"/>
              <w:bottom w:val="nil"/>
            </w:tcBorders>
          </w:tcPr>
          <w:p w14:paraId="3EED12AF" w14:textId="77777777" w:rsidR="00CA54DD" w:rsidRPr="008B1465" w:rsidRDefault="00CA54DD" w:rsidP="00893F66">
            <w:pPr>
              <w:spacing w:before="0" w:beforeAutospacing="0" w:after="0" w:line="240" w:lineRule="auto"/>
              <w:ind w:left="-106"/>
              <w:jc w:val="both"/>
              <w:rPr>
                <w:rFonts w:ascii="Times New Roman" w:hAnsi="Times New Roman"/>
                <w:b/>
                <w:bCs/>
                <w:sz w:val="18"/>
                <w:szCs w:val="18"/>
              </w:rPr>
            </w:pPr>
          </w:p>
        </w:tc>
      </w:tr>
      <w:tr w:rsidR="00CA54DD" w:rsidRPr="008B1465" w14:paraId="3BC71D03" w14:textId="77777777" w:rsidTr="00893F66">
        <w:tc>
          <w:tcPr>
            <w:tcW w:w="1461" w:type="dxa"/>
            <w:tcBorders>
              <w:top w:val="nil"/>
              <w:bottom w:val="nil"/>
            </w:tcBorders>
          </w:tcPr>
          <w:p w14:paraId="1FB092A6" w14:textId="77777777" w:rsidR="00CA54DD" w:rsidRPr="008B1465" w:rsidRDefault="00CA54DD" w:rsidP="00893F66">
            <w:pPr>
              <w:spacing w:before="0" w:beforeAutospacing="0" w:after="0" w:line="240" w:lineRule="auto"/>
              <w:ind w:left="-106"/>
              <w:jc w:val="both"/>
              <w:rPr>
                <w:rFonts w:ascii="Times New Roman" w:hAnsi="Times New Roman"/>
                <w:b/>
                <w:bCs/>
                <w:sz w:val="18"/>
                <w:szCs w:val="18"/>
              </w:rPr>
            </w:pPr>
            <w:r w:rsidRPr="008B1465">
              <w:rPr>
                <w:rFonts w:ascii="Times New Roman" w:hAnsi="Times New Roman"/>
                <w:b/>
                <w:bCs/>
                <w:sz w:val="18"/>
                <w:szCs w:val="18"/>
              </w:rPr>
              <w:t>F</w:t>
            </w:r>
            <w:r>
              <w:rPr>
                <w:rFonts w:ascii="Times New Roman" w:hAnsi="Times New Roman"/>
                <w:b/>
                <w:bCs/>
                <w:sz w:val="18"/>
                <w:szCs w:val="18"/>
              </w:rPr>
              <w:t xml:space="preserve"> </w:t>
            </w:r>
            <w:r w:rsidRPr="008B1465">
              <w:rPr>
                <w:rFonts w:ascii="Times New Roman" w:hAnsi="Times New Roman"/>
                <w:b/>
                <w:bCs/>
                <w:sz w:val="18"/>
                <w:szCs w:val="18"/>
              </w:rPr>
              <w:t>(4,359= 5602.59</w:t>
            </w:r>
          </w:p>
        </w:tc>
        <w:tc>
          <w:tcPr>
            <w:tcW w:w="7904" w:type="dxa"/>
            <w:gridSpan w:val="6"/>
            <w:tcBorders>
              <w:top w:val="nil"/>
              <w:bottom w:val="nil"/>
            </w:tcBorders>
          </w:tcPr>
          <w:p w14:paraId="53F6BD40" w14:textId="77777777" w:rsidR="00CA54DD" w:rsidRPr="008B1465" w:rsidRDefault="00CA54DD" w:rsidP="00893F66">
            <w:pPr>
              <w:spacing w:before="0" w:beforeAutospacing="0" w:after="0" w:line="240" w:lineRule="auto"/>
              <w:ind w:left="-106"/>
              <w:jc w:val="both"/>
              <w:rPr>
                <w:rFonts w:ascii="Times New Roman" w:hAnsi="Times New Roman"/>
                <w:b/>
                <w:bCs/>
                <w:sz w:val="18"/>
                <w:szCs w:val="18"/>
              </w:rPr>
            </w:pPr>
          </w:p>
        </w:tc>
      </w:tr>
      <w:tr w:rsidR="00CA54DD" w:rsidRPr="008B1465" w14:paraId="2307EDF6" w14:textId="77777777" w:rsidTr="00893F66">
        <w:tc>
          <w:tcPr>
            <w:tcW w:w="1461" w:type="dxa"/>
            <w:tcBorders>
              <w:top w:val="nil"/>
              <w:bottom w:val="thinThickSmallGap" w:sz="24" w:space="0" w:color="auto"/>
            </w:tcBorders>
          </w:tcPr>
          <w:p w14:paraId="60B0D0FB" w14:textId="77777777" w:rsidR="00CA54DD" w:rsidRPr="008B1465" w:rsidRDefault="00CA54DD" w:rsidP="00893F66">
            <w:pPr>
              <w:spacing w:before="0" w:beforeAutospacing="0" w:after="0" w:line="240" w:lineRule="auto"/>
              <w:ind w:left="-106"/>
              <w:jc w:val="both"/>
              <w:rPr>
                <w:rFonts w:ascii="Times New Roman" w:hAnsi="Times New Roman"/>
                <w:b/>
                <w:bCs/>
                <w:sz w:val="18"/>
                <w:szCs w:val="18"/>
              </w:rPr>
            </w:pPr>
            <w:r w:rsidRPr="008B1465">
              <w:rPr>
                <w:rFonts w:ascii="Times New Roman" w:hAnsi="Times New Roman"/>
                <w:b/>
                <w:bCs/>
                <w:sz w:val="18"/>
                <w:szCs w:val="18"/>
              </w:rPr>
              <w:t>Sig= 0.011</w:t>
            </w:r>
          </w:p>
        </w:tc>
        <w:tc>
          <w:tcPr>
            <w:tcW w:w="7904" w:type="dxa"/>
            <w:gridSpan w:val="6"/>
            <w:tcBorders>
              <w:top w:val="nil"/>
              <w:bottom w:val="thinThickSmallGap" w:sz="24" w:space="0" w:color="auto"/>
            </w:tcBorders>
          </w:tcPr>
          <w:p w14:paraId="7A4E25AA" w14:textId="77777777" w:rsidR="00CA54DD" w:rsidRPr="008B1465" w:rsidRDefault="00CA54DD" w:rsidP="00893F66">
            <w:pPr>
              <w:spacing w:before="0" w:beforeAutospacing="0" w:after="0" w:line="240" w:lineRule="auto"/>
              <w:ind w:left="-106"/>
              <w:jc w:val="both"/>
              <w:rPr>
                <w:rFonts w:ascii="Times New Roman" w:hAnsi="Times New Roman"/>
                <w:b/>
                <w:bCs/>
                <w:sz w:val="18"/>
                <w:szCs w:val="18"/>
              </w:rPr>
            </w:pPr>
          </w:p>
        </w:tc>
      </w:tr>
    </w:tbl>
    <w:p w14:paraId="0240ABF2" w14:textId="77777777" w:rsidR="00CA54DD" w:rsidRPr="008B1465" w:rsidRDefault="00CA54DD" w:rsidP="00CA54DD">
      <w:pPr>
        <w:spacing w:before="0" w:beforeAutospacing="0" w:after="0" w:line="240" w:lineRule="auto"/>
        <w:rPr>
          <w:rFonts w:ascii="Times New Roman" w:hAnsi="Times New Roman"/>
          <w:b/>
          <w:bCs/>
          <w:sz w:val="18"/>
          <w:szCs w:val="18"/>
        </w:rPr>
      </w:pPr>
      <w:r w:rsidRPr="008B1465">
        <w:rPr>
          <w:rFonts w:ascii="Times New Roman" w:hAnsi="Times New Roman"/>
          <w:b/>
          <w:bCs/>
          <w:sz w:val="18"/>
          <w:szCs w:val="18"/>
        </w:rPr>
        <w:t>Durbin-Watson =1.918</w:t>
      </w:r>
    </w:p>
    <w:p w14:paraId="06111186" w14:textId="77777777" w:rsidR="00CA54DD" w:rsidRPr="008B1465" w:rsidRDefault="00CA54DD" w:rsidP="00CA54DD">
      <w:pPr>
        <w:pStyle w:val="NoSpacing"/>
        <w:rPr>
          <w:rFonts w:ascii="Times New Roman" w:hAnsi="Times New Roman"/>
          <w:b/>
          <w:bCs/>
          <w:sz w:val="18"/>
          <w:szCs w:val="18"/>
        </w:rPr>
      </w:pPr>
      <w:r w:rsidRPr="008B1465">
        <w:rPr>
          <w:rFonts w:ascii="Times New Roman" w:hAnsi="Times New Roman"/>
          <w:b/>
          <w:bCs/>
          <w:sz w:val="18"/>
          <w:szCs w:val="18"/>
        </w:rPr>
        <w:t>Source: Researchers’ Computation 2023, SPSS 25.0</w:t>
      </w:r>
    </w:p>
    <w:p w14:paraId="16E7FC1A" w14:textId="57D9F468" w:rsidR="00B83B8F" w:rsidRDefault="00B83B8F" w:rsidP="003A1489">
      <w:pPr>
        <w:spacing w:after="0" w:line="360" w:lineRule="auto"/>
        <w:jc w:val="both"/>
        <w:rPr>
          <w:rFonts w:ascii="Times New Roman" w:hAnsi="Times New Roman"/>
          <w:b/>
          <w:bCs/>
          <w:sz w:val="24"/>
          <w:szCs w:val="24"/>
        </w:rPr>
      </w:pPr>
      <w:r>
        <w:rPr>
          <w:rFonts w:ascii="Times New Roman" w:hAnsi="Times New Roman"/>
          <w:b/>
          <w:bCs/>
          <w:sz w:val="24"/>
          <w:szCs w:val="24"/>
        </w:rPr>
        <w:t xml:space="preserve">Operational Model 3 for Hypothesis </w:t>
      </w:r>
      <w:r w:rsidR="008A02C6">
        <w:rPr>
          <w:rFonts w:ascii="Times New Roman" w:hAnsi="Times New Roman"/>
          <w:b/>
          <w:bCs/>
          <w:sz w:val="24"/>
          <w:szCs w:val="24"/>
        </w:rPr>
        <w:t>3</w:t>
      </w:r>
      <w:r>
        <w:rPr>
          <w:rFonts w:ascii="Times New Roman" w:hAnsi="Times New Roman"/>
          <w:b/>
          <w:bCs/>
          <w:sz w:val="24"/>
          <w:szCs w:val="24"/>
        </w:rPr>
        <w:t xml:space="preserve"> is stated as:</w:t>
      </w:r>
    </w:p>
    <w:p w14:paraId="0C0A54C2" w14:textId="76FEE648" w:rsidR="00CF2075" w:rsidRPr="008B1465" w:rsidRDefault="00144409" w:rsidP="00CF2075">
      <w:pPr>
        <w:pStyle w:val="NoSpacing"/>
        <w:spacing w:line="360" w:lineRule="auto"/>
        <w:rPr>
          <w:rFonts w:ascii="Times New Roman" w:eastAsia="DengXian" w:hAnsi="Times New Roman"/>
          <w:sz w:val="24"/>
          <w:szCs w:val="24"/>
        </w:rPr>
      </w:pPr>
      <w:r>
        <w:rPr>
          <w:rFonts w:ascii="Times New Roman" w:eastAsia="DengXian" w:hAnsi="Times New Roman"/>
          <w:sz w:val="24"/>
          <w:szCs w:val="24"/>
        </w:rPr>
        <w:t>CAP</w:t>
      </w:r>
      <w:r w:rsidR="00CF2075" w:rsidRPr="008B1465">
        <w:rPr>
          <w:rFonts w:ascii="Times New Roman" w:eastAsia="DengXian" w:hAnsi="Times New Roman"/>
          <w:sz w:val="24"/>
          <w:szCs w:val="24"/>
        </w:rPr>
        <w:t xml:space="preserve"> = </w:t>
      </w:r>
      <w:r w:rsidR="00CF2075" w:rsidRPr="008B1465">
        <w:rPr>
          <w:rFonts w:ascii="Times New Roman" w:hAnsi="Times New Roman"/>
          <w:noProof/>
          <w:sz w:val="24"/>
          <w:szCs w:val="24"/>
        </w:rPr>
        <w:drawing>
          <wp:inline distT="0" distB="0" distL="0" distR="0" wp14:anchorId="036253EC" wp14:editId="6E3A361C">
            <wp:extent cx="84455" cy="173355"/>
            <wp:effectExtent l="0" t="0" r="0" b="0"/>
            <wp:docPr id="255" name="Pictur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Picture 23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00CF2075" w:rsidRPr="008B1465">
        <w:rPr>
          <w:rFonts w:ascii="Times New Roman" w:eastAsia="DengXian" w:hAnsi="Times New Roman"/>
          <w:sz w:val="24"/>
          <w:szCs w:val="24"/>
          <w:vertAlign w:val="subscript"/>
        </w:rPr>
        <w:t>0</w:t>
      </w:r>
      <w:r w:rsidR="00CF2075" w:rsidRPr="008B1465">
        <w:rPr>
          <w:rFonts w:ascii="Times New Roman" w:eastAsia="DengXian" w:hAnsi="Times New Roman"/>
          <w:sz w:val="24"/>
          <w:szCs w:val="24"/>
        </w:rPr>
        <w:t xml:space="preserve"> + </w:t>
      </w:r>
      <w:r w:rsidR="00CF2075" w:rsidRPr="008B1465">
        <w:rPr>
          <w:rFonts w:ascii="Times New Roman" w:hAnsi="Times New Roman"/>
          <w:noProof/>
          <w:sz w:val="24"/>
          <w:szCs w:val="24"/>
        </w:rPr>
        <w:drawing>
          <wp:inline distT="0" distB="0" distL="0" distR="0" wp14:anchorId="4A3AC4E9" wp14:editId="4BA0F87C">
            <wp:extent cx="84455" cy="173355"/>
            <wp:effectExtent l="0" t="0" r="0" b="0"/>
            <wp:docPr id="256" name="Pictur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Picture 23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00CF2075" w:rsidRPr="008B1465">
        <w:rPr>
          <w:rFonts w:ascii="Times New Roman" w:eastAsia="DengXian" w:hAnsi="Times New Roman"/>
          <w:sz w:val="24"/>
          <w:szCs w:val="24"/>
          <w:vertAlign w:val="subscript"/>
        </w:rPr>
        <w:t>1</w:t>
      </w:r>
      <w:r w:rsidR="00CF2075" w:rsidRPr="008B1465">
        <w:rPr>
          <w:rFonts w:ascii="Times New Roman" w:eastAsia="DengXian" w:hAnsi="Times New Roman"/>
          <w:sz w:val="24"/>
          <w:szCs w:val="24"/>
        </w:rPr>
        <w:t>IF</w:t>
      </w:r>
      <w:r w:rsidR="00CF2075" w:rsidRPr="008B1465">
        <w:rPr>
          <w:rFonts w:ascii="Times New Roman" w:eastAsia="DengXian" w:hAnsi="Times New Roman"/>
          <w:sz w:val="24"/>
          <w:szCs w:val="24"/>
          <w:vertAlign w:val="subscript"/>
        </w:rPr>
        <w:t>i</w:t>
      </w:r>
      <w:r w:rsidR="00CF2075" w:rsidRPr="008B1465">
        <w:rPr>
          <w:rFonts w:ascii="Times New Roman" w:eastAsia="DengXian" w:hAnsi="Times New Roman"/>
          <w:sz w:val="24"/>
          <w:szCs w:val="24"/>
        </w:rPr>
        <w:t xml:space="preserve"> + </w:t>
      </w:r>
      <w:r w:rsidR="00CF2075" w:rsidRPr="008B1465">
        <w:rPr>
          <w:rFonts w:ascii="Times New Roman" w:hAnsi="Times New Roman"/>
          <w:noProof/>
          <w:sz w:val="24"/>
          <w:szCs w:val="24"/>
        </w:rPr>
        <w:drawing>
          <wp:inline distT="0" distB="0" distL="0" distR="0" wp14:anchorId="79697EB7" wp14:editId="5F2F323B">
            <wp:extent cx="84455" cy="173355"/>
            <wp:effectExtent l="0" t="0" r="0" b="0"/>
            <wp:docPr id="257" name="Pictur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Picture 23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00CF2075" w:rsidRPr="008B1465">
        <w:rPr>
          <w:rFonts w:ascii="Times New Roman" w:eastAsia="DengXian" w:hAnsi="Times New Roman"/>
          <w:sz w:val="24"/>
          <w:szCs w:val="24"/>
          <w:vertAlign w:val="subscript"/>
        </w:rPr>
        <w:t>2</w:t>
      </w:r>
      <w:r w:rsidR="00CF2075" w:rsidRPr="008B1465">
        <w:rPr>
          <w:rFonts w:ascii="Times New Roman" w:eastAsia="DengXian" w:hAnsi="Times New Roman"/>
          <w:sz w:val="24"/>
          <w:szCs w:val="24"/>
        </w:rPr>
        <w:t>LS</w:t>
      </w:r>
      <w:r w:rsidR="00CF2075" w:rsidRPr="008B1465">
        <w:rPr>
          <w:rFonts w:ascii="Times New Roman" w:eastAsia="DengXian" w:hAnsi="Times New Roman"/>
          <w:sz w:val="24"/>
          <w:szCs w:val="24"/>
          <w:vertAlign w:val="subscript"/>
        </w:rPr>
        <w:t>i</w:t>
      </w:r>
      <w:r w:rsidR="00CF2075" w:rsidRPr="008B1465">
        <w:rPr>
          <w:rFonts w:ascii="Times New Roman" w:eastAsia="DengXian" w:hAnsi="Times New Roman"/>
          <w:sz w:val="24"/>
          <w:szCs w:val="24"/>
        </w:rPr>
        <w:t xml:space="preserve"> + </w:t>
      </w:r>
      <w:r w:rsidR="00CF2075" w:rsidRPr="008B1465">
        <w:rPr>
          <w:rFonts w:ascii="Times New Roman" w:hAnsi="Times New Roman"/>
          <w:noProof/>
          <w:sz w:val="24"/>
          <w:szCs w:val="24"/>
        </w:rPr>
        <w:drawing>
          <wp:inline distT="0" distB="0" distL="0" distR="0" wp14:anchorId="30A6F619" wp14:editId="103BEFCE">
            <wp:extent cx="84455" cy="173355"/>
            <wp:effectExtent l="0" t="0" r="0" b="0"/>
            <wp:docPr id="258" name="Pictur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Picture 23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00CF2075" w:rsidRPr="008B1465">
        <w:rPr>
          <w:rFonts w:ascii="Times New Roman" w:eastAsia="DengXian" w:hAnsi="Times New Roman"/>
          <w:sz w:val="24"/>
          <w:szCs w:val="24"/>
          <w:vertAlign w:val="subscript"/>
        </w:rPr>
        <w:t>3</w:t>
      </w:r>
      <w:r w:rsidR="00CF2075" w:rsidRPr="008B1465">
        <w:rPr>
          <w:rFonts w:ascii="Times New Roman" w:eastAsia="DengXian" w:hAnsi="Times New Roman"/>
          <w:sz w:val="24"/>
          <w:szCs w:val="24"/>
        </w:rPr>
        <w:t>SCCP</w:t>
      </w:r>
      <w:r w:rsidR="00CF2075" w:rsidRPr="008B1465">
        <w:rPr>
          <w:rFonts w:ascii="Times New Roman" w:eastAsia="DengXian" w:hAnsi="Times New Roman"/>
          <w:sz w:val="24"/>
          <w:szCs w:val="24"/>
          <w:vertAlign w:val="subscript"/>
        </w:rPr>
        <w:t>i</w:t>
      </w:r>
      <w:r w:rsidR="00CF2075" w:rsidRPr="008B1465">
        <w:rPr>
          <w:rFonts w:ascii="Times New Roman" w:eastAsia="DengXian" w:hAnsi="Times New Roman"/>
          <w:sz w:val="24"/>
          <w:szCs w:val="24"/>
        </w:rPr>
        <w:t xml:space="preserve"> + </w:t>
      </w:r>
      <w:r w:rsidR="00CF2075" w:rsidRPr="008B1465">
        <w:rPr>
          <w:rFonts w:ascii="Times New Roman" w:hAnsi="Times New Roman"/>
          <w:noProof/>
          <w:sz w:val="24"/>
          <w:szCs w:val="24"/>
        </w:rPr>
        <w:drawing>
          <wp:inline distT="0" distB="0" distL="0" distR="0" wp14:anchorId="666B79B1" wp14:editId="44285C8F">
            <wp:extent cx="84455" cy="173355"/>
            <wp:effectExtent l="0" t="0" r="0" b="0"/>
            <wp:docPr id="259" name="Picture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Picture 23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00CF2075" w:rsidRPr="008B1465">
        <w:rPr>
          <w:rFonts w:ascii="Times New Roman" w:eastAsia="DengXian" w:hAnsi="Times New Roman"/>
          <w:sz w:val="24"/>
          <w:szCs w:val="24"/>
          <w:vertAlign w:val="subscript"/>
        </w:rPr>
        <w:t>4</w:t>
      </w:r>
      <w:r w:rsidR="00CF2075" w:rsidRPr="008B1465">
        <w:rPr>
          <w:rFonts w:ascii="Times New Roman" w:eastAsia="DengXian" w:hAnsi="Times New Roman"/>
          <w:sz w:val="24"/>
          <w:szCs w:val="24"/>
        </w:rPr>
        <w:t>ADE</w:t>
      </w:r>
      <w:r w:rsidR="00CF2075" w:rsidRPr="008B1465">
        <w:rPr>
          <w:rFonts w:ascii="Times New Roman" w:eastAsia="DengXian" w:hAnsi="Times New Roman"/>
          <w:sz w:val="24"/>
          <w:szCs w:val="24"/>
          <w:vertAlign w:val="subscript"/>
        </w:rPr>
        <w:t>i</w:t>
      </w:r>
      <w:r w:rsidR="00CF2075" w:rsidRPr="008B1465">
        <w:rPr>
          <w:rFonts w:ascii="Times New Roman" w:eastAsia="DengXian" w:hAnsi="Times New Roman"/>
          <w:sz w:val="24"/>
          <w:szCs w:val="24"/>
        </w:rPr>
        <w:t xml:space="preserve"> + </w:t>
      </w:r>
      <w:r w:rsidR="00CF2075" w:rsidRPr="008B1465">
        <w:rPr>
          <w:rFonts w:ascii="Times New Roman" w:hAnsi="Times New Roman"/>
          <w:sz w:val="32"/>
          <w:szCs w:val="32"/>
        </w:rPr>
        <w:t>ԑ</w:t>
      </w:r>
      <w:r w:rsidR="00CF2075" w:rsidRPr="008B1465">
        <w:rPr>
          <w:rFonts w:ascii="Times New Roman" w:eastAsia="DengXian" w:hAnsi="Times New Roman"/>
          <w:sz w:val="24"/>
          <w:szCs w:val="24"/>
          <w:vertAlign w:val="subscript"/>
        </w:rPr>
        <w:t>i</w:t>
      </w:r>
      <w:r w:rsidR="00CF2075" w:rsidRPr="008B1465">
        <w:rPr>
          <w:rFonts w:ascii="Times New Roman" w:eastAsia="DengXian" w:hAnsi="Times New Roman"/>
          <w:sz w:val="24"/>
          <w:szCs w:val="24"/>
        </w:rPr>
        <w:t xml:space="preserve"> ….……………….... Model </w:t>
      </w:r>
      <w:r w:rsidR="00CF2075">
        <w:rPr>
          <w:rFonts w:ascii="Times New Roman" w:eastAsia="DengXian" w:hAnsi="Times New Roman"/>
          <w:sz w:val="24"/>
          <w:szCs w:val="24"/>
        </w:rPr>
        <w:t>4</w:t>
      </w:r>
    </w:p>
    <w:p w14:paraId="400D2EF5" w14:textId="77777777" w:rsidR="00184FC7" w:rsidRDefault="002634E2" w:rsidP="00B83B8F">
      <w:pPr>
        <w:spacing w:after="0" w:line="360" w:lineRule="auto"/>
        <w:jc w:val="both"/>
        <w:rPr>
          <w:rFonts w:ascii="Times New Roman" w:eastAsia="DengXian" w:hAnsi="Times New Roman"/>
          <w:sz w:val="24"/>
          <w:szCs w:val="24"/>
        </w:rPr>
      </w:pPr>
      <w:r>
        <w:rPr>
          <w:rFonts w:ascii="Times New Roman" w:eastAsia="DengXian" w:hAnsi="Times New Roman"/>
          <w:sz w:val="24"/>
          <w:szCs w:val="24"/>
        </w:rPr>
        <w:t>CAP</w:t>
      </w:r>
      <w:r w:rsidRPr="008B1465">
        <w:rPr>
          <w:rFonts w:ascii="Times New Roman" w:eastAsia="DengXian" w:hAnsi="Times New Roman"/>
          <w:sz w:val="24"/>
          <w:szCs w:val="24"/>
        </w:rPr>
        <w:t xml:space="preserve"> = </w:t>
      </w:r>
      <w:r w:rsidR="00851894">
        <w:rPr>
          <w:rFonts w:ascii="Times New Roman" w:hAnsi="Times New Roman"/>
          <w:sz w:val="24"/>
          <w:szCs w:val="24"/>
        </w:rPr>
        <w:t>11.025</w:t>
      </w:r>
      <w:r w:rsidRPr="008B1465">
        <w:rPr>
          <w:rFonts w:ascii="Times New Roman" w:eastAsia="DengXian" w:hAnsi="Times New Roman"/>
          <w:sz w:val="24"/>
          <w:szCs w:val="24"/>
        </w:rPr>
        <w:t>+</w:t>
      </w:r>
      <w:r>
        <w:rPr>
          <w:rFonts w:ascii="Times New Roman" w:eastAsia="DengXian" w:hAnsi="Times New Roman"/>
          <w:sz w:val="24"/>
          <w:szCs w:val="24"/>
        </w:rPr>
        <w:t xml:space="preserve"> </w:t>
      </w:r>
      <w:r w:rsidR="00090959">
        <w:rPr>
          <w:rFonts w:ascii="Times New Roman" w:eastAsia="DengXian" w:hAnsi="Times New Roman"/>
          <w:sz w:val="24"/>
          <w:szCs w:val="24"/>
        </w:rPr>
        <w:t>-1.32</w:t>
      </w:r>
      <w:r w:rsidRPr="008B1465">
        <w:rPr>
          <w:rFonts w:ascii="Times New Roman" w:eastAsia="DengXian" w:hAnsi="Times New Roman"/>
          <w:sz w:val="24"/>
          <w:szCs w:val="24"/>
        </w:rPr>
        <w:t>IF</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Pr>
          <w:rFonts w:ascii="Times New Roman" w:eastAsia="DengXian" w:hAnsi="Times New Roman"/>
          <w:sz w:val="24"/>
          <w:szCs w:val="24"/>
        </w:rPr>
        <w:t>-.</w:t>
      </w:r>
      <w:r w:rsidR="00090959">
        <w:rPr>
          <w:rFonts w:ascii="Times New Roman" w:eastAsia="DengXian" w:hAnsi="Times New Roman"/>
          <w:sz w:val="24"/>
          <w:szCs w:val="24"/>
        </w:rPr>
        <w:t>35</w:t>
      </w:r>
      <w:r w:rsidRPr="008B1465">
        <w:rPr>
          <w:rFonts w:ascii="Times New Roman" w:eastAsia="DengXian" w:hAnsi="Times New Roman"/>
          <w:sz w:val="24"/>
          <w:szCs w:val="24"/>
        </w:rPr>
        <w:t>LS</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00090959">
        <w:rPr>
          <w:rFonts w:ascii="Times New Roman" w:hAnsi="Times New Roman"/>
          <w:noProof/>
          <w:sz w:val="24"/>
          <w:szCs w:val="24"/>
        </w:rPr>
        <w:t>-.08</w:t>
      </w:r>
      <w:r w:rsidRPr="008B1465">
        <w:rPr>
          <w:rFonts w:ascii="Times New Roman" w:eastAsia="DengXian" w:hAnsi="Times New Roman"/>
          <w:sz w:val="24"/>
          <w:szCs w:val="24"/>
        </w:rPr>
        <w:t>SCCP</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000A79C6">
        <w:rPr>
          <w:rFonts w:ascii="Times New Roman" w:hAnsi="Times New Roman"/>
          <w:noProof/>
          <w:sz w:val="24"/>
          <w:szCs w:val="24"/>
        </w:rPr>
        <w:t>2.165</w:t>
      </w:r>
      <w:r w:rsidRPr="008B1465">
        <w:rPr>
          <w:rFonts w:ascii="Times New Roman" w:eastAsia="DengXian" w:hAnsi="Times New Roman"/>
          <w:sz w:val="24"/>
          <w:szCs w:val="24"/>
        </w:rPr>
        <w:t>ADE</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w:t>
      </w:r>
    </w:p>
    <w:p w14:paraId="57C46298" w14:textId="77777777" w:rsidR="009F183D" w:rsidRDefault="005915A1" w:rsidP="009F183D">
      <w:pPr>
        <w:spacing w:after="0" w:line="360" w:lineRule="auto"/>
        <w:jc w:val="both"/>
        <w:rPr>
          <w:rFonts w:ascii="Times New Roman" w:eastAsia="DengXian" w:hAnsi="Times New Roman"/>
          <w:sz w:val="24"/>
          <w:szCs w:val="24"/>
        </w:rPr>
      </w:pPr>
      <w:r>
        <w:rPr>
          <w:rFonts w:ascii="Times New Roman" w:eastAsia="DengXian" w:hAnsi="Times New Roman"/>
          <w:sz w:val="24"/>
          <w:szCs w:val="24"/>
        </w:rPr>
        <w:t>IF=-1.32, t=-72.93</w:t>
      </w:r>
      <w:r w:rsidR="000F56C1">
        <w:rPr>
          <w:rFonts w:ascii="Times New Roman" w:eastAsia="DengXian" w:hAnsi="Times New Roman"/>
          <w:sz w:val="24"/>
          <w:szCs w:val="24"/>
        </w:rPr>
        <w:t>, p=.000</w:t>
      </w:r>
      <w:r w:rsidR="00F500E7">
        <w:rPr>
          <w:rFonts w:ascii="Times New Roman" w:eastAsia="DengXian" w:hAnsi="Times New Roman"/>
          <w:sz w:val="24"/>
          <w:szCs w:val="24"/>
        </w:rPr>
        <w:t xml:space="preserve">: </w:t>
      </w:r>
      <w:r w:rsidR="00C40046" w:rsidRPr="00426978">
        <w:rPr>
          <w:rFonts w:ascii="Times New Roman" w:hAnsi="Times New Roman"/>
          <w:sz w:val="24"/>
          <w:szCs w:val="24"/>
        </w:rPr>
        <w:t>The regression result indicates an extremely strong and highly statistically significant relationship between the use of forensic accounting techniques and the Investigation of Fraud</w:t>
      </w:r>
      <w:r w:rsidR="00470AD7">
        <w:rPr>
          <w:rFonts w:ascii="Times New Roman" w:hAnsi="Times New Roman"/>
          <w:sz w:val="24"/>
          <w:szCs w:val="24"/>
        </w:rPr>
        <w:t>.</w:t>
      </w:r>
      <w:r w:rsidR="00C40046" w:rsidRPr="00426978">
        <w:rPr>
          <w:rFonts w:ascii="Times New Roman" w:hAnsi="Times New Roman"/>
          <w:sz w:val="24"/>
          <w:szCs w:val="24"/>
        </w:rPr>
        <w:t xml:space="preserve"> </w:t>
      </w:r>
      <w:r w:rsidR="00C40046" w:rsidRPr="00426978">
        <w:rPr>
          <w:rFonts w:ascii="Times New Roman" w:hAnsi="Times New Roman"/>
          <w:b/>
          <w:bCs/>
          <w:sz w:val="24"/>
          <w:szCs w:val="24"/>
          <w:bdr w:val="single" w:sz="2" w:space="0" w:color="D9D9E3" w:frame="1"/>
        </w:rPr>
        <w:t>IF = -1.32:</w:t>
      </w:r>
      <w:r w:rsidR="00C40046" w:rsidRPr="00426978">
        <w:rPr>
          <w:rFonts w:ascii="Times New Roman" w:hAnsi="Times New Roman"/>
          <w:sz w:val="24"/>
          <w:szCs w:val="24"/>
        </w:rPr>
        <w:t xml:space="preserve"> The coefficient of -1.32 represents the estimated effect of forensic accounting techniques on the Investigation of Fraud (IF). Specifically, for each unit increase in the use of forensic accounting techniques, the Investigation of Fraud (IF) decreases by 1.32 units on average.</w:t>
      </w:r>
      <w:r w:rsidR="00C40046" w:rsidRPr="00FB1DE8">
        <w:rPr>
          <w:rFonts w:ascii="Times New Roman" w:hAnsi="Times New Roman"/>
          <w:sz w:val="24"/>
          <w:szCs w:val="24"/>
        </w:rPr>
        <w:t xml:space="preserve"> </w:t>
      </w:r>
      <w:r w:rsidR="00C40046" w:rsidRPr="00426978">
        <w:rPr>
          <w:rFonts w:ascii="Times New Roman" w:hAnsi="Times New Roman"/>
          <w:b/>
          <w:bCs/>
          <w:sz w:val="24"/>
          <w:szCs w:val="24"/>
          <w:bdr w:val="single" w:sz="2" w:space="0" w:color="D9D9E3" w:frame="1"/>
        </w:rPr>
        <w:t>t = -72.93:</w:t>
      </w:r>
      <w:r w:rsidR="00C40046" w:rsidRPr="00426978">
        <w:rPr>
          <w:rFonts w:ascii="Times New Roman" w:hAnsi="Times New Roman"/>
          <w:sz w:val="24"/>
          <w:szCs w:val="24"/>
        </w:rPr>
        <w:t xml:space="preserve"> The t-value measures how many standard errors the coefficient estimate is away from zero. In this case, the t-value is extremely large in absolute value, indicating an exceptionally strong and highly significant result.</w:t>
      </w:r>
      <w:r w:rsidR="00C40046" w:rsidRPr="00FB1DE8">
        <w:rPr>
          <w:rFonts w:ascii="Times New Roman" w:hAnsi="Times New Roman"/>
          <w:sz w:val="24"/>
          <w:szCs w:val="24"/>
        </w:rPr>
        <w:t xml:space="preserve"> </w:t>
      </w:r>
      <w:r w:rsidR="00C40046" w:rsidRPr="00426978">
        <w:rPr>
          <w:rFonts w:ascii="Times New Roman" w:hAnsi="Times New Roman"/>
          <w:b/>
          <w:bCs/>
          <w:sz w:val="24"/>
          <w:szCs w:val="24"/>
          <w:bdr w:val="single" w:sz="2" w:space="0" w:color="D9D9E3" w:frame="1"/>
        </w:rPr>
        <w:t>p = 0.000:</w:t>
      </w:r>
      <w:r w:rsidR="00C40046" w:rsidRPr="00426978">
        <w:rPr>
          <w:rFonts w:ascii="Times New Roman" w:hAnsi="Times New Roman"/>
          <w:sz w:val="24"/>
          <w:szCs w:val="24"/>
        </w:rPr>
        <w:t xml:space="preserve"> The p-value is associated with the t-value and measures the probability that the observed relationship between forensic accounting techniques and the Investigation of Fraud is due to random chance. A p-value of 0.000 is the lowest possible value and indicates an extremely high level of statistical significance.</w:t>
      </w:r>
    </w:p>
    <w:p w14:paraId="7B7263C4" w14:textId="77777777" w:rsidR="009F183D" w:rsidRDefault="00C40046" w:rsidP="009F183D">
      <w:pPr>
        <w:spacing w:after="0" w:line="360" w:lineRule="auto"/>
        <w:jc w:val="both"/>
        <w:rPr>
          <w:rFonts w:ascii="Times New Roman" w:eastAsia="DengXian" w:hAnsi="Times New Roman"/>
          <w:sz w:val="24"/>
          <w:szCs w:val="24"/>
        </w:rPr>
      </w:pPr>
      <w:r w:rsidRPr="00426978">
        <w:rPr>
          <w:rFonts w:ascii="Times New Roman" w:hAnsi="Times New Roman"/>
          <w:b/>
          <w:bCs/>
          <w:sz w:val="24"/>
          <w:szCs w:val="24"/>
        </w:rPr>
        <w:t>Decision Criteria:</w:t>
      </w:r>
      <w:r w:rsidR="00184FC7">
        <w:rPr>
          <w:rFonts w:ascii="Times New Roman" w:hAnsi="Times New Roman"/>
          <w:sz w:val="24"/>
          <w:szCs w:val="24"/>
        </w:rPr>
        <w:t xml:space="preserve"> </w:t>
      </w:r>
      <w:r w:rsidRPr="00426978">
        <w:rPr>
          <w:rFonts w:ascii="Times New Roman" w:hAnsi="Times New Roman"/>
          <w:sz w:val="24"/>
          <w:szCs w:val="24"/>
        </w:rPr>
        <w:t>If the p-value is less than the chosen significance level (commonly 0.05), you would typically reject the null hypothesis.</w:t>
      </w:r>
      <w:r w:rsidR="00184FC7">
        <w:rPr>
          <w:rFonts w:ascii="Times New Roman" w:hAnsi="Times New Roman"/>
          <w:sz w:val="24"/>
          <w:szCs w:val="24"/>
        </w:rPr>
        <w:t xml:space="preserve"> </w:t>
      </w:r>
      <w:r w:rsidRPr="00426978">
        <w:rPr>
          <w:rFonts w:ascii="Times New Roman" w:hAnsi="Times New Roman"/>
          <w:sz w:val="24"/>
          <w:szCs w:val="24"/>
        </w:rPr>
        <w:t>If the t-value is large in absolute terms, it suggests a significant result.</w:t>
      </w:r>
      <w:r w:rsidR="00184FC7">
        <w:rPr>
          <w:rFonts w:ascii="Times New Roman" w:hAnsi="Times New Roman"/>
          <w:sz w:val="24"/>
          <w:szCs w:val="24"/>
        </w:rPr>
        <w:t xml:space="preserve"> </w:t>
      </w:r>
      <w:r w:rsidRPr="00426978">
        <w:rPr>
          <w:rFonts w:ascii="Times New Roman" w:hAnsi="Times New Roman"/>
          <w:sz w:val="24"/>
          <w:szCs w:val="24"/>
        </w:rPr>
        <w:t>In this case:</w:t>
      </w:r>
      <w:r w:rsidRPr="00FB1DE8">
        <w:rPr>
          <w:rFonts w:ascii="Times New Roman" w:hAnsi="Times New Roman"/>
          <w:sz w:val="24"/>
          <w:szCs w:val="24"/>
        </w:rPr>
        <w:t xml:space="preserve"> t</w:t>
      </w:r>
      <w:r w:rsidRPr="00426978">
        <w:rPr>
          <w:rFonts w:ascii="Times New Roman" w:hAnsi="Times New Roman"/>
          <w:sz w:val="24"/>
          <w:szCs w:val="24"/>
        </w:rPr>
        <w:t>h</w:t>
      </w:r>
      <w:r w:rsidRPr="00FB1DE8">
        <w:rPr>
          <w:rFonts w:ascii="Times New Roman" w:hAnsi="Times New Roman"/>
          <w:sz w:val="24"/>
          <w:szCs w:val="24"/>
        </w:rPr>
        <w:t>e</w:t>
      </w:r>
      <w:r w:rsidRPr="00426978">
        <w:rPr>
          <w:rFonts w:ascii="Times New Roman" w:hAnsi="Times New Roman"/>
          <w:sz w:val="24"/>
          <w:szCs w:val="24"/>
        </w:rPr>
        <w:t xml:space="preserve"> p-value of 0.000 is far less than 0.05, indicating an extremely high level of statistical significance.</w:t>
      </w:r>
      <w:r w:rsidRPr="00FB1DE8">
        <w:rPr>
          <w:rFonts w:ascii="Times New Roman" w:hAnsi="Times New Roman"/>
          <w:sz w:val="24"/>
          <w:szCs w:val="24"/>
        </w:rPr>
        <w:t xml:space="preserve"> </w:t>
      </w:r>
      <w:r w:rsidRPr="00426978">
        <w:rPr>
          <w:rFonts w:ascii="Times New Roman" w:hAnsi="Times New Roman"/>
          <w:sz w:val="24"/>
          <w:szCs w:val="24"/>
        </w:rPr>
        <w:t>The t-value of -72.93 is exceptionally large in absolute terms, confirming an extremely significant result.</w:t>
      </w:r>
      <w:r w:rsidR="00752995">
        <w:rPr>
          <w:rFonts w:ascii="Times New Roman" w:hAnsi="Times New Roman"/>
          <w:sz w:val="24"/>
          <w:szCs w:val="24"/>
        </w:rPr>
        <w:t xml:space="preserve"> </w:t>
      </w:r>
      <w:r w:rsidRPr="00B21068">
        <w:rPr>
          <w:rFonts w:ascii="Times New Roman" w:hAnsi="Times New Roman"/>
          <w:sz w:val="24"/>
          <w:szCs w:val="24"/>
        </w:rPr>
        <w:t>Strongly reject the null hypothesis for the alternative. There is overwhelming evidence indicating a highly significant negative relationship between the use of forensic accounting techniques and Investigation of Fraud. In essence, as forensic accounting techniques increase, the level of Investigation of Fraud significantly decreases.</w:t>
      </w:r>
      <w:r w:rsidR="0081039B">
        <w:rPr>
          <w:rFonts w:ascii="Times New Roman" w:eastAsia="DengXian" w:hAnsi="Times New Roman"/>
          <w:sz w:val="24"/>
          <w:szCs w:val="24"/>
        </w:rPr>
        <w:t xml:space="preserve"> </w:t>
      </w:r>
    </w:p>
    <w:p w14:paraId="738E058E" w14:textId="77777777" w:rsidR="009F183D" w:rsidRDefault="000F56C1" w:rsidP="009F183D">
      <w:pPr>
        <w:spacing w:after="0" w:line="360" w:lineRule="auto"/>
        <w:jc w:val="both"/>
        <w:rPr>
          <w:rFonts w:ascii="Times New Roman" w:eastAsia="DengXian" w:hAnsi="Times New Roman"/>
          <w:sz w:val="24"/>
          <w:szCs w:val="24"/>
        </w:rPr>
      </w:pPr>
      <w:r>
        <w:rPr>
          <w:rFonts w:ascii="Times New Roman" w:eastAsia="DengXian" w:hAnsi="Times New Roman"/>
          <w:sz w:val="24"/>
          <w:szCs w:val="24"/>
        </w:rPr>
        <w:t>LS=-.35, t=-3.</w:t>
      </w:r>
      <w:r w:rsidR="00460D62">
        <w:rPr>
          <w:rFonts w:ascii="Times New Roman" w:eastAsia="DengXian" w:hAnsi="Times New Roman"/>
          <w:sz w:val="24"/>
          <w:szCs w:val="24"/>
        </w:rPr>
        <w:t>011, p=.003</w:t>
      </w:r>
      <w:r w:rsidR="00184FC7">
        <w:rPr>
          <w:rFonts w:ascii="Times New Roman" w:eastAsia="DengXian" w:hAnsi="Times New Roman"/>
          <w:sz w:val="24"/>
          <w:szCs w:val="24"/>
        </w:rPr>
        <w:t xml:space="preserve">: </w:t>
      </w:r>
      <w:r w:rsidR="00C40046" w:rsidRPr="00426978">
        <w:rPr>
          <w:rFonts w:ascii="Times New Roman" w:hAnsi="Times New Roman"/>
          <w:sz w:val="24"/>
          <w:szCs w:val="24"/>
        </w:rPr>
        <w:t>The regression result suggests a statistically significant relationship between the use of forensic accounting techniques and Litigation Services</w:t>
      </w:r>
      <w:r w:rsidR="00752995">
        <w:rPr>
          <w:rFonts w:ascii="Times New Roman" w:hAnsi="Times New Roman"/>
          <w:sz w:val="24"/>
          <w:szCs w:val="24"/>
        </w:rPr>
        <w:t xml:space="preserve">. </w:t>
      </w:r>
      <w:r w:rsidR="00C40046" w:rsidRPr="00426978">
        <w:rPr>
          <w:rFonts w:ascii="Times New Roman" w:hAnsi="Times New Roman"/>
          <w:b/>
          <w:bCs/>
          <w:sz w:val="24"/>
          <w:szCs w:val="24"/>
          <w:bdr w:val="single" w:sz="2" w:space="0" w:color="D9D9E3" w:frame="1"/>
        </w:rPr>
        <w:t>LS = -0.35:</w:t>
      </w:r>
      <w:r w:rsidR="00C40046" w:rsidRPr="00426978">
        <w:rPr>
          <w:rFonts w:ascii="Times New Roman" w:hAnsi="Times New Roman"/>
          <w:sz w:val="24"/>
          <w:szCs w:val="24"/>
        </w:rPr>
        <w:t xml:space="preserve"> The coefficient of -0.35 represents the estimated effect of forensic accounting techniques on Litigation Services. Specifically, for each unit increase in the use of forensic accounting techniques, Litigation Services (LS) decreases by 0.35 units on average.</w:t>
      </w:r>
      <w:r w:rsidR="00C40046" w:rsidRPr="00FB1DE8">
        <w:rPr>
          <w:rFonts w:ascii="Times New Roman" w:hAnsi="Times New Roman"/>
          <w:sz w:val="24"/>
          <w:szCs w:val="24"/>
        </w:rPr>
        <w:t xml:space="preserve"> </w:t>
      </w:r>
      <w:r w:rsidR="00C40046" w:rsidRPr="00426978">
        <w:rPr>
          <w:rFonts w:ascii="Times New Roman" w:hAnsi="Times New Roman"/>
          <w:b/>
          <w:bCs/>
          <w:sz w:val="24"/>
          <w:szCs w:val="24"/>
          <w:bdr w:val="single" w:sz="2" w:space="0" w:color="D9D9E3" w:frame="1"/>
        </w:rPr>
        <w:t>t = -3.011:</w:t>
      </w:r>
      <w:r w:rsidR="00C40046" w:rsidRPr="00426978">
        <w:rPr>
          <w:rFonts w:ascii="Times New Roman" w:hAnsi="Times New Roman"/>
          <w:sz w:val="24"/>
          <w:szCs w:val="24"/>
        </w:rPr>
        <w:t xml:space="preserve"> The t-value measures how many standard errors the coefficient estimate is away from zero. In this case, the t-value is relatively large in absolute value, indicating a statistically significant result.</w:t>
      </w:r>
      <w:r w:rsidR="00C40046" w:rsidRPr="00FB1DE8">
        <w:rPr>
          <w:rFonts w:ascii="Times New Roman" w:hAnsi="Times New Roman"/>
          <w:sz w:val="24"/>
          <w:szCs w:val="24"/>
        </w:rPr>
        <w:t xml:space="preserve"> </w:t>
      </w:r>
      <w:r w:rsidR="00C40046" w:rsidRPr="00426978">
        <w:rPr>
          <w:rFonts w:ascii="Times New Roman" w:hAnsi="Times New Roman"/>
          <w:b/>
          <w:bCs/>
          <w:sz w:val="24"/>
          <w:szCs w:val="24"/>
          <w:bdr w:val="single" w:sz="2" w:space="0" w:color="D9D9E3" w:frame="1"/>
        </w:rPr>
        <w:t>p = 0.003:</w:t>
      </w:r>
      <w:r w:rsidR="00C40046" w:rsidRPr="00426978">
        <w:rPr>
          <w:rFonts w:ascii="Times New Roman" w:hAnsi="Times New Roman"/>
          <w:sz w:val="24"/>
          <w:szCs w:val="24"/>
        </w:rPr>
        <w:t xml:space="preserve"> The p-value is associated with the t-value and measures the probability that the observed relationship between forensic accounting techniques and Litigation Services is due to random chance. A p-value of 0.003 is less than the common significance level of 0.05, indicating statistical significance.</w:t>
      </w:r>
    </w:p>
    <w:p w14:paraId="6F0DA256" w14:textId="77777777" w:rsidR="009F183D" w:rsidRPr="001912C6" w:rsidRDefault="00C40046" w:rsidP="009F183D">
      <w:pPr>
        <w:spacing w:after="0" w:line="360" w:lineRule="auto"/>
        <w:jc w:val="both"/>
        <w:rPr>
          <w:rFonts w:ascii="Times New Roman" w:hAnsi="Times New Roman"/>
          <w:sz w:val="24"/>
          <w:szCs w:val="24"/>
        </w:rPr>
      </w:pPr>
      <w:r w:rsidRPr="00426978">
        <w:rPr>
          <w:rFonts w:ascii="Times New Roman" w:hAnsi="Times New Roman"/>
          <w:b/>
          <w:bCs/>
          <w:sz w:val="24"/>
          <w:szCs w:val="24"/>
        </w:rPr>
        <w:t>Decision Criteria:</w:t>
      </w:r>
      <w:r w:rsidR="00B037CB">
        <w:rPr>
          <w:rFonts w:ascii="Times New Roman" w:hAnsi="Times New Roman"/>
          <w:b/>
          <w:bCs/>
          <w:sz w:val="24"/>
          <w:szCs w:val="24"/>
        </w:rPr>
        <w:t xml:space="preserve"> </w:t>
      </w:r>
      <w:r w:rsidRPr="00426978">
        <w:rPr>
          <w:rFonts w:ascii="Times New Roman" w:hAnsi="Times New Roman"/>
          <w:sz w:val="24"/>
          <w:szCs w:val="24"/>
        </w:rPr>
        <w:t>If the p-value is less than the chosen significance level (commonly 0.05), you would typically reject the null hypothesis.</w:t>
      </w:r>
      <w:r w:rsidRPr="00FB1DE8">
        <w:rPr>
          <w:rFonts w:ascii="Times New Roman" w:hAnsi="Times New Roman"/>
          <w:sz w:val="24"/>
          <w:szCs w:val="24"/>
        </w:rPr>
        <w:t xml:space="preserve"> </w:t>
      </w:r>
      <w:r w:rsidRPr="00426978">
        <w:rPr>
          <w:rFonts w:ascii="Times New Roman" w:hAnsi="Times New Roman"/>
          <w:sz w:val="24"/>
          <w:szCs w:val="24"/>
        </w:rPr>
        <w:t>If the t-value is large in absolute terms, it suggests a significant result.</w:t>
      </w:r>
      <w:r w:rsidRPr="00FB1DE8">
        <w:rPr>
          <w:rFonts w:ascii="Times New Roman" w:hAnsi="Times New Roman"/>
          <w:sz w:val="24"/>
          <w:szCs w:val="24"/>
        </w:rPr>
        <w:t xml:space="preserve"> </w:t>
      </w:r>
      <w:r w:rsidRPr="00426978">
        <w:rPr>
          <w:rFonts w:ascii="Times New Roman" w:hAnsi="Times New Roman"/>
          <w:sz w:val="24"/>
          <w:szCs w:val="24"/>
        </w:rPr>
        <w:t>The p-value of 0.003 is less than 0.05, indicating statistical significance.</w:t>
      </w:r>
      <w:r w:rsidRPr="00FB1DE8">
        <w:rPr>
          <w:rFonts w:ascii="Times New Roman" w:hAnsi="Times New Roman"/>
          <w:sz w:val="24"/>
          <w:szCs w:val="24"/>
        </w:rPr>
        <w:t xml:space="preserve"> </w:t>
      </w:r>
      <w:r w:rsidRPr="00426978">
        <w:rPr>
          <w:rFonts w:ascii="Times New Roman" w:hAnsi="Times New Roman"/>
          <w:sz w:val="24"/>
          <w:szCs w:val="24"/>
        </w:rPr>
        <w:t>The t-value of -3.011 is relatively large in absolute terms, confirming a statistically significant result.</w:t>
      </w:r>
      <w:r w:rsidR="00B037CB">
        <w:rPr>
          <w:rFonts w:ascii="Times New Roman" w:hAnsi="Times New Roman"/>
          <w:sz w:val="24"/>
          <w:szCs w:val="24"/>
        </w:rPr>
        <w:t xml:space="preserve"> </w:t>
      </w:r>
      <w:r w:rsidRPr="001912C6">
        <w:rPr>
          <w:rFonts w:ascii="Times New Roman" w:hAnsi="Times New Roman"/>
          <w:sz w:val="24"/>
          <w:szCs w:val="24"/>
        </w:rPr>
        <w:t>Reject the null hypothesis for the alternative. Evidence indicates a significant negative relationship between forensic accounting techniques and Litigation Services. In simpler terms, more use of forensic accounting techniques corresponds to a decrease in Litigation Services.</w:t>
      </w:r>
    </w:p>
    <w:p w14:paraId="141B451A" w14:textId="77777777" w:rsidR="009F183D" w:rsidRDefault="00460D62" w:rsidP="009F183D">
      <w:pPr>
        <w:spacing w:after="0" w:line="360" w:lineRule="auto"/>
        <w:jc w:val="both"/>
        <w:rPr>
          <w:rFonts w:ascii="Times New Roman" w:eastAsia="DengXian" w:hAnsi="Times New Roman"/>
          <w:sz w:val="24"/>
          <w:szCs w:val="24"/>
        </w:rPr>
      </w:pPr>
      <w:r w:rsidRPr="001912C6">
        <w:rPr>
          <w:rFonts w:ascii="Times New Roman" w:hAnsi="Times New Roman"/>
          <w:sz w:val="24"/>
          <w:szCs w:val="24"/>
        </w:rPr>
        <w:t>ADE=</w:t>
      </w:r>
      <w:r w:rsidR="00274EE5" w:rsidRPr="001912C6">
        <w:rPr>
          <w:rFonts w:ascii="Times New Roman" w:hAnsi="Times New Roman"/>
          <w:sz w:val="24"/>
          <w:szCs w:val="24"/>
        </w:rPr>
        <w:t>2.165, t=147.383, p=</w:t>
      </w:r>
      <w:r w:rsidR="0081039B" w:rsidRPr="001912C6">
        <w:rPr>
          <w:rFonts w:ascii="Times New Roman" w:hAnsi="Times New Roman"/>
          <w:sz w:val="24"/>
          <w:szCs w:val="24"/>
        </w:rPr>
        <w:t>.000</w:t>
      </w:r>
      <w:r w:rsidR="00EF00E9">
        <w:rPr>
          <w:rFonts w:ascii="Times New Roman" w:hAnsi="Times New Roman"/>
          <w:sz w:val="24"/>
          <w:szCs w:val="24"/>
        </w:rPr>
        <w:t xml:space="preserve">: </w:t>
      </w:r>
      <w:r w:rsidR="00EF4F24" w:rsidRPr="00426978">
        <w:rPr>
          <w:rFonts w:ascii="Times New Roman" w:hAnsi="Times New Roman"/>
          <w:sz w:val="24"/>
          <w:szCs w:val="24"/>
        </w:rPr>
        <w:t>The regression result suggests an extremely strong and highly statistically significant relationship between the use of forensic accounting techniques and the Accounting and Digital Environment</w:t>
      </w:r>
      <w:r w:rsidR="001437AB">
        <w:rPr>
          <w:rFonts w:ascii="Times New Roman" w:hAnsi="Times New Roman"/>
          <w:sz w:val="24"/>
          <w:szCs w:val="24"/>
        </w:rPr>
        <w:t xml:space="preserve">. </w:t>
      </w:r>
      <w:r w:rsidR="00EF4F24" w:rsidRPr="00426978">
        <w:rPr>
          <w:rFonts w:ascii="Times New Roman" w:hAnsi="Times New Roman"/>
          <w:b/>
          <w:bCs/>
          <w:sz w:val="24"/>
          <w:szCs w:val="24"/>
          <w:bdr w:val="single" w:sz="2" w:space="0" w:color="D9D9E3" w:frame="1"/>
        </w:rPr>
        <w:t>ADE = 2.165:</w:t>
      </w:r>
      <w:r w:rsidR="00EF4F24" w:rsidRPr="00426978">
        <w:rPr>
          <w:rFonts w:ascii="Times New Roman" w:hAnsi="Times New Roman"/>
          <w:sz w:val="24"/>
          <w:szCs w:val="24"/>
        </w:rPr>
        <w:t xml:space="preserve"> The coefficient of 2.165 represents the estimated effect of forensic accounting techniques on the Accounting and Digital Environment (ADE). Specifically, for each unit increase in the use of forensic accounting techniques, the Accounting and Digital Environment (ADE) increases by 2.165 units on average.</w:t>
      </w:r>
      <w:r w:rsidR="00EF4F24" w:rsidRPr="00FB1DE8">
        <w:rPr>
          <w:rFonts w:ascii="Times New Roman" w:hAnsi="Times New Roman"/>
          <w:sz w:val="24"/>
          <w:szCs w:val="24"/>
        </w:rPr>
        <w:t xml:space="preserve"> </w:t>
      </w:r>
      <w:r w:rsidR="00EF4F24" w:rsidRPr="00426978">
        <w:rPr>
          <w:rFonts w:ascii="Times New Roman" w:hAnsi="Times New Roman"/>
          <w:b/>
          <w:bCs/>
          <w:sz w:val="24"/>
          <w:szCs w:val="24"/>
          <w:bdr w:val="single" w:sz="2" w:space="0" w:color="D9D9E3" w:frame="1"/>
        </w:rPr>
        <w:t>t = 147.383:</w:t>
      </w:r>
      <w:r w:rsidR="00EF4F24" w:rsidRPr="00426978">
        <w:rPr>
          <w:rFonts w:ascii="Times New Roman" w:hAnsi="Times New Roman"/>
          <w:sz w:val="24"/>
          <w:szCs w:val="24"/>
        </w:rPr>
        <w:t xml:space="preserve"> The t-value measures how many standard errors the coefficient estimate is away from zero. In this case, the t-value is extremely large in absolute value, indicating an exceptionally strong and highly significant result.</w:t>
      </w:r>
      <w:r w:rsidR="00EF4F24" w:rsidRPr="00FB1DE8">
        <w:rPr>
          <w:rFonts w:ascii="Times New Roman" w:hAnsi="Times New Roman"/>
          <w:sz w:val="24"/>
          <w:szCs w:val="24"/>
        </w:rPr>
        <w:t xml:space="preserve"> </w:t>
      </w:r>
      <w:r w:rsidR="00EF4F24" w:rsidRPr="00426978">
        <w:rPr>
          <w:rFonts w:ascii="Times New Roman" w:hAnsi="Times New Roman"/>
          <w:b/>
          <w:bCs/>
          <w:sz w:val="24"/>
          <w:szCs w:val="24"/>
          <w:bdr w:val="single" w:sz="2" w:space="0" w:color="D9D9E3" w:frame="1"/>
        </w:rPr>
        <w:t>p = 0.000:</w:t>
      </w:r>
      <w:r w:rsidR="00EF4F24" w:rsidRPr="00426978">
        <w:rPr>
          <w:rFonts w:ascii="Times New Roman" w:hAnsi="Times New Roman"/>
          <w:sz w:val="24"/>
          <w:szCs w:val="24"/>
        </w:rPr>
        <w:t xml:space="preserve"> The p-value is associated with the t-value and measures the probability that the observed relationship between forensic accounting techniques and the Accounting and Digital Environment is due to random chance. A p-value of 0.000 is the lowest possible value and indicates an extremely high level of statistical significance.</w:t>
      </w:r>
    </w:p>
    <w:p w14:paraId="73488735" w14:textId="5C2F04C5" w:rsidR="009F183D" w:rsidRPr="001912C6" w:rsidRDefault="00EF4F24" w:rsidP="009F183D">
      <w:pPr>
        <w:spacing w:after="0" w:line="360" w:lineRule="auto"/>
        <w:jc w:val="both"/>
        <w:rPr>
          <w:rFonts w:ascii="Times New Roman" w:hAnsi="Times New Roman"/>
          <w:sz w:val="24"/>
          <w:szCs w:val="24"/>
        </w:rPr>
      </w:pPr>
      <w:r w:rsidRPr="00426978">
        <w:rPr>
          <w:rFonts w:ascii="Times New Roman" w:hAnsi="Times New Roman"/>
          <w:b/>
          <w:bCs/>
          <w:sz w:val="24"/>
          <w:szCs w:val="24"/>
        </w:rPr>
        <w:t>Decision Criteria:</w:t>
      </w:r>
      <w:r w:rsidR="00D3530A">
        <w:rPr>
          <w:b/>
          <w:bCs/>
        </w:rPr>
        <w:t xml:space="preserve"> </w:t>
      </w:r>
      <w:r w:rsidRPr="00426978">
        <w:rPr>
          <w:rFonts w:ascii="Times New Roman" w:hAnsi="Times New Roman"/>
          <w:sz w:val="24"/>
          <w:szCs w:val="24"/>
        </w:rPr>
        <w:t>If the p-value is less than the chosen significance level (commonly 0.05), you would typically reject the null hypothesis.</w:t>
      </w:r>
      <w:r w:rsidR="00D3530A">
        <w:rPr>
          <w:rFonts w:ascii="Times New Roman" w:hAnsi="Times New Roman"/>
          <w:sz w:val="24"/>
          <w:szCs w:val="24"/>
        </w:rPr>
        <w:t xml:space="preserve"> </w:t>
      </w:r>
      <w:r w:rsidRPr="00426978">
        <w:rPr>
          <w:rFonts w:ascii="Times New Roman" w:hAnsi="Times New Roman"/>
          <w:sz w:val="24"/>
          <w:szCs w:val="24"/>
        </w:rPr>
        <w:t>If the t-value is large in absolute terms, it suggests a significant result.</w:t>
      </w:r>
      <w:r w:rsidR="00D3530A">
        <w:rPr>
          <w:rFonts w:ascii="Times New Roman" w:hAnsi="Times New Roman"/>
          <w:sz w:val="24"/>
          <w:szCs w:val="24"/>
        </w:rPr>
        <w:t xml:space="preserve"> </w:t>
      </w:r>
      <w:r w:rsidRPr="00426978">
        <w:rPr>
          <w:rFonts w:ascii="Times New Roman" w:hAnsi="Times New Roman"/>
          <w:sz w:val="24"/>
          <w:szCs w:val="24"/>
        </w:rPr>
        <w:t>In this case</w:t>
      </w:r>
      <w:r w:rsidR="00D3530A">
        <w:rPr>
          <w:rFonts w:ascii="Times New Roman" w:hAnsi="Times New Roman"/>
          <w:sz w:val="24"/>
          <w:szCs w:val="24"/>
        </w:rPr>
        <w:t>, t</w:t>
      </w:r>
      <w:r w:rsidRPr="00426978">
        <w:rPr>
          <w:rFonts w:ascii="Times New Roman" w:hAnsi="Times New Roman"/>
          <w:sz w:val="24"/>
          <w:szCs w:val="24"/>
        </w:rPr>
        <w:t>he p-value of 0.000 is far less than 0.05, indicating an extremely high level of statistical significance.</w:t>
      </w:r>
      <w:r w:rsidR="00D3530A">
        <w:rPr>
          <w:b/>
          <w:bCs/>
        </w:rPr>
        <w:t xml:space="preserve"> </w:t>
      </w:r>
      <w:r w:rsidRPr="00426978">
        <w:rPr>
          <w:rFonts w:ascii="Times New Roman" w:hAnsi="Times New Roman"/>
          <w:sz w:val="24"/>
          <w:szCs w:val="24"/>
        </w:rPr>
        <w:t>The t-value of 147.383 is exceptionally large in absolute terms, confirming an extremely significant result.</w:t>
      </w:r>
      <w:r w:rsidR="000D2B0A" w:rsidRPr="001912C6">
        <w:rPr>
          <w:rFonts w:ascii="Times New Roman" w:hAnsi="Times New Roman"/>
          <w:sz w:val="24"/>
          <w:szCs w:val="24"/>
        </w:rPr>
        <w:t xml:space="preserve"> </w:t>
      </w:r>
      <w:r w:rsidR="001E5346" w:rsidRPr="001912C6">
        <w:rPr>
          <w:rFonts w:ascii="Times New Roman" w:hAnsi="Times New Roman"/>
          <w:sz w:val="24"/>
          <w:szCs w:val="24"/>
        </w:rPr>
        <w:t>The study s</w:t>
      </w:r>
      <w:r w:rsidRPr="001912C6">
        <w:rPr>
          <w:rFonts w:ascii="Times New Roman" w:hAnsi="Times New Roman"/>
          <w:sz w:val="24"/>
          <w:szCs w:val="24"/>
        </w:rPr>
        <w:t>trongly reject</w:t>
      </w:r>
      <w:r w:rsidR="001E5346" w:rsidRPr="001912C6">
        <w:rPr>
          <w:rFonts w:ascii="Times New Roman" w:hAnsi="Times New Roman"/>
          <w:sz w:val="24"/>
          <w:szCs w:val="24"/>
        </w:rPr>
        <w:t>s</w:t>
      </w:r>
      <w:r w:rsidRPr="001912C6">
        <w:rPr>
          <w:rFonts w:ascii="Times New Roman" w:hAnsi="Times New Roman"/>
          <w:sz w:val="24"/>
          <w:szCs w:val="24"/>
        </w:rPr>
        <w:t xml:space="preserve"> the null hypothesis in favor of a highly significant positive relationship between forensic accounting techniques and the Accounting and Digital Environment. In essence, as forensic accounting techniques increase, the Accounting and Digital Environment significantly improves.</w:t>
      </w:r>
    </w:p>
    <w:p w14:paraId="400F2D40" w14:textId="4EF36B98" w:rsidR="009F183D" w:rsidRDefault="00E01E8D" w:rsidP="009F183D">
      <w:pPr>
        <w:spacing w:after="0" w:line="360" w:lineRule="auto"/>
        <w:jc w:val="both"/>
        <w:rPr>
          <w:rFonts w:ascii="Times New Roman" w:hAnsi="Times New Roman"/>
          <w:sz w:val="24"/>
          <w:szCs w:val="24"/>
        </w:rPr>
      </w:pPr>
      <w:r>
        <w:rPr>
          <w:rFonts w:ascii="Times New Roman" w:eastAsia="DengXian" w:hAnsi="Times New Roman"/>
          <w:sz w:val="24"/>
          <w:szCs w:val="24"/>
        </w:rPr>
        <w:t>SCCP=-.08, t=-3.007, p=.002</w:t>
      </w:r>
      <w:r w:rsidR="00E966DE">
        <w:rPr>
          <w:rFonts w:ascii="Times New Roman" w:eastAsia="DengXian" w:hAnsi="Times New Roman"/>
          <w:sz w:val="24"/>
          <w:szCs w:val="24"/>
        </w:rPr>
        <w:t xml:space="preserve">: </w:t>
      </w:r>
      <w:r w:rsidR="001D6681" w:rsidRPr="00426978">
        <w:rPr>
          <w:rFonts w:ascii="Times New Roman" w:hAnsi="Times New Roman"/>
          <w:sz w:val="24"/>
          <w:szCs w:val="24"/>
        </w:rPr>
        <w:t xml:space="preserve">The regression result you provided suggests that there is a statistically significant relationship between the use of forensic accounting techniques and Surprise Cash Count Practices (SCCP). </w:t>
      </w:r>
      <w:r w:rsidR="001D6681" w:rsidRPr="00426978">
        <w:rPr>
          <w:rFonts w:ascii="Times New Roman" w:hAnsi="Times New Roman"/>
          <w:b/>
          <w:bCs/>
          <w:sz w:val="24"/>
          <w:szCs w:val="24"/>
          <w:bdr w:val="single" w:sz="2" w:space="0" w:color="D9D9E3" w:frame="1"/>
        </w:rPr>
        <w:t>SCCP = -0.08:</w:t>
      </w:r>
      <w:r w:rsidR="001D6681" w:rsidRPr="00426978">
        <w:rPr>
          <w:rFonts w:ascii="Times New Roman" w:hAnsi="Times New Roman"/>
          <w:sz w:val="24"/>
          <w:szCs w:val="24"/>
        </w:rPr>
        <w:t xml:space="preserve"> The coefficient of -0.08 represents the estimated effect of forensic accounting techniques on Surprise Cash Count Practices (SCCP). Specifically, for each unit increase in the use of forensic accounting techniques, Surprise Cash Count Practices (SCCP) decreases by 0.08 units on average.</w:t>
      </w:r>
      <w:r w:rsidR="001D6681" w:rsidRPr="00FB1DE8">
        <w:rPr>
          <w:rFonts w:ascii="Times New Roman" w:hAnsi="Times New Roman"/>
          <w:sz w:val="24"/>
          <w:szCs w:val="24"/>
        </w:rPr>
        <w:t xml:space="preserve"> </w:t>
      </w:r>
      <w:r w:rsidR="001D6681" w:rsidRPr="00426978">
        <w:rPr>
          <w:rFonts w:ascii="Times New Roman" w:hAnsi="Times New Roman"/>
          <w:b/>
          <w:bCs/>
          <w:sz w:val="24"/>
          <w:szCs w:val="24"/>
          <w:bdr w:val="single" w:sz="2" w:space="0" w:color="D9D9E3" w:frame="1"/>
        </w:rPr>
        <w:t>t = -3.007:</w:t>
      </w:r>
      <w:r w:rsidR="001D6681" w:rsidRPr="00426978">
        <w:rPr>
          <w:rFonts w:ascii="Times New Roman" w:hAnsi="Times New Roman"/>
          <w:sz w:val="24"/>
          <w:szCs w:val="24"/>
        </w:rPr>
        <w:t xml:space="preserve"> The t-value measures how many standard errors the coefficient estimate is away from zero. In this case, the t-value is relatively small in absolute value.</w:t>
      </w:r>
      <w:r w:rsidR="001D6681" w:rsidRPr="00FB1DE8">
        <w:rPr>
          <w:rFonts w:ascii="Times New Roman" w:hAnsi="Times New Roman"/>
          <w:sz w:val="24"/>
          <w:szCs w:val="24"/>
        </w:rPr>
        <w:t xml:space="preserve"> </w:t>
      </w:r>
      <w:r w:rsidR="001D6681" w:rsidRPr="00426978">
        <w:rPr>
          <w:rFonts w:ascii="Times New Roman" w:hAnsi="Times New Roman"/>
          <w:b/>
          <w:bCs/>
          <w:sz w:val="24"/>
          <w:szCs w:val="24"/>
          <w:bdr w:val="single" w:sz="2" w:space="0" w:color="D9D9E3" w:frame="1"/>
        </w:rPr>
        <w:t>p = 0.002:</w:t>
      </w:r>
      <w:r w:rsidR="001D6681" w:rsidRPr="00426978">
        <w:rPr>
          <w:rFonts w:ascii="Times New Roman" w:hAnsi="Times New Roman"/>
          <w:sz w:val="24"/>
          <w:szCs w:val="24"/>
        </w:rPr>
        <w:t xml:space="preserve"> The p-value is associated with the t-value and measures the probability that the observed relationship between forensic accounting techniques and Surprise Cash Count Practices is due to random chance. A p-value of 0.002 is less than the common significance level of 0.05, indicating statistical significance.</w:t>
      </w:r>
    </w:p>
    <w:p w14:paraId="05968EAA" w14:textId="3E66A41A" w:rsidR="00965DA5" w:rsidRDefault="00965DA5" w:rsidP="009F183D">
      <w:pPr>
        <w:spacing w:after="0" w:line="360" w:lineRule="auto"/>
        <w:jc w:val="both"/>
        <w:rPr>
          <w:rFonts w:ascii="Times New Roman" w:eastAsia="DengXian" w:hAnsi="Times New Roman"/>
          <w:sz w:val="24"/>
          <w:szCs w:val="24"/>
        </w:rPr>
      </w:pPr>
      <w:r w:rsidRPr="00965DA5">
        <w:rPr>
          <w:rFonts w:ascii="Times New Roman" w:hAnsi="Times New Roman"/>
          <w:sz w:val="24"/>
          <w:szCs w:val="24"/>
        </w:rPr>
        <w:t>Adjusted R</w:t>
      </w:r>
      <w:r w:rsidRPr="00965DA5">
        <w:rPr>
          <w:rFonts w:ascii="Times New Roman" w:hAnsi="Times New Roman"/>
          <w:sz w:val="24"/>
          <w:szCs w:val="24"/>
          <w:vertAlign w:val="superscript"/>
        </w:rPr>
        <w:t>2</w:t>
      </w:r>
      <w:r w:rsidRPr="00965DA5">
        <w:rPr>
          <w:rFonts w:ascii="Times New Roman" w:hAnsi="Times New Roman"/>
          <w:sz w:val="24"/>
          <w:szCs w:val="24"/>
        </w:rPr>
        <w:t>=0.</w:t>
      </w:r>
      <w:r>
        <w:rPr>
          <w:rFonts w:ascii="Times New Roman" w:hAnsi="Times New Roman"/>
          <w:sz w:val="24"/>
          <w:szCs w:val="24"/>
        </w:rPr>
        <w:t>984</w:t>
      </w:r>
      <w:r w:rsidRPr="00965DA5">
        <w:rPr>
          <w:rFonts w:ascii="Times New Roman" w:hAnsi="Times New Roman"/>
          <w:sz w:val="24"/>
          <w:szCs w:val="24"/>
        </w:rPr>
        <w:t xml:space="preserve"> shows that the composition of forensic accounting techniques in </w:t>
      </w:r>
      <w:r w:rsidR="00664A56">
        <w:rPr>
          <w:rFonts w:ascii="Times New Roman" w:hAnsi="Times New Roman"/>
          <w:sz w:val="24"/>
          <w:szCs w:val="24"/>
        </w:rPr>
        <w:t>creative accounting</w:t>
      </w:r>
      <w:r w:rsidRPr="00965DA5">
        <w:rPr>
          <w:rFonts w:ascii="Times New Roman" w:hAnsi="Times New Roman"/>
          <w:sz w:val="24"/>
          <w:szCs w:val="24"/>
        </w:rPr>
        <w:t xml:space="preserve"> practices is </w:t>
      </w:r>
      <w:r w:rsidR="00664A56">
        <w:rPr>
          <w:rFonts w:ascii="Times New Roman" w:hAnsi="Times New Roman"/>
          <w:sz w:val="24"/>
          <w:szCs w:val="24"/>
        </w:rPr>
        <w:t>98.4</w:t>
      </w:r>
      <w:r w:rsidRPr="00965DA5">
        <w:rPr>
          <w:rFonts w:ascii="Times New Roman" w:hAnsi="Times New Roman"/>
          <w:sz w:val="24"/>
          <w:szCs w:val="24"/>
        </w:rPr>
        <w:t xml:space="preserve">%, while the balance of </w:t>
      </w:r>
      <w:r w:rsidR="00664A56">
        <w:rPr>
          <w:rFonts w:ascii="Times New Roman" w:hAnsi="Times New Roman"/>
          <w:sz w:val="24"/>
          <w:szCs w:val="24"/>
        </w:rPr>
        <w:t>1.6</w:t>
      </w:r>
      <w:r w:rsidRPr="00965DA5">
        <w:rPr>
          <w:rFonts w:ascii="Times New Roman" w:hAnsi="Times New Roman"/>
          <w:sz w:val="24"/>
          <w:szCs w:val="24"/>
        </w:rPr>
        <w:t>% represent value not considered in this study.</w:t>
      </w:r>
    </w:p>
    <w:p w14:paraId="4530DAB5" w14:textId="77777777" w:rsidR="009F183D" w:rsidRDefault="001D6681" w:rsidP="009F183D">
      <w:pPr>
        <w:spacing w:after="0" w:line="360" w:lineRule="auto"/>
        <w:jc w:val="both"/>
        <w:rPr>
          <w:rFonts w:ascii="Times New Roman" w:eastAsia="DengXian" w:hAnsi="Times New Roman"/>
          <w:sz w:val="24"/>
          <w:szCs w:val="24"/>
        </w:rPr>
      </w:pPr>
      <w:r w:rsidRPr="00426978">
        <w:rPr>
          <w:rFonts w:ascii="Times New Roman" w:hAnsi="Times New Roman"/>
          <w:b/>
          <w:bCs/>
          <w:sz w:val="24"/>
          <w:szCs w:val="24"/>
        </w:rPr>
        <w:t>Decision Criteria:</w:t>
      </w:r>
      <w:r w:rsidR="00C71ED5">
        <w:rPr>
          <w:rFonts w:ascii="Times New Roman" w:hAnsi="Times New Roman"/>
          <w:b/>
          <w:bCs/>
          <w:sz w:val="24"/>
          <w:szCs w:val="24"/>
        </w:rPr>
        <w:t xml:space="preserve"> </w:t>
      </w:r>
      <w:r w:rsidRPr="00426978">
        <w:rPr>
          <w:rFonts w:ascii="Times New Roman" w:hAnsi="Times New Roman"/>
          <w:sz w:val="24"/>
          <w:szCs w:val="24"/>
        </w:rPr>
        <w:t>If the p-value is less than the chosen significance level (commonly 0.05), you would typically reject the null hypothesis.</w:t>
      </w:r>
      <w:r w:rsidR="0001427E">
        <w:rPr>
          <w:rFonts w:ascii="Times New Roman" w:hAnsi="Times New Roman"/>
          <w:sz w:val="24"/>
          <w:szCs w:val="24"/>
        </w:rPr>
        <w:t xml:space="preserve"> </w:t>
      </w:r>
      <w:r w:rsidRPr="00426978">
        <w:rPr>
          <w:rFonts w:ascii="Times New Roman" w:hAnsi="Times New Roman"/>
          <w:sz w:val="24"/>
          <w:szCs w:val="24"/>
        </w:rPr>
        <w:t>If the t-value is large in absolute terms, it suggests a significant result.</w:t>
      </w:r>
      <w:r w:rsidR="0001427E">
        <w:rPr>
          <w:rFonts w:ascii="Times New Roman" w:hAnsi="Times New Roman"/>
          <w:sz w:val="24"/>
          <w:szCs w:val="24"/>
        </w:rPr>
        <w:t xml:space="preserve"> </w:t>
      </w:r>
      <w:r w:rsidRPr="00426978">
        <w:rPr>
          <w:rFonts w:ascii="Times New Roman" w:hAnsi="Times New Roman"/>
          <w:sz w:val="24"/>
          <w:szCs w:val="24"/>
        </w:rPr>
        <w:t>In this case</w:t>
      </w:r>
      <w:r w:rsidR="0001427E">
        <w:rPr>
          <w:rFonts w:ascii="Times New Roman" w:hAnsi="Times New Roman"/>
          <w:sz w:val="24"/>
          <w:szCs w:val="24"/>
        </w:rPr>
        <w:t>, t</w:t>
      </w:r>
      <w:r w:rsidRPr="00426978">
        <w:rPr>
          <w:rFonts w:ascii="Times New Roman" w:hAnsi="Times New Roman"/>
          <w:sz w:val="24"/>
          <w:szCs w:val="24"/>
        </w:rPr>
        <w:t>he p-value of 0.002 is less than 0.05, indicating statistical significance.</w:t>
      </w:r>
      <w:r w:rsidR="0001427E">
        <w:rPr>
          <w:rFonts w:ascii="Times New Roman" w:hAnsi="Times New Roman"/>
          <w:sz w:val="24"/>
          <w:szCs w:val="24"/>
        </w:rPr>
        <w:t xml:space="preserve"> </w:t>
      </w:r>
      <w:r w:rsidRPr="00426978">
        <w:rPr>
          <w:rFonts w:ascii="Times New Roman" w:hAnsi="Times New Roman"/>
          <w:sz w:val="24"/>
          <w:szCs w:val="24"/>
        </w:rPr>
        <w:t>The t-value of -3.007, while not extremely large, is still significant enough to indicate a statistically significant result.</w:t>
      </w:r>
      <w:r w:rsidR="0001427E">
        <w:rPr>
          <w:rFonts w:ascii="Times New Roman" w:hAnsi="Times New Roman"/>
          <w:sz w:val="24"/>
          <w:szCs w:val="24"/>
        </w:rPr>
        <w:t xml:space="preserve"> </w:t>
      </w:r>
      <w:r w:rsidRPr="001912C6">
        <w:rPr>
          <w:rFonts w:ascii="Times New Roman" w:hAnsi="Times New Roman"/>
          <w:sz w:val="24"/>
          <w:szCs w:val="24"/>
        </w:rPr>
        <w:t>Reject the null hypothesis; evidence supports a significant negative relationship between increasing forensic accounting techniques and decreasing Surprise Cash Count Practices.</w:t>
      </w:r>
      <w:r w:rsidR="00507FBA">
        <w:rPr>
          <w:rFonts w:ascii="Times New Roman" w:hAnsi="Times New Roman"/>
          <w:sz w:val="24"/>
          <w:szCs w:val="24"/>
        </w:rPr>
        <w:t xml:space="preserve"> T</w:t>
      </w:r>
      <w:r w:rsidRPr="00FB1DE8">
        <w:rPr>
          <w:rFonts w:ascii="Times New Roman" w:hAnsi="Times New Roman"/>
          <w:sz w:val="24"/>
          <w:szCs w:val="24"/>
        </w:rPr>
        <w:t xml:space="preserve">here is need to </w:t>
      </w:r>
      <w:r w:rsidRPr="00426978">
        <w:rPr>
          <w:rFonts w:ascii="Times New Roman" w:hAnsi="Times New Roman"/>
          <w:sz w:val="24"/>
          <w:szCs w:val="24"/>
        </w:rPr>
        <w:t>reject the null hypothesis in favor of the alternative hypothesis. There is evidence to suggest that there is a statistically significant negative relationship between the use of forensic accounting techniques and Surprise Cash Count Practices. In other words, as the use of forensic accounting techniques increases, Surprise Cash Count Practices tend to decrease.</w:t>
      </w:r>
    </w:p>
    <w:p w14:paraId="41D61C72" w14:textId="736D5A5F" w:rsidR="00954231" w:rsidRPr="009F183D" w:rsidRDefault="000C65B6" w:rsidP="009F183D">
      <w:pPr>
        <w:spacing w:after="0" w:line="360" w:lineRule="auto"/>
        <w:jc w:val="both"/>
        <w:rPr>
          <w:rFonts w:ascii="Times New Roman" w:eastAsia="DengXian" w:hAnsi="Times New Roman"/>
          <w:sz w:val="24"/>
          <w:szCs w:val="24"/>
        </w:rPr>
      </w:pPr>
      <w:r w:rsidRPr="008D035B">
        <w:rPr>
          <w:rFonts w:ascii="Times New Roman" w:hAnsi="Times New Roman"/>
          <w:b/>
          <w:bCs/>
          <w:sz w:val="24"/>
          <w:szCs w:val="24"/>
        </w:rPr>
        <w:t>Test of Hypothesis</w:t>
      </w:r>
      <w:r>
        <w:rPr>
          <w:rFonts w:ascii="Times New Roman" w:hAnsi="Times New Roman"/>
          <w:b/>
          <w:bCs/>
          <w:sz w:val="24"/>
          <w:szCs w:val="24"/>
        </w:rPr>
        <w:t xml:space="preserve"> Four</w:t>
      </w:r>
    </w:p>
    <w:p w14:paraId="43F486E6" w14:textId="25FF5069" w:rsidR="00B83B8F" w:rsidRPr="008E511F" w:rsidRDefault="009A51C1" w:rsidP="005054E9">
      <w:pPr>
        <w:spacing w:before="0" w:beforeAutospacing="0" w:after="0" w:line="360" w:lineRule="auto"/>
        <w:jc w:val="both"/>
        <w:rPr>
          <w:rFonts w:ascii="Times New Roman" w:eastAsia="Calibri" w:hAnsi="Times New Roman"/>
          <w:sz w:val="24"/>
          <w:szCs w:val="24"/>
        </w:rPr>
      </w:pPr>
      <w:r w:rsidRPr="002F0638">
        <w:rPr>
          <w:rFonts w:ascii="Times New Roman" w:eastAsia="Calibri" w:hAnsi="Times New Roman"/>
          <w:b/>
          <w:bCs/>
          <w:sz w:val="24"/>
          <w:szCs w:val="24"/>
        </w:rPr>
        <w:t>Research Objective 4</w:t>
      </w:r>
      <w:r w:rsidR="002F0638" w:rsidRPr="002F0638">
        <w:rPr>
          <w:rFonts w:ascii="Times New Roman" w:eastAsia="Calibri" w:hAnsi="Times New Roman"/>
          <w:b/>
          <w:bCs/>
          <w:sz w:val="24"/>
          <w:szCs w:val="24"/>
        </w:rPr>
        <w:t>:</w:t>
      </w:r>
      <w:r w:rsidR="00495ADB" w:rsidRPr="008E511F">
        <w:rPr>
          <w:rFonts w:ascii="Times New Roman" w:eastAsia="Calibri" w:hAnsi="Times New Roman"/>
          <w:sz w:val="24"/>
          <w:szCs w:val="24"/>
        </w:rPr>
        <w:t xml:space="preserve"> To evaluate the effect of forensic accounting techniques on procurement practices among Federal Universities in Southwest, Nigeria.</w:t>
      </w:r>
    </w:p>
    <w:p w14:paraId="4715FB2E" w14:textId="48A7622C" w:rsidR="009A51C1" w:rsidRPr="00CA3D4C" w:rsidRDefault="009A51C1" w:rsidP="005054E9">
      <w:pPr>
        <w:spacing w:before="0" w:beforeAutospacing="0" w:after="0" w:line="360" w:lineRule="auto"/>
        <w:jc w:val="both"/>
        <w:rPr>
          <w:rFonts w:ascii="Times New Roman" w:eastAsia="Calibri" w:hAnsi="Times New Roman"/>
          <w:sz w:val="24"/>
          <w:szCs w:val="24"/>
        </w:rPr>
      </w:pPr>
      <w:r w:rsidRPr="002F0638">
        <w:rPr>
          <w:rFonts w:ascii="Times New Roman" w:eastAsia="Calibri" w:hAnsi="Times New Roman"/>
          <w:b/>
          <w:bCs/>
          <w:sz w:val="24"/>
          <w:szCs w:val="24"/>
        </w:rPr>
        <w:t>Research Question 4</w:t>
      </w:r>
      <w:r w:rsidR="008E511F" w:rsidRPr="002F0638">
        <w:rPr>
          <w:rFonts w:ascii="Times New Roman" w:eastAsia="Calibri" w:hAnsi="Times New Roman"/>
          <w:b/>
          <w:bCs/>
          <w:sz w:val="24"/>
          <w:szCs w:val="24"/>
        </w:rPr>
        <w:t>:</w:t>
      </w:r>
      <w:r w:rsidR="008E511F" w:rsidRPr="00CA3D4C">
        <w:rPr>
          <w:rFonts w:ascii="Times New Roman" w:eastAsia="Calibri" w:hAnsi="Times New Roman"/>
          <w:sz w:val="24"/>
          <w:szCs w:val="24"/>
        </w:rPr>
        <w:t xml:space="preserve"> What is the effect of forensic accounting technique on procurement practices among Federal Universities in Southwest, Nigeria?</w:t>
      </w:r>
    </w:p>
    <w:p w14:paraId="69F9CA34" w14:textId="67403F9C" w:rsidR="00BC2B65" w:rsidRPr="006A2FAF" w:rsidRDefault="00716E18" w:rsidP="005054E9">
      <w:pPr>
        <w:spacing w:before="0" w:beforeAutospacing="0" w:after="0" w:line="360" w:lineRule="auto"/>
        <w:jc w:val="both"/>
        <w:rPr>
          <w:rFonts w:ascii="Times New Roman" w:eastAsia="Calibri" w:hAnsi="Times New Roman"/>
          <w:sz w:val="24"/>
          <w:szCs w:val="24"/>
        </w:rPr>
      </w:pPr>
      <w:r w:rsidRPr="002F0638">
        <w:rPr>
          <w:rFonts w:ascii="Times New Roman" w:eastAsia="Calibri" w:hAnsi="Times New Roman"/>
          <w:b/>
          <w:bCs/>
          <w:sz w:val="24"/>
          <w:szCs w:val="24"/>
        </w:rPr>
        <w:t>Research Hypothesis 4</w:t>
      </w:r>
      <w:r w:rsidR="008E511F" w:rsidRPr="002F0638">
        <w:rPr>
          <w:rFonts w:ascii="Times New Roman" w:eastAsia="Calibri" w:hAnsi="Times New Roman"/>
          <w:b/>
          <w:bCs/>
          <w:sz w:val="24"/>
          <w:szCs w:val="24"/>
        </w:rPr>
        <w:t>:</w:t>
      </w:r>
      <w:r w:rsidR="008E511F" w:rsidRPr="00CA3D4C">
        <w:rPr>
          <w:rFonts w:ascii="Times New Roman" w:eastAsia="Calibri" w:hAnsi="Times New Roman"/>
          <w:sz w:val="24"/>
          <w:szCs w:val="24"/>
        </w:rPr>
        <w:t xml:space="preserve"> There is no significant effect of forensic accounting techniques on procurement practices among Federal Universities in Southwest, Nigeria</w:t>
      </w:r>
      <w:r w:rsidR="001912C6">
        <w:rPr>
          <w:rFonts w:ascii="Times New Roman" w:eastAsia="Calibri" w:hAnsi="Times New Roman"/>
          <w:sz w:val="24"/>
          <w:szCs w:val="24"/>
        </w:rPr>
        <w:t>.</w:t>
      </w:r>
    </w:p>
    <w:p w14:paraId="686810FF" w14:textId="42AFB684" w:rsidR="00FE0EFA" w:rsidRPr="00DE0B41" w:rsidRDefault="000662D9" w:rsidP="000662D9">
      <w:pPr>
        <w:pStyle w:val="Caption"/>
        <w:keepNext/>
        <w:rPr>
          <w:rFonts w:ascii="Times New Roman" w:hAnsi="Times New Roman"/>
          <w:i w:val="0"/>
          <w:iCs w:val="0"/>
          <w:color w:val="auto"/>
          <w:sz w:val="24"/>
          <w:szCs w:val="24"/>
        </w:rPr>
      </w:pPr>
      <w:r>
        <w:rPr>
          <w:rFonts w:ascii="Times New Roman" w:hAnsi="Times New Roman"/>
          <w:i w:val="0"/>
          <w:iCs w:val="0"/>
          <w:color w:val="000000" w:themeColor="text1"/>
          <w:sz w:val="24"/>
          <w:szCs w:val="24"/>
        </w:rPr>
        <w:t xml:space="preserve">Regression Result: </w:t>
      </w:r>
      <w:r w:rsidR="00FE0EFA" w:rsidRPr="00DE0B41">
        <w:rPr>
          <w:rFonts w:ascii="Times New Roman" w:hAnsi="Times New Roman"/>
          <w:i w:val="0"/>
          <w:iCs w:val="0"/>
          <w:color w:val="auto"/>
          <w:sz w:val="24"/>
          <w:szCs w:val="24"/>
        </w:rPr>
        <w:t>Procurement Practices</w:t>
      </w:r>
    </w:p>
    <w:tbl>
      <w:tblPr>
        <w:tblW w:w="0" w:type="auto"/>
        <w:tblInd w:w="-5" w:type="dxa"/>
        <w:tblBorders>
          <w:top w:val="single" w:sz="4" w:space="0" w:color="auto"/>
          <w:bottom w:val="single" w:sz="4" w:space="0" w:color="auto"/>
        </w:tblBorders>
        <w:tblLook w:val="04A0" w:firstRow="1" w:lastRow="0" w:firstColumn="1" w:lastColumn="0" w:noHBand="0" w:noVBand="1"/>
      </w:tblPr>
      <w:tblGrid>
        <w:gridCol w:w="1265"/>
        <w:gridCol w:w="1408"/>
        <w:gridCol w:w="1329"/>
        <w:gridCol w:w="1380"/>
        <w:gridCol w:w="1317"/>
        <w:gridCol w:w="1317"/>
        <w:gridCol w:w="1349"/>
      </w:tblGrid>
      <w:tr w:rsidR="00FE0EFA" w:rsidRPr="008B1465" w14:paraId="5FF7A104" w14:textId="77777777" w:rsidTr="00893F66">
        <w:tc>
          <w:tcPr>
            <w:tcW w:w="1265" w:type="dxa"/>
            <w:tcBorders>
              <w:top w:val="thinThickSmallGap" w:sz="24" w:space="0" w:color="auto"/>
              <w:bottom w:val="thinThickSmallGap" w:sz="24" w:space="0" w:color="auto"/>
            </w:tcBorders>
          </w:tcPr>
          <w:p w14:paraId="7B60F83A" w14:textId="77777777" w:rsidR="00FE0EFA" w:rsidRPr="008B1465" w:rsidRDefault="00FE0EFA" w:rsidP="00893F66">
            <w:pPr>
              <w:spacing w:after="0" w:line="360" w:lineRule="auto"/>
              <w:rPr>
                <w:rFonts w:ascii="Times New Roman" w:hAnsi="Times New Roman"/>
                <w:b/>
                <w:bCs/>
                <w:sz w:val="24"/>
                <w:szCs w:val="24"/>
              </w:rPr>
            </w:pPr>
            <w:r w:rsidRPr="008B1465">
              <w:rPr>
                <w:rFonts w:ascii="Times New Roman" w:hAnsi="Times New Roman"/>
                <w:b/>
                <w:bCs/>
                <w:sz w:val="24"/>
                <w:szCs w:val="24"/>
              </w:rPr>
              <w:t>Variables</w:t>
            </w:r>
          </w:p>
        </w:tc>
        <w:tc>
          <w:tcPr>
            <w:tcW w:w="1408" w:type="dxa"/>
            <w:tcBorders>
              <w:top w:val="thinThickSmallGap" w:sz="24" w:space="0" w:color="auto"/>
              <w:bottom w:val="thinThickSmallGap" w:sz="24" w:space="0" w:color="auto"/>
            </w:tcBorders>
          </w:tcPr>
          <w:p w14:paraId="521FB0FF" w14:textId="77777777" w:rsidR="00FE0EFA" w:rsidRPr="008B1465" w:rsidRDefault="00FE0EFA" w:rsidP="00893F66">
            <w:pPr>
              <w:spacing w:after="0" w:line="360" w:lineRule="auto"/>
              <w:rPr>
                <w:rFonts w:ascii="Times New Roman" w:hAnsi="Times New Roman"/>
                <w:b/>
                <w:bCs/>
                <w:sz w:val="24"/>
                <w:szCs w:val="24"/>
              </w:rPr>
            </w:pPr>
            <w:r>
              <w:rPr>
                <w:rFonts w:ascii="Times New Roman" w:hAnsi="Times New Roman"/>
                <w:b/>
                <w:bCs/>
                <w:sz w:val="24"/>
                <w:szCs w:val="24"/>
              </w:rPr>
              <w:t>B</w:t>
            </w:r>
          </w:p>
        </w:tc>
        <w:tc>
          <w:tcPr>
            <w:tcW w:w="1329" w:type="dxa"/>
            <w:tcBorders>
              <w:top w:val="thinThickSmallGap" w:sz="24" w:space="0" w:color="auto"/>
              <w:bottom w:val="thinThickSmallGap" w:sz="24" w:space="0" w:color="auto"/>
            </w:tcBorders>
          </w:tcPr>
          <w:p w14:paraId="24D5FE14" w14:textId="77777777" w:rsidR="00FE0EFA" w:rsidRPr="008B1465" w:rsidRDefault="00FE0EFA" w:rsidP="00893F66">
            <w:pPr>
              <w:spacing w:after="0" w:line="360" w:lineRule="auto"/>
              <w:rPr>
                <w:rFonts w:ascii="Times New Roman" w:hAnsi="Times New Roman"/>
                <w:b/>
                <w:bCs/>
                <w:sz w:val="24"/>
                <w:szCs w:val="24"/>
              </w:rPr>
            </w:pPr>
            <w:r w:rsidRPr="008B1465">
              <w:rPr>
                <w:rFonts w:ascii="Times New Roman" w:hAnsi="Times New Roman"/>
                <w:b/>
                <w:bCs/>
                <w:sz w:val="24"/>
                <w:szCs w:val="24"/>
              </w:rPr>
              <w:t>Beta</w:t>
            </w:r>
          </w:p>
        </w:tc>
        <w:tc>
          <w:tcPr>
            <w:tcW w:w="1380" w:type="dxa"/>
            <w:tcBorders>
              <w:top w:val="thinThickSmallGap" w:sz="24" w:space="0" w:color="auto"/>
              <w:bottom w:val="thinThickSmallGap" w:sz="24" w:space="0" w:color="auto"/>
            </w:tcBorders>
          </w:tcPr>
          <w:p w14:paraId="40811E22" w14:textId="77777777" w:rsidR="00FE0EFA" w:rsidRPr="008B1465" w:rsidRDefault="00FE0EFA" w:rsidP="00893F66">
            <w:pPr>
              <w:spacing w:after="0" w:line="360" w:lineRule="auto"/>
              <w:rPr>
                <w:rFonts w:ascii="Times New Roman" w:hAnsi="Times New Roman"/>
                <w:b/>
                <w:bCs/>
                <w:sz w:val="24"/>
                <w:szCs w:val="24"/>
              </w:rPr>
            </w:pPr>
            <w:r w:rsidRPr="008B1465">
              <w:rPr>
                <w:rFonts w:ascii="Times New Roman" w:hAnsi="Times New Roman"/>
                <w:b/>
                <w:bCs/>
                <w:sz w:val="24"/>
                <w:szCs w:val="24"/>
              </w:rPr>
              <w:t>t</w:t>
            </w:r>
          </w:p>
        </w:tc>
        <w:tc>
          <w:tcPr>
            <w:tcW w:w="1317" w:type="dxa"/>
            <w:tcBorders>
              <w:top w:val="thinThickSmallGap" w:sz="24" w:space="0" w:color="auto"/>
              <w:bottom w:val="thinThickSmallGap" w:sz="24" w:space="0" w:color="auto"/>
            </w:tcBorders>
          </w:tcPr>
          <w:p w14:paraId="346DC22A" w14:textId="77777777" w:rsidR="00FE0EFA" w:rsidRPr="008B1465" w:rsidRDefault="00FE0EFA" w:rsidP="00893F66">
            <w:pPr>
              <w:spacing w:after="0" w:line="360" w:lineRule="auto"/>
              <w:rPr>
                <w:rFonts w:ascii="Times New Roman" w:hAnsi="Times New Roman"/>
                <w:b/>
                <w:bCs/>
                <w:sz w:val="24"/>
                <w:szCs w:val="24"/>
              </w:rPr>
            </w:pPr>
            <w:r w:rsidRPr="008B1465">
              <w:rPr>
                <w:rFonts w:ascii="Times New Roman" w:hAnsi="Times New Roman"/>
                <w:b/>
                <w:bCs/>
                <w:sz w:val="24"/>
                <w:szCs w:val="24"/>
              </w:rPr>
              <w:t>Sig</w:t>
            </w:r>
          </w:p>
        </w:tc>
        <w:tc>
          <w:tcPr>
            <w:tcW w:w="1317" w:type="dxa"/>
            <w:tcBorders>
              <w:top w:val="thinThickSmallGap" w:sz="24" w:space="0" w:color="auto"/>
              <w:bottom w:val="thinThickSmallGap" w:sz="24" w:space="0" w:color="auto"/>
            </w:tcBorders>
          </w:tcPr>
          <w:p w14:paraId="71BE877E" w14:textId="77777777" w:rsidR="00FE0EFA" w:rsidRPr="008B1465" w:rsidRDefault="00FE0EFA" w:rsidP="00893F66">
            <w:pPr>
              <w:spacing w:after="0" w:line="360" w:lineRule="auto"/>
              <w:rPr>
                <w:rFonts w:ascii="Times New Roman" w:hAnsi="Times New Roman"/>
                <w:b/>
                <w:bCs/>
                <w:sz w:val="24"/>
                <w:szCs w:val="24"/>
              </w:rPr>
            </w:pPr>
            <w:r w:rsidRPr="008B1465">
              <w:rPr>
                <w:rFonts w:ascii="Times New Roman" w:hAnsi="Times New Roman"/>
                <w:b/>
                <w:bCs/>
                <w:sz w:val="24"/>
                <w:szCs w:val="24"/>
              </w:rPr>
              <w:t>T</w:t>
            </w:r>
          </w:p>
        </w:tc>
        <w:tc>
          <w:tcPr>
            <w:tcW w:w="1349" w:type="dxa"/>
            <w:tcBorders>
              <w:top w:val="thinThickSmallGap" w:sz="24" w:space="0" w:color="auto"/>
              <w:bottom w:val="thinThickSmallGap" w:sz="24" w:space="0" w:color="auto"/>
            </w:tcBorders>
          </w:tcPr>
          <w:p w14:paraId="3560DC7E" w14:textId="77777777" w:rsidR="00FE0EFA" w:rsidRPr="008B1465" w:rsidRDefault="00FE0EFA" w:rsidP="00893F66">
            <w:pPr>
              <w:spacing w:after="0" w:line="360" w:lineRule="auto"/>
              <w:rPr>
                <w:rFonts w:ascii="Times New Roman" w:hAnsi="Times New Roman"/>
                <w:b/>
                <w:bCs/>
                <w:sz w:val="24"/>
                <w:szCs w:val="24"/>
              </w:rPr>
            </w:pPr>
            <w:r w:rsidRPr="008B1465">
              <w:rPr>
                <w:rFonts w:ascii="Times New Roman" w:hAnsi="Times New Roman"/>
                <w:b/>
                <w:bCs/>
                <w:sz w:val="24"/>
                <w:szCs w:val="24"/>
              </w:rPr>
              <w:t>VIF</w:t>
            </w:r>
          </w:p>
        </w:tc>
      </w:tr>
      <w:tr w:rsidR="00FE0EFA" w:rsidRPr="008B1465" w14:paraId="26E087D4" w14:textId="77777777" w:rsidTr="00893F66">
        <w:tc>
          <w:tcPr>
            <w:tcW w:w="1265" w:type="dxa"/>
            <w:tcBorders>
              <w:top w:val="thinThickSmallGap" w:sz="24" w:space="0" w:color="auto"/>
            </w:tcBorders>
          </w:tcPr>
          <w:p w14:paraId="39E90F17" w14:textId="77777777" w:rsidR="00FE0EFA" w:rsidRPr="008B1465" w:rsidRDefault="00FE0EFA" w:rsidP="00893F66">
            <w:pPr>
              <w:spacing w:after="0" w:line="360" w:lineRule="auto"/>
              <w:jc w:val="both"/>
              <w:rPr>
                <w:rFonts w:ascii="Times New Roman" w:hAnsi="Times New Roman"/>
                <w:b/>
                <w:bCs/>
                <w:sz w:val="24"/>
                <w:szCs w:val="24"/>
              </w:rPr>
            </w:pPr>
            <w:r w:rsidRPr="008B1465">
              <w:rPr>
                <w:rFonts w:ascii="Times New Roman" w:hAnsi="Times New Roman"/>
                <w:b/>
                <w:bCs/>
                <w:sz w:val="24"/>
                <w:szCs w:val="24"/>
              </w:rPr>
              <w:t>Constant</w:t>
            </w:r>
          </w:p>
        </w:tc>
        <w:tc>
          <w:tcPr>
            <w:tcW w:w="1408" w:type="dxa"/>
            <w:tcBorders>
              <w:top w:val="thinThickSmallGap" w:sz="24" w:space="0" w:color="auto"/>
            </w:tcBorders>
          </w:tcPr>
          <w:p w14:paraId="3CF4A9C4" w14:textId="77777777" w:rsidR="00FE0EFA" w:rsidRPr="008B1465" w:rsidRDefault="00FE0EFA" w:rsidP="00893F66">
            <w:pPr>
              <w:spacing w:after="0" w:line="360" w:lineRule="auto"/>
              <w:jc w:val="both"/>
              <w:rPr>
                <w:rFonts w:ascii="Times New Roman" w:hAnsi="Times New Roman"/>
                <w:sz w:val="24"/>
                <w:szCs w:val="24"/>
              </w:rPr>
            </w:pPr>
            <w:r>
              <w:rPr>
                <w:rFonts w:ascii="Times New Roman" w:hAnsi="Times New Roman"/>
                <w:sz w:val="24"/>
                <w:szCs w:val="24"/>
              </w:rPr>
              <w:t>5.419</w:t>
            </w:r>
          </w:p>
        </w:tc>
        <w:tc>
          <w:tcPr>
            <w:tcW w:w="1329" w:type="dxa"/>
            <w:tcBorders>
              <w:top w:val="thinThickSmallGap" w:sz="24" w:space="0" w:color="auto"/>
            </w:tcBorders>
          </w:tcPr>
          <w:p w14:paraId="112197D4" w14:textId="77777777" w:rsidR="00FE0EFA" w:rsidRPr="008B1465" w:rsidRDefault="00FE0EFA" w:rsidP="00893F66">
            <w:pPr>
              <w:spacing w:after="0" w:line="360" w:lineRule="auto"/>
              <w:jc w:val="both"/>
              <w:rPr>
                <w:rFonts w:ascii="Times New Roman" w:hAnsi="Times New Roman"/>
                <w:sz w:val="24"/>
                <w:szCs w:val="24"/>
              </w:rPr>
            </w:pPr>
          </w:p>
        </w:tc>
        <w:tc>
          <w:tcPr>
            <w:tcW w:w="1380" w:type="dxa"/>
            <w:tcBorders>
              <w:top w:val="thinThickSmallGap" w:sz="24" w:space="0" w:color="auto"/>
            </w:tcBorders>
          </w:tcPr>
          <w:p w14:paraId="50CA4867" w14:textId="77777777" w:rsidR="00FE0EFA" w:rsidRPr="008B1465" w:rsidRDefault="00FE0EFA" w:rsidP="00893F66">
            <w:pPr>
              <w:spacing w:after="0" w:line="360" w:lineRule="auto"/>
              <w:jc w:val="both"/>
              <w:rPr>
                <w:rFonts w:ascii="Times New Roman" w:hAnsi="Times New Roman"/>
                <w:sz w:val="24"/>
                <w:szCs w:val="24"/>
              </w:rPr>
            </w:pPr>
            <w:r w:rsidRPr="008B1465">
              <w:rPr>
                <w:rFonts w:ascii="Times New Roman" w:hAnsi="Times New Roman"/>
                <w:sz w:val="24"/>
                <w:szCs w:val="24"/>
              </w:rPr>
              <w:t>8.881</w:t>
            </w:r>
          </w:p>
        </w:tc>
        <w:tc>
          <w:tcPr>
            <w:tcW w:w="1317" w:type="dxa"/>
            <w:tcBorders>
              <w:top w:val="thinThickSmallGap" w:sz="24" w:space="0" w:color="auto"/>
            </w:tcBorders>
          </w:tcPr>
          <w:p w14:paraId="7B486D95" w14:textId="77777777" w:rsidR="00FE0EFA" w:rsidRPr="008B1465" w:rsidRDefault="00FE0EFA" w:rsidP="00893F66">
            <w:pPr>
              <w:spacing w:after="0" w:line="360" w:lineRule="auto"/>
              <w:jc w:val="both"/>
              <w:rPr>
                <w:rFonts w:ascii="Times New Roman" w:hAnsi="Times New Roman"/>
                <w:sz w:val="24"/>
                <w:szCs w:val="24"/>
              </w:rPr>
            </w:pPr>
            <w:r w:rsidRPr="008B1465">
              <w:rPr>
                <w:rFonts w:ascii="Times New Roman" w:hAnsi="Times New Roman"/>
                <w:sz w:val="24"/>
                <w:szCs w:val="24"/>
              </w:rPr>
              <w:t>.000</w:t>
            </w:r>
          </w:p>
        </w:tc>
        <w:tc>
          <w:tcPr>
            <w:tcW w:w="1317" w:type="dxa"/>
            <w:tcBorders>
              <w:top w:val="thinThickSmallGap" w:sz="24" w:space="0" w:color="auto"/>
            </w:tcBorders>
          </w:tcPr>
          <w:p w14:paraId="24A0E8FD" w14:textId="77777777" w:rsidR="00FE0EFA" w:rsidRPr="008B1465" w:rsidRDefault="00FE0EFA" w:rsidP="00893F66">
            <w:pPr>
              <w:spacing w:after="0" w:line="360" w:lineRule="auto"/>
              <w:jc w:val="both"/>
              <w:rPr>
                <w:rFonts w:ascii="Times New Roman" w:hAnsi="Times New Roman"/>
                <w:sz w:val="24"/>
                <w:szCs w:val="24"/>
              </w:rPr>
            </w:pPr>
          </w:p>
        </w:tc>
        <w:tc>
          <w:tcPr>
            <w:tcW w:w="1349" w:type="dxa"/>
            <w:tcBorders>
              <w:top w:val="thinThickSmallGap" w:sz="24" w:space="0" w:color="auto"/>
            </w:tcBorders>
          </w:tcPr>
          <w:p w14:paraId="4C16EF20" w14:textId="77777777" w:rsidR="00FE0EFA" w:rsidRPr="008B1465" w:rsidRDefault="00FE0EFA" w:rsidP="00893F66">
            <w:pPr>
              <w:spacing w:after="0" w:line="360" w:lineRule="auto"/>
              <w:jc w:val="both"/>
              <w:rPr>
                <w:rFonts w:ascii="Times New Roman" w:hAnsi="Times New Roman"/>
                <w:sz w:val="24"/>
                <w:szCs w:val="24"/>
              </w:rPr>
            </w:pPr>
          </w:p>
        </w:tc>
      </w:tr>
      <w:tr w:rsidR="00FE0EFA" w:rsidRPr="008B1465" w14:paraId="01E45DB7" w14:textId="77777777" w:rsidTr="00893F66">
        <w:tc>
          <w:tcPr>
            <w:tcW w:w="1265" w:type="dxa"/>
          </w:tcPr>
          <w:p w14:paraId="0EC78465" w14:textId="77777777" w:rsidR="00FE0EFA" w:rsidRPr="008B1465" w:rsidRDefault="00FE0EFA" w:rsidP="00893F66">
            <w:pPr>
              <w:spacing w:after="0" w:line="360" w:lineRule="auto"/>
              <w:jc w:val="both"/>
              <w:rPr>
                <w:rFonts w:ascii="Times New Roman" w:hAnsi="Times New Roman"/>
                <w:b/>
                <w:bCs/>
                <w:sz w:val="24"/>
                <w:szCs w:val="24"/>
              </w:rPr>
            </w:pPr>
            <w:r w:rsidRPr="008B1465">
              <w:rPr>
                <w:rFonts w:ascii="Times New Roman" w:hAnsi="Times New Roman"/>
                <w:b/>
                <w:bCs/>
                <w:sz w:val="24"/>
                <w:szCs w:val="24"/>
              </w:rPr>
              <w:t>SCCP</w:t>
            </w:r>
          </w:p>
        </w:tc>
        <w:tc>
          <w:tcPr>
            <w:tcW w:w="1408" w:type="dxa"/>
          </w:tcPr>
          <w:p w14:paraId="172EC8E5" w14:textId="77777777" w:rsidR="00FE0EFA" w:rsidRPr="008B1465" w:rsidRDefault="00FE0EFA" w:rsidP="00893F66">
            <w:pPr>
              <w:spacing w:after="0" w:line="360" w:lineRule="auto"/>
              <w:jc w:val="both"/>
              <w:rPr>
                <w:rFonts w:ascii="Times New Roman" w:hAnsi="Times New Roman"/>
                <w:sz w:val="24"/>
                <w:szCs w:val="24"/>
              </w:rPr>
            </w:pPr>
            <w:r>
              <w:rPr>
                <w:rFonts w:ascii="Times New Roman" w:hAnsi="Times New Roman"/>
                <w:sz w:val="24"/>
                <w:szCs w:val="24"/>
              </w:rPr>
              <w:t>.064</w:t>
            </w:r>
          </w:p>
        </w:tc>
        <w:tc>
          <w:tcPr>
            <w:tcW w:w="1329" w:type="dxa"/>
          </w:tcPr>
          <w:p w14:paraId="78DDC77D" w14:textId="77777777" w:rsidR="00FE0EFA" w:rsidRPr="008B1465" w:rsidRDefault="00FE0EFA" w:rsidP="00893F66">
            <w:pPr>
              <w:spacing w:after="0" w:line="360" w:lineRule="auto"/>
              <w:jc w:val="both"/>
              <w:rPr>
                <w:rFonts w:ascii="Times New Roman" w:hAnsi="Times New Roman"/>
                <w:sz w:val="24"/>
                <w:szCs w:val="24"/>
              </w:rPr>
            </w:pPr>
            <w:r w:rsidRPr="008B1465">
              <w:rPr>
                <w:rFonts w:ascii="Times New Roman" w:hAnsi="Times New Roman"/>
                <w:sz w:val="24"/>
                <w:szCs w:val="24"/>
              </w:rPr>
              <w:t>.160</w:t>
            </w:r>
          </w:p>
        </w:tc>
        <w:tc>
          <w:tcPr>
            <w:tcW w:w="1380" w:type="dxa"/>
          </w:tcPr>
          <w:p w14:paraId="6F3AFF7E" w14:textId="77777777" w:rsidR="00FE0EFA" w:rsidRPr="008B1465" w:rsidRDefault="00FE0EFA" w:rsidP="00893F66">
            <w:pPr>
              <w:spacing w:after="0" w:line="360" w:lineRule="auto"/>
              <w:jc w:val="both"/>
              <w:rPr>
                <w:rFonts w:ascii="Times New Roman" w:hAnsi="Times New Roman"/>
                <w:sz w:val="24"/>
                <w:szCs w:val="24"/>
              </w:rPr>
            </w:pPr>
            <w:r w:rsidRPr="008B1465">
              <w:rPr>
                <w:rFonts w:ascii="Times New Roman" w:hAnsi="Times New Roman"/>
                <w:sz w:val="24"/>
                <w:szCs w:val="24"/>
              </w:rPr>
              <w:t>3.738</w:t>
            </w:r>
          </w:p>
        </w:tc>
        <w:tc>
          <w:tcPr>
            <w:tcW w:w="1317" w:type="dxa"/>
          </w:tcPr>
          <w:p w14:paraId="456872FE" w14:textId="77777777" w:rsidR="00FE0EFA" w:rsidRPr="008B1465" w:rsidRDefault="00FE0EFA" w:rsidP="00893F66">
            <w:pPr>
              <w:spacing w:after="0" w:line="360" w:lineRule="auto"/>
              <w:jc w:val="both"/>
              <w:rPr>
                <w:rFonts w:ascii="Times New Roman" w:hAnsi="Times New Roman"/>
                <w:sz w:val="24"/>
                <w:szCs w:val="24"/>
              </w:rPr>
            </w:pPr>
            <w:r w:rsidRPr="008B1465">
              <w:rPr>
                <w:rFonts w:ascii="Times New Roman" w:hAnsi="Times New Roman"/>
                <w:sz w:val="24"/>
                <w:szCs w:val="24"/>
              </w:rPr>
              <w:t>.000</w:t>
            </w:r>
          </w:p>
        </w:tc>
        <w:tc>
          <w:tcPr>
            <w:tcW w:w="1317" w:type="dxa"/>
          </w:tcPr>
          <w:p w14:paraId="53105B9B" w14:textId="77777777" w:rsidR="00FE0EFA" w:rsidRPr="008B1465" w:rsidRDefault="00FE0EFA" w:rsidP="00893F66">
            <w:pPr>
              <w:spacing w:after="0" w:line="360" w:lineRule="auto"/>
              <w:jc w:val="both"/>
              <w:rPr>
                <w:rFonts w:ascii="Times New Roman" w:hAnsi="Times New Roman"/>
                <w:sz w:val="24"/>
                <w:szCs w:val="24"/>
              </w:rPr>
            </w:pPr>
            <w:r w:rsidRPr="008B1465">
              <w:rPr>
                <w:rFonts w:ascii="Times New Roman" w:hAnsi="Times New Roman"/>
                <w:sz w:val="24"/>
                <w:szCs w:val="24"/>
              </w:rPr>
              <w:t>.983</w:t>
            </w:r>
          </w:p>
        </w:tc>
        <w:tc>
          <w:tcPr>
            <w:tcW w:w="1349" w:type="dxa"/>
          </w:tcPr>
          <w:p w14:paraId="35972146" w14:textId="77777777" w:rsidR="00FE0EFA" w:rsidRPr="008B1465" w:rsidRDefault="00FE0EFA" w:rsidP="00893F66">
            <w:pPr>
              <w:spacing w:after="0" w:line="360" w:lineRule="auto"/>
              <w:jc w:val="both"/>
              <w:rPr>
                <w:rFonts w:ascii="Times New Roman" w:hAnsi="Times New Roman"/>
                <w:sz w:val="24"/>
                <w:szCs w:val="24"/>
              </w:rPr>
            </w:pPr>
            <w:r w:rsidRPr="008B1465">
              <w:rPr>
                <w:rFonts w:ascii="Times New Roman" w:hAnsi="Times New Roman"/>
                <w:sz w:val="24"/>
                <w:szCs w:val="24"/>
              </w:rPr>
              <w:t>1.017</w:t>
            </w:r>
          </w:p>
        </w:tc>
      </w:tr>
      <w:tr w:rsidR="00FE0EFA" w:rsidRPr="008B1465" w14:paraId="2B5F9C63" w14:textId="77777777" w:rsidTr="00893F66">
        <w:tc>
          <w:tcPr>
            <w:tcW w:w="1265" w:type="dxa"/>
          </w:tcPr>
          <w:p w14:paraId="30EBDC72" w14:textId="77777777" w:rsidR="00FE0EFA" w:rsidRPr="008B1465" w:rsidRDefault="00FE0EFA" w:rsidP="00893F66">
            <w:pPr>
              <w:spacing w:after="0" w:line="360" w:lineRule="auto"/>
              <w:jc w:val="both"/>
              <w:rPr>
                <w:rFonts w:ascii="Times New Roman" w:hAnsi="Times New Roman"/>
                <w:b/>
                <w:bCs/>
                <w:sz w:val="24"/>
                <w:szCs w:val="24"/>
              </w:rPr>
            </w:pPr>
            <w:r w:rsidRPr="008B1465">
              <w:rPr>
                <w:rFonts w:ascii="Times New Roman" w:hAnsi="Times New Roman"/>
                <w:b/>
                <w:bCs/>
                <w:sz w:val="24"/>
                <w:szCs w:val="24"/>
              </w:rPr>
              <w:t>IF</w:t>
            </w:r>
          </w:p>
        </w:tc>
        <w:tc>
          <w:tcPr>
            <w:tcW w:w="1408" w:type="dxa"/>
          </w:tcPr>
          <w:p w14:paraId="6374C646" w14:textId="77777777" w:rsidR="00FE0EFA" w:rsidRPr="008B1465" w:rsidRDefault="00FE0EFA" w:rsidP="00893F66">
            <w:pPr>
              <w:spacing w:after="0" w:line="360" w:lineRule="auto"/>
              <w:jc w:val="both"/>
              <w:rPr>
                <w:rFonts w:ascii="Times New Roman" w:hAnsi="Times New Roman"/>
                <w:sz w:val="24"/>
                <w:szCs w:val="24"/>
              </w:rPr>
            </w:pPr>
            <w:r>
              <w:rPr>
                <w:rFonts w:ascii="Times New Roman" w:hAnsi="Times New Roman"/>
                <w:sz w:val="24"/>
                <w:szCs w:val="24"/>
              </w:rPr>
              <w:t>-.211</w:t>
            </w:r>
          </w:p>
        </w:tc>
        <w:tc>
          <w:tcPr>
            <w:tcW w:w="1329" w:type="dxa"/>
          </w:tcPr>
          <w:p w14:paraId="11E75981" w14:textId="77777777" w:rsidR="00FE0EFA" w:rsidRPr="008B1465" w:rsidRDefault="00FE0EFA" w:rsidP="00893F66">
            <w:pPr>
              <w:spacing w:after="0" w:line="360" w:lineRule="auto"/>
              <w:jc w:val="both"/>
              <w:rPr>
                <w:rFonts w:ascii="Times New Roman" w:hAnsi="Times New Roman"/>
                <w:sz w:val="24"/>
                <w:szCs w:val="24"/>
              </w:rPr>
            </w:pPr>
            <w:r w:rsidRPr="008B1465">
              <w:rPr>
                <w:rFonts w:ascii="Times New Roman" w:hAnsi="Times New Roman"/>
                <w:sz w:val="24"/>
                <w:szCs w:val="24"/>
              </w:rPr>
              <w:t>-.395</w:t>
            </w:r>
          </w:p>
        </w:tc>
        <w:tc>
          <w:tcPr>
            <w:tcW w:w="1380" w:type="dxa"/>
          </w:tcPr>
          <w:p w14:paraId="736156D1" w14:textId="77777777" w:rsidR="00FE0EFA" w:rsidRPr="008B1465" w:rsidRDefault="00FE0EFA" w:rsidP="00893F66">
            <w:pPr>
              <w:spacing w:after="0" w:line="360" w:lineRule="auto"/>
              <w:jc w:val="both"/>
              <w:rPr>
                <w:rFonts w:ascii="Times New Roman" w:hAnsi="Times New Roman"/>
                <w:sz w:val="24"/>
                <w:szCs w:val="24"/>
              </w:rPr>
            </w:pPr>
            <w:r w:rsidRPr="008B1465">
              <w:rPr>
                <w:rFonts w:ascii="Times New Roman" w:hAnsi="Times New Roman"/>
                <w:sz w:val="24"/>
                <w:szCs w:val="24"/>
              </w:rPr>
              <w:t>-7.137</w:t>
            </w:r>
          </w:p>
        </w:tc>
        <w:tc>
          <w:tcPr>
            <w:tcW w:w="1317" w:type="dxa"/>
          </w:tcPr>
          <w:p w14:paraId="784C8F87" w14:textId="77777777" w:rsidR="00FE0EFA" w:rsidRPr="008B1465" w:rsidRDefault="00FE0EFA" w:rsidP="00893F66">
            <w:pPr>
              <w:spacing w:after="0" w:line="360" w:lineRule="auto"/>
              <w:jc w:val="both"/>
              <w:rPr>
                <w:rFonts w:ascii="Times New Roman" w:hAnsi="Times New Roman"/>
                <w:sz w:val="24"/>
                <w:szCs w:val="24"/>
              </w:rPr>
            </w:pPr>
            <w:r w:rsidRPr="008B1465">
              <w:rPr>
                <w:rFonts w:ascii="Times New Roman" w:hAnsi="Times New Roman"/>
                <w:sz w:val="24"/>
                <w:szCs w:val="24"/>
              </w:rPr>
              <w:t>.000</w:t>
            </w:r>
          </w:p>
        </w:tc>
        <w:tc>
          <w:tcPr>
            <w:tcW w:w="1317" w:type="dxa"/>
          </w:tcPr>
          <w:p w14:paraId="2C2B14C5" w14:textId="77777777" w:rsidR="00FE0EFA" w:rsidRPr="008B1465" w:rsidRDefault="00FE0EFA" w:rsidP="00893F66">
            <w:pPr>
              <w:spacing w:after="0" w:line="360" w:lineRule="auto"/>
              <w:jc w:val="both"/>
              <w:rPr>
                <w:rFonts w:ascii="Times New Roman" w:hAnsi="Times New Roman"/>
                <w:sz w:val="24"/>
                <w:szCs w:val="24"/>
              </w:rPr>
            </w:pPr>
            <w:r w:rsidRPr="008B1465">
              <w:rPr>
                <w:rFonts w:ascii="Times New Roman" w:hAnsi="Times New Roman"/>
                <w:sz w:val="24"/>
                <w:szCs w:val="24"/>
              </w:rPr>
              <w:t>.586</w:t>
            </w:r>
          </w:p>
        </w:tc>
        <w:tc>
          <w:tcPr>
            <w:tcW w:w="1349" w:type="dxa"/>
          </w:tcPr>
          <w:p w14:paraId="0BC8A49C" w14:textId="77777777" w:rsidR="00FE0EFA" w:rsidRPr="008B1465" w:rsidRDefault="00FE0EFA" w:rsidP="00893F66">
            <w:pPr>
              <w:spacing w:after="0" w:line="360" w:lineRule="auto"/>
              <w:jc w:val="both"/>
              <w:rPr>
                <w:rFonts w:ascii="Times New Roman" w:hAnsi="Times New Roman"/>
                <w:sz w:val="24"/>
                <w:szCs w:val="24"/>
              </w:rPr>
            </w:pPr>
            <w:r w:rsidRPr="008B1465">
              <w:rPr>
                <w:rFonts w:ascii="Times New Roman" w:hAnsi="Times New Roman"/>
                <w:sz w:val="24"/>
                <w:szCs w:val="24"/>
              </w:rPr>
              <w:t>1.707</w:t>
            </w:r>
          </w:p>
        </w:tc>
      </w:tr>
      <w:tr w:rsidR="00FE0EFA" w:rsidRPr="008B1465" w14:paraId="0950A611" w14:textId="77777777" w:rsidTr="00893F66">
        <w:tc>
          <w:tcPr>
            <w:tcW w:w="1265" w:type="dxa"/>
          </w:tcPr>
          <w:p w14:paraId="0DFF3FC9" w14:textId="77777777" w:rsidR="00FE0EFA" w:rsidRPr="008B1465" w:rsidRDefault="00FE0EFA" w:rsidP="00893F66">
            <w:pPr>
              <w:spacing w:after="0" w:line="360" w:lineRule="auto"/>
              <w:jc w:val="both"/>
              <w:rPr>
                <w:rFonts w:ascii="Times New Roman" w:hAnsi="Times New Roman"/>
                <w:b/>
                <w:bCs/>
                <w:sz w:val="24"/>
                <w:szCs w:val="24"/>
              </w:rPr>
            </w:pPr>
            <w:r w:rsidRPr="008B1465">
              <w:rPr>
                <w:rFonts w:ascii="Times New Roman" w:hAnsi="Times New Roman"/>
                <w:b/>
                <w:bCs/>
                <w:sz w:val="24"/>
                <w:szCs w:val="24"/>
              </w:rPr>
              <w:t>LS</w:t>
            </w:r>
          </w:p>
        </w:tc>
        <w:tc>
          <w:tcPr>
            <w:tcW w:w="1408" w:type="dxa"/>
          </w:tcPr>
          <w:p w14:paraId="143EAFE1" w14:textId="77777777" w:rsidR="00FE0EFA" w:rsidRPr="008B1465" w:rsidRDefault="00FE0EFA" w:rsidP="00893F66">
            <w:pPr>
              <w:spacing w:after="0" w:line="360" w:lineRule="auto"/>
              <w:jc w:val="both"/>
              <w:rPr>
                <w:rFonts w:ascii="Times New Roman" w:hAnsi="Times New Roman"/>
                <w:sz w:val="24"/>
                <w:szCs w:val="24"/>
              </w:rPr>
            </w:pPr>
            <w:r>
              <w:rPr>
                <w:rFonts w:ascii="Times New Roman" w:hAnsi="Times New Roman"/>
                <w:sz w:val="24"/>
                <w:szCs w:val="24"/>
              </w:rPr>
              <w:t>-.010</w:t>
            </w:r>
          </w:p>
        </w:tc>
        <w:tc>
          <w:tcPr>
            <w:tcW w:w="1329" w:type="dxa"/>
          </w:tcPr>
          <w:p w14:paraId="43EE0482" w14:textId="77777777" w:rsidR="00FE0EFA" w:rsidRPr="008B1465" w:rsidRDefault="00FE0EFA" w:rsidP="00893F66">
            <w:pPr>
              <w:spacing w:after="0" w:line="360" w:lineRule="auto"/>
              <w:jc w:val="both"/>
              <w:rPr>
                <w:rFonts w:ascii="Times New Roman" w:hAnsi="Times New Roman"/>
                <w:sz w:val="24"/>
                <w:szCs w:val="24"/>
              </w:rPr>
            </w:pPr>
            <w:r w:rsidRPr="008B1465">
              <w:rPr>
                <w:rFonts w:ascii="Times New Roman" w:hAnsi="Times New Roman"/>
                <w:sz w:val="24"/>
                <w:szCs w:val="24"/>
              </w:rPr>
              <w:t>-.037</w:t>
            </w:r>
          </w:p>
        </w:tc>
        <w:tc>
          <w:tcPr>
            <w:tcW w:w="1380" w:type="dxa"/>
          </w:tcPr>
          <w:p w14:paraId="1D2FCACB" w14:textId="77777777" w:rsidR="00FE0EFA" w:rsidRPr="008B1465" w:rsidRDefault="00FE0EFA" w:rsidP="00893F66">
            <w:pPr>
              <w:spacing w:after="0" w:line="360" w:lineRule="auto"/>
              <w:jc w:val="both"/>
              <w:rPr>
                <w:rFonts w:ascii="Times New Roman" w:hAnsi="Times New Roman"/>
                <w:sz w:val="24"/>
                <w:szCs w:val="24"/>
              </w:rPr>
            </w:pPr>
            <w:r w:rsidRPr="008B1465">
              <w:rPr>
                <w:rFonts w:ascii="Times New Roman" w:hAnsi="Times New Roman"/>
                <w:sz w:val="24"/>
                <w:szCs w:val="24"/>
              </w:rPr>
              <w:t>-.873</w:t>
            </w:r>
          </w:p>
        </w:tc>
        <w:tc>
          <w:tcPr>
            <w:tcW w:w="1317" w:type="dxa"/>
          </w:tcPr>
          <w:p w14:paraId="4D837FDF" w14:textId="77777777" w:rsidR="00FE0EFA" w:rsidRPr="008B1465" w:rsidRDefault="00FE0EFA" w:rsidP="00893F66">
            <w:pPr>
              <w:spacing w:after="0" w:line="360" w:lineRule="auto"/>
              <w:jc w:val="both"/>
              <w:rPr>
                <w:rFonts w:ascii="Times New Roman" w:hAnsi="Times New Roman"/>
                <w:sz w:val="24"/>
                <w:szCs w:val="24"/>
              </w:rPr>
            </w:pPr>
            <w:r w:rsidRPr="008B1465">
              <w:rPr>
                <w:rFonts w:ascii="Times New Roman" w:hAnsi="Times New Roman"/>
                <w:sz w:val="24"/>
                <w:szCs w:val="24"/>
              </w:rPr>
              <w:t>.383</w:t>
            </w:r>
          </w:p>
        </w:tc>
        <w:tc>
          <w:tcPr>
            <w:tcW w:w="1317" w:type="dxa"/>
          </w:tcPr>
          <w:p w14:paraId="48CD7BB5" w14:textId="77777777" w:rsidR="00FE0EFA" w:rsidRPr="008B1465" w:rsidRDefault="00FE0EFA" w:rsidP="00893F66">
            <w:pPr>
              <w:spacing w:after="0" w:line="360" w:lineRule="auto"/>
              <w:jc w:val="both"/>
              <w:rPr>
                <w:rFonts w:ascii="Times New Roman" w:hAnsi="Times New Roman"/>
                <w:sz w:val="24"/>
                <w:szCs w:val="24"/>
              </w:rPr>
            </w:pPr>
            <w:r w:rsidRPr="008B1465">
              <w:rPr>
                <w:rFonts w:ascii="Times New Roman" w:hAnsi="Times New Roman"/>
                <w:sz w:val="24"/>
                <w:szCs w:val="24"/>
              </w:rPr>
              <w:t>.989</w:t>
            </w:r>
          </w:p>
        </w:tc>
        <w:tc>
          <w:tcPr>
            <w:tcW w:w="1349" w:type="dxa"/>
          </w:tcPr>
          <w:p w14:paraId="0E0FA599" w14:textId="77777777" w:rsidR="00FE0EFA" w:rsidRPr="008B1465" w:rsidRDefault="00FE0EFA" w:rsidP="00893F66">
            <w:pPr>
              <w:spacing w:after="0" w:line="360" w:lineRule="auto"/>
              <w:jc w:val="both"/>
              <w:rPr>
                <w:rFonts w:ascii="Times New Roman" w:hAnsi="Times New Roman"/>
                <w:sz w:val="24"/>
                <w:szCs w:val="24"/>
              </w:rPr>
            </w:pPr>
            <w:r w:rsidRPr="008B1465">
              <w:rPr>
                <w:rFonts w:ascii="Times New Roman" w:hAnsi="Times New Roman"/>
                <w:sz w:val="24"/>
                <w:szCs w:val="24"/>
              </w:rPr>
              <w:t>1.012</w:t>
            </w:r>
          </w:p>
        </w:tc>
      </w:tr>
      <w:tr w:rsidR="00FE0EFA" w:rsidRPr="008B1465" w14:paraId="4CA69449" w14:textId="77777777" w:rsidTr="00893F66">
        <w:tc>
          <w:tcPr>
            <w:tcW w:w="1265" w:type="dxa"/>
          </w:tcPr>
          <w:p w14:paraId="75FF9897" w14:textId="77777777" w:rsidR="00FE0EFA" w:rsidRPr="008B1465" w:rsidRDefault="00FE0EFA" w:rsidP="00893F66">
            <w:pPr>
              <w:spacing w:after="0" w:line="360" w:lineRule="auto"/>
              <w:jc w:val="both"/>
              <w:rPr>
                <w:rFonts w:ascii="Times New Roman" w:hAnsi="Times New Roman"/>
                <w:b/>
                <w:bCs/>
                <w:sz w:val="24"/>
                <w:szCs w:val="24"/>
              </w:rPr>
            </w:pPr>
            <w:r w:rsidRPr="008B1465">
              <w:rPr>
                <w:rFonts w:ascii="Times New Roman" w:hAnsi="Times New Roman"/>
                <w:b/>
                <w:bCs/>
                <w:sz w:val="24"/>
                <w:szCs w:val="24"/>
              </w:rPr>
              <w:t>ADE</w:t>
            </w:r>
          </w:p>
        </w:tc>
        <w:tc>
          <w:tcPr>
            <w:tcW w:w="1408" w:type="dxa"/>
          </w:tcPr>
          <w:p w14:paraId="698DBE75" w14:textId="77777777" w:rsidR="00FE0EFA" w:rsidRPr="008B1465" w:rsidRDefault="00FE0EFA" w:rsidP="00893F66">
            <w:pPr>
              <w:spacing w:after="0" w:line="360" w:lineRule="auto"/>
              <w:jc w:val="both"/>
              <w:rPr>
                <w:rFonts w:ascii="Times New Roman" w:hAnsi="Times New Roman"/>
                <w:sz w:val="24"/>
                <w:szCs w:val="24"/>
              </w:rPr>
            </w:pPr>
            <w:r>
              <w:rPr>
                <w:rFonts w:ascii="Times New Roman" w:hAnsi="Times New Roman"/>
                <w:sz w:val="24"/>
                <w:szCs w:val="24"/>
              </w:rPr>
              <w:t>.193</w:t>
            </w:r>
          </w:p>
        </w:tc>
        <w:tc>
          <w:tcPr>
            <w:tcW w:w="1329" w:type="dxa"/>
          </w:tcPr>
          <w:p w14:paraId="7DD07407" w14:textId="77777777" w:rsidR="00FE0EFA" w:rsidRPr="008B1465" w:rsidRDefault="00FE0EFA" w:rsidP="00893F66">
            <w:pPr>
              <w:spacing w:after="0" w:line="360" w:lineRule="auto"/>
              <w:jc w:val="both"/>
              <w:rPr>
                <w:rFonts w:ascii="Times New Roman" w:hAnsi="Times New Roman"/>
                <w:sz w:val="24"/>
                <w:szCs w:val="24"/>
              </w:rPr>
            </w:pPr>
            <w:r w:rsidRPr="008B1465">
              <w:rPr>
                <w:rFonts w:ascii="Times New Roman" w:hAnsi="Times New Roman"/>
                <w:sz w:val="24"/>
                <w:szCs w:val="24"/>
              </w:rPr>
              <w:t>.731</w:t>
            </w:r>
          </w:p>
        </w:tc>
        <w:tc>
          <w:tcPr>
            <w:tcW w:w="1380" w:type="dxa"/>
          </w:tcPr>
          <w:p w14:paraId="41003577" w14:textId="77777777" w:rsidR="00FE0EFA" w:rsidRPr="008B1465" w:rsidRDefault="00FE0EFA" w:rsidP="00893F66">
            <w:pPr>
              <w:spacing w:after="0" w:line="360" w:lineRule="auto"/>
              <w:jc w:val="both"/>
              <w:rPr>
                <w:rFonts w:ascii="Times New Roman" w:hAnsi="Times New Roman"/>
                <w:sz w:val="24"/>
                <w:szCs w:val="24"/>
              </w:rPr>
            </w:pPr>
            <w:r w:rsidRPr="008B1465">
              <w:rPr>
                <w:rFonts w:ascii="Times New Roman" w:hAnsi="Times New Roman"/>
                <w:sz w:val="24"/>
                <w:szCs w:val="24"/>
              </w:rPr>
              <w:t>13.262</w:t>
            </w:r>
          </w:p>
        </w:tc>
        <w:tc>
          <w:tcPr>
            <w:tcW w:w="1317" w:type="dxa"/>
          </w:tcPr>
          <w:p w14:paraId="400FF910" w14:textId="77777777" w:rsidR="00FE0EFA" w:rsidRPr="008B1465" w:rsidRDefault="00FE0EFA" w:rsidP="00893F66">
            <w:pPr>
              <w:spacing w:after="0" w:line="360" w:lineRule="auto"/>
              <w:jc w:val="both"/>
              <w:rPr>
                <w:rFonts w:ascii="Times New Roman" w:hAnsi="Times New Roman"/>
                <w:sz w:val="24"/>
                <w:szCs w:val="24"/>
              </w:rPr>
            </w:pPr>
            <w:r w:rsidRPr="008B1465">
              <w:rPr>
                <w:rFonts w:ascii="Times New Roman" w:hAnsi="Times New Roman"/>
                <w:sz w:val="24"/>
                <w:szCs w:val="24"/>
              </w:rPr>
              <w:t>.000</w:t>
            </w:r>
          </w:p>
        </w:tc>
        <w:tc>
          <w:tcPr>
            <w:tcW w:w="1317" w:type="dxa"/>
          </w:tcPr>
          <w:p w14:paraId="3FD2A4B1" w14:textId="77777777" w:rsidR="00FE0EFA" w:rsidRPr="008B1465" w:rsidRDefault="00FE0EFA" w:rsidP="00893F66">
            <w:pPr>
              <w:spacing w:after="0" w:line="360" w:lineRule="auto"/>
              <w:jc w:val="both"/>
              <w:rPr>
                <w:rFonts w:ascii="Times New Roman" w:hAnsi="Times New Roman"/>
                <w:sz w:val="24"/>
                <w:szCs w:val="24"/>
              </w:rPr>
            </w:pPr>
            <w:r w:rsidRPr="008B1465">
              <w:rPr>
                <w:rFonts w:ascii="Times New Roman" w:hAnsi="Times New Roman"/>
                <w:sz w:val="24"/>
                <w:szCs w:val="24"/>
              </w:rPr>
              <w:t>.592</w:t>
            </w:r>
          </w:p>
        </w:tc>
        <w:tc>
          <w:tcPr>
            <w:tcW w:w="1349" w:type="dxa"/>
          </w:tcPr>
          <w:p w14:paraId="0F04F7E4" w14:textId="77777777" w:rsidR="00FE0EFA" w:rsidRPr="008B1465" w:rsidRDefault="00FE0EFA" w:rsidP="00893F66">
            <w:pPr>
              <w:spacing w:after="0" w:line="360" w:lineRule="auto"/>
              <w:jc w:val="both"/>
              <w:rPr>
                <w:rFonts w:ascii="Times New Roman" w:hAnsi="Times New Roman"/>
                <w:sz w:val="24"/>
                <w:szCs w:val="24"/>
              </w:rPr>
            </w:pPr>
            <w:r w:rsidRPr="008B1465">
              <w:rPr>
                <w:rFonts w:ascii="Times New Roman" w:hAnsi="Times New Roman"/>
                <w:sz w:val="24"/>
                <w:szCs w:val="24"/>
              </w:rPr>
              <w:t>1.689</w:t>
            </w:r>
          </w:p>
        </w:tc>
      </w:tr>
      <w:tr w:rsidR="00FE0EFA" w:rsidRPr="008B1465" w14:paraId="23842C8A" w14:textId="77777777" w:rsidTr="00893F66">
        <w:tc>
          <w:tcPr>
            <w:tcW w:w="1265" w:type="dxa"/>
          </w:tcPr>
          <w:p w14:paraId="2D937FAD" w14:textId="77777777" w:rsidR="00FE0EFA" w:rsidRPr="008B1465" w:rsidRDefault="00FE0EFA" w:rsidP="00893F66">
            <w:pPr>
              <w:spacing w:before="0" w:beforeAutospacing="0" w:after="0" w:line="240" w:lineRule="auto"/>
              <w:ind w:hanging="106"/>
              <w:rPr>
                <w:rFonts w:ascii="Times New Roman" w:hAnsi="Times New Roman"/>
                <w:b/>
                <w:bCs/>
                <w:sz w:val="18"/>
                <w:szCs w:val="18"/>
              </w:rPr>
            </w:pPr>
            <w:r w:rsidRPr="008B1465">
              <w:rPr>
                <w:rFonts w:ascii="Times New Roman" w:hAnsi="Times New Roman"/>
                <w:b/>
                <w:bCs/>
                <w:sz w:val="18"/>
                <w:szCs w:val="18"/>
              </w:rPr>
              <w:t>R</w:t>
            </w:r>
            <w:r w:rsidRPr="008B1465">
              <w:rPr>
                <w:rFonts w:ascii="Times New Roman" w:hAnsi="Times New Roman"/>
                <w:b/>
                <w:bCs/>
                <w:sz w:val="18"/>
                <w:szCs w:val="18"/>
                <w:vertAlign w:val="superscript"/>
              </w:rPr>
              <w:t xml:space="preserve"> </w:t>
            </w:r>
            <w:r w:rsidRPr="008B1465">
              <w:rPr>
                <w:rFonts w:ascii="Times New Roman" w:hAnsi="Times New Roman"/>
                <w:b/>
                <w:bCs/>
                <w:sz w:val="18"/>
                <w:szCs w:val="18"/>
              </w:rPr>
              <w:t>= .595</w:t>
            </w:r>
          </w:p>
        </w:tc>
        <w:tc>
          <w:tcPr>
            <w:tcW w:w="8100" w:type="dxa"/>
            <w:gridSpan w:val="6"/>
          </w:tcPr>
          <w:p w14:paraId="0E95CA72" w14:textId="77777777" w:rsidR="00FE0EFA" w:rsidRPr="008B1465" w:rsidRDefault="00FE0EFA" w:rsidP="00893F66">
            <w:pPr>
              <w:spacing w:before="0" w:beforeAutospacing="0" w:after="0" w:line="240" w:lineRule="auto"/>
              <w:ind w:hanging="106"/>
              <w:rPr>
                <w:rFonts w:ascii="Times New Roman" w:hAnsi="Times New Roman"/>
                <w:b/>
                <w:bCs/>
                <w:sz w:val="18"/>
                <w:szCs w:val="18"/>
              </w:rPr>
            </w:pPr>
          </w:p>
        </w:tc>
      </w:tr>
      <w:tr w:rsidR="00FE0EFA" w:rsidRPr="008B1465" w14:paraId="1BBF1684" w14:textId="77777777" w:rsidTr="00893F66">
        <w:tc>
          <w:tcPr>
            <w:tcW w:w="1265" w:type="dxa"/>
          </w:tcPr>
          <w:p w14:paraId="20AD7BA8" w14:textId="77777777" w:rsidR="00FE0EFA" w:rsidRPr="008B1465" w:rsidRDefault="00FE0EFA" w:rsidP="00893F66">
            <w:pPr>
              <w:spacing w:before="0" w:beforeAutospacing="0" w:after="0" w:line="240" w:lineRule="auto"/>
              <w:ind w:hanging="106"/>
              <w:rPr>
                <w:rFonts w:ascii="Times New Roman" w:hAnsi="Times New Roman"/>
                <w:b/>
                <w:bCs/>
                <w:sz w:val="18"/>
                <w:szCs w:val="18"/>
              </w:rPr>
            </w:pPr>
            <w:r w:rsidRPr="008B1465">
              <w:rPr>
                <w:rFonts w:ascii="Times New Roman" w:hAnsi="Times New Roman"/>
                <w:b/>
                <w:bCs/>
                <w:sz w:val="18"/>
                <w:szCs w:val="18"/>
              </w:rPr>
              <w:t>R</w:t>
            </w:r>
            <w:r w:rsidRPr="008B1465">
              <w:rPr>
                <w:rFonts w:ascii="Times New Roman" w:hAnsi="Times New Roman"/>
                <w:b/>
                <w:bCs/>
                <w:sz w:val="18"/>
                <w:szCs w:val="18"/>
                <w:vertAlign w:val="superscript"/>
              </w:rPr>
              <w:t xml:space="preserve">2 </w:t>
            </w:r>
            <w:r w:rsidRPr="008B1465">
              <w:rPr>
                <w:rFonts w:ascii="Times New Roman" w:hAnsi="Times New Roman"/>
                <w:b/>
                <w:bCs/>
                <w:sz w:val="18"/>
                <w:szCs w:val="18"/>
              </w:rPr>
              <w:t>= .354</w:t>
            </w:r>
          </w:p>
        </w:tc>
        <w:tc>
          <w:tcPr>
            <w:tcW w:w="8100" w:type="dxa"/>
            <w:gridSpan w:val="6"/>
          </w:tcPr>
          <w:p w14:paraId="3A6DA77C" w14:textId="77777777" w:rsidR="00FE0EFA" w:rsidRPr="008B1465" w:rsidRDefault="00FE0EFA" w:rsidP="00893F66">
            <w:pPr>
              <w:spacing w:before="0" w:beforeAutospacing="0" w:after="0" w:line="240" w:lineRule="auto"/>
              <w:ind w:hanging="106"/>
              <w:rPr>
                <w:rFonts w:ascii="Times New Roman" w:hAnsi="Times New Roman"/>
                <w:b/>
                <w:bCs/>
                <w:sz w:val="18"/>
                <w:szCs w:val="18"/>
              </w:rPr>
            </w:pPr>
          </w:p>
        </w:tc>
      </w:tr>
      <w:tr w:rsidR="00FE0EFA" w:rsidRPr="008B1465" w14:paraId="12D0FBEA" w14:textId="77777777" w:rsidTr="00893F66">
        <w:tc>
          <w:tcPr>
            <w:tcW w:w="1265" w:type="dxa"/>
            <w:tcBorders>
              <w:bottom w:val="nil"/>
            </w:tcBorders>
          </w:tcPr>
          <w:p w14:paraId="0CCF90F6" w14:textId="77777777" w:rsidR="00FE0EFA" w:rsidRPr="008B1465" w:rsidRDefault="00FE0EFA" w:rsidP="00893F66">
            <w:pPr>
              <w:spacing w:before="0" w:beforeAutospacing="0" w:after="0" w:line="240" w:lineRule="auto"/>
              <w:ind w:hanging="106"/>
              <w:rPr>
                <w:rFonts w:ascii="Times New Roman" w:hAnsi="Times New Roman"/>
                <w:b/>
                <w:bCs/>
                <w:sz w:val="18"/>
                <w:szCs w:val="18"/>
              </w:rPr>
            </w:pPr>
            <w:r w:rsidRPr="008B1465">
              <w:rPr>
                <w:rFonts w:ascii="Times New Roman" w:hAnsi="Times New Roman"/>
                <w:b/>
                <w:bCs/>
                <w:sz w:val="18"/>
                <w:szCs w:val="18"/>
              </w:rPr>
              <w:t>F (4,359) =49.145</w:t>
            </w:r>
          </w:p>
        </w:tc>
        <w:tc>
          <w:tcPr>
            <w:tcW w:w="8100" w:type="dxa"/>
            <w:gridSpan w:val="6"/>
            <w:tcBorders>
              <w:bottom w:val="nil"/>
            </w:tcBorders>
          </w:tcPr>
          <w:p w14:paraId="11F8DA07" w14:textId="77777777" w:rsidR="00FE0EFA" w:rsidRPr="008B1465" w:rsidRDefault="00FE0EFA" w:rsidP="00893F66">
            <w:pPr>
              <w:spacing w:before="0" w:beforeAutospacing="0" w:after="0" w:line="240" w:lineRule="auto"/>
              <w:ind w:hanging="106"/>
              <w:rPr>
                <w:rFonts w:ascii="Times New Roman" w:hAnsi="Times New Roman"/>
                <w:b/>
                <w:bCs/>
                <w:sz w:val="18"/>
                <w:szCs w:val="18"/>
              </w:rPr>
            </w:pPr>
          </w:p>
        </w:tc>
      </w:tr>
      <w:tr w:rsidR="00FE0EFA" w:rsidRPr="008B1465" w14:paraId="5ACE3889" w14:textId="77777777" w:rsidTr="00893F66">
        <w:tc>
          <w:tcPr>
            <w:tcW w:w="1265" w:type="dxa"/>
            <w:tcBorders>
              <w:top w:val="nil"/>
              <w:bottom w:val="thinThickSmallGap" w:sz="24" w:space="0" w:color="auto"/>
            </w:tcBorders>
          </w:tcPr>
          <w:p w14:paraId="765CEA6A" w14:textId="77777777" w:rsidR="00FE0EFA" w:rsidRPr="008B1465" w:rsidRDefault="00FE0EFA" w:rsidP="00893F66">
            <w:pPr>
              <w:spacing w:before="0" w:beforeAutospacing="0" w:after="0" w:line="240" w:lineRule="auto"/>
              <w:ind w:hanging="106"/>
              <w:rPr>
                <w:rFonts w:ascii="Times New Roman" w:hAnsi="Times New Roman"/>
                <w:b/>
                <w:bCs/>
                <w:sz w:val="18"/>
                <w:szCs w:val="18"/>
              </w:rPr>
            </w:pPr>
            <w:r w:rsidRPr="008B1465">
              <w:rPr>
                <w:rFonts w:ascii="Times New Roman" w:hAnsi="Times New Roman"/>
                <w:b/>
                <w:bCs/>
                <w:sz w:val="18"/>
                <w:szCs w:val="18"/>
              </w:rPr>
              <w:t>Sig: 0.0145</w:t>
            </w:r>
          </w:p>
        </w:tc>
        <w:tc>
          <w:tcPr>
            <w:tcW w:w="8100" w:type="dxa"/>
            <w:gridSpan w:val="6"/>
            <w:tcBorders>
              <w:top w:val="nil"/>
              <w:bottom w:val="thinThickSmallGap" w:sz="24" w:space="0" w:color="auto"/>
            </w:tcBorders>
          </w:tcPr>
          <w:p w14:paraId="6599DD5D" w14:textId="77777777" w:rsidR="00FE0EFA" w:rsidRPr="008B1465" w:rsidRDefault="00FE0EFA" w:rsidP="00893F66">
            <w:pPr>
              <w:spacing w:before="0" w:beforeAutospacing="0" w:after="0" w:line="240" w:lineRule="auto"/>
              <w:ind w:hanging="106"/>
              <w:rPr>
                <w:rFonts w:ascii="Times New Roman" w:hAnsi="Times New Roman"/>
                <w:b/>
                <w:bCs/>
                <w:sz w:val="18"/>
                <w:szCs w:val="18"/>
              </w:rPr>
            </w:pPr>
          </w:p>
        </w:tc>
      </w:tr>
    </w:tbl>
    <w:p w14:paraId="345BD45C" w14:textId="77777777" w:rsidR="00FE0EFA" w:rsidRPr="008B1465" w:rsidRDefault="00FE0EFA" w:rsidP="00FE0EFA">
      <w:pPr>
        <w:spacing w:before="0" w:beforeAutospacing="0" w:after="0" w:line="240" w:lineRule="auto"/>
        <w:rPr>
          <w:rFonts w:ascii="Times New Roman" w:hAnsi="Times New Roman"/>
          <w:b/>
          <w:bCs/>
          <w:sz w:val="18"/>
          <w:szCs w:val="18"/>
        </w:rPr>
      </w:pPr>
      <w:r w:rsidRPr="008B1465">
        <w:rPr>
          <w:rFonts w:ascii="Times New Roman" w:hAnsi="Times New Roman"/>
          <w:b/>
          <w:bCs/>
          <w:sz w:val="18"/>
          <w:szCs w:val="18"/>
        </w:rPr>
        <w:t>Durbin-Watson =1.954</w:t>
      </w:r>
    </w:p>
    <w:p w14:paraId="41EE992D" w14:textId="77777777" w:rsidR="00FE0EFA" w:rsidRPr="008B1465" w:rsidRDefault="00FE0EFA" w:rsidP="00FE0EFA">
      <w:pPr>
        <w:pStyle w:val="NoSpacing"/>
        <w:rPr>
          <w:rFonts w:ascii="Times New Roman" w:hAnsi="Times New Roman"/>
          <w:b/>
          <w:bCs/>
          <w:sz w:val="18"/>
          <w:szCs w:val="18"/>
        </w:rPr>
      </w:pPr>
      <w:r w:rsidRPr="008B1465">
        <w:rPr>
          <w:rFonts w:ascii="Times New Roman" w:hAnsi="Times New Roman"/>
          <w:b/>
          <w:bCs/>
          <w:sz w:val="18"/>
          <w:szCs w:val="18"/>
        </w:rPr>
        <w:t>Source: Researchers’ Computation 2023, SPSS 25.0</w:t>
      </w:r>
    </w:p>
    <w:p w14:paraId="2515A49A" w14:textId="3113750F" w:rsidR="00937BE1" w:rsidRDefault="00937BE1" w:rsidP="00937BE1">
      <w:pPr>
        <w:spacing w:after="0" w:line="360" w:lineRule="auto"/>
        <w:jc w:val="both"/>
        <w:rPr>
          <w:rFonts w:ascii="Times New Roman" w:hAnsi="Times New Roman"/>
          <w:b/>
          <w:bCs/>
          <w:sz w:val="24"/>
          <w:szCs w:val="24"/>
        </w:rPr>
      </w:pPr>
      <w:r>
        <w:rPr>
          <w:rFonts w:ascii="Times New Roman" w:hAnsi="Times New Roman"/>
          <w:b/>
          <w:bCs/>
          <w:sz w:val="24"/>
          <w:szCs w:val="24"/>
        </w:rPr>
        <w:t>Operational Model 4 for Hypothesis 4 is stated as:</w:t>
      </w:r>
    </w:p>
    <w:p w14:paraId="4A587F16" w14:textId="428854E6" w:rsidR="00937BE1" w:rsidRDefault="00937BE1" w:rsidP="00937BE1">
      <w:pPr>
        <w:pStyle w:val="NoSpacing"/>
        <w:spacing w:line="360" w:lineRule="auto"/>
        <w:rPr>
          <w:rFonts w:ascii="Times New Roman" w:eastAsia="DengXian" w:hAnsi="Times New Roman"/>
          <w:sz w:val="24"/>
          <w:szCs w:val="24"/>
        </w:rPr>
      </w:pPr>
      <w:r>
        <w:rPr>
          <w:rFonts w:ascii="Times New Roman" w:eastAsia="DengXian" w:hAnsi="Times New Roman"/>
          <w:sz w:val="24"/>
          <w:szCs w:val="24"/>
        </w:rPr>
        <w:t>PP</w:t>
      </w:r>
      <w:r w:rsidRPr="008B1465">
        <w:rPr>
          <w:rFonts w:ascii="Times New Roman" w:eastAsia="DengXian" w:hAnsi="Times New Roman"/>
          <w:sz w:val="24"/>
          <w:szCs w:val="24"/>
        </w:rPr>
        <w:t xml:space="preserve"> = </w:t>
      </w:r>
      <w:r w:rsidR="00380F82">
        <w:rPr>
          <w:rFonts w:ascii="Times New Roman" w:hAnsi="Times New Roman"/>
          <w:noProof/>
          <w:sz w:val="24"/>
          <w:szCs w:val="24"/>
        </w:rPr>
        <w:t>5.419</w:t>
      </w:r>
      <w:r w:rsidR="002D6B62" w:rsidRPr="008B1465">
        <w:rPr>
          <w:rFonts w:ascii="Times New Roman" w:eastAsia="DengXian" w:hAnsi="Times New Roman"/>
          <w:sz w:val="24"/>
          <w:szCs w:val="24"/>
        </w:rPr>
        <w:t xml:space="preserve"> </w:t>
      </w:r>
      <w:r w:rsidRPr="008B1465">
        <w:rPr>
          <w:rFonts w:ascii="Times New Roman" w:eastAsia="DengXian" w:hAnsi="Times New Roman"/>
          <w:sz w:val="24"/>
          <w:szCs w:val="24"/>
        </w:rPr>
        <w:t xml:space="preserve">+ </w:t>
      </w:r>
      <w:r w:rsidR="00380F82">
        <w:rPr>
          <w:rFonts w:ascii="Times New Roman" w:hAnsi="Times New Roman"/>
          <w:noProof/>
          <w:sz w:val="24"/>
          <w:szCs w:val="24"/>
        </w:rPr>
        <w:t>-.211</w:t>
      </w:r>
      <w:r w:rsidRPr="008B1465">
        <w:rPr>
          <w:rFonts w:ascii="Times New Roman" w:eastAsia="DengXian" w:hAnsi="Times New Roman"/>
          <w:sz w:val="24"/>
          <w:szCs w:val="24"/>
        </w:rPr>
        <w:t>IF</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LS</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Pr="008B1465">
        <w:rPr>
          <w:rFonts w:ascii="Times New Roman" w:hAnsi="Times New Roman"/>
          <w:noProof/>
          <w:sz w:val="24"/>
          <w:szCs w:val="24"/>
        </w:rPr>
        <w:drawing>
          <wp:inline distT="0" distB="0" distL="0" distR="0" wp14:anchorId="41D84F74" wp14:editId="226CFF77">
            <wp:extent cx="84455" cy="173355"/>
            <wp:effectExtent l="0" t="0" r="0" b="0"/>
            <wp:docPr id="229"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Picture 23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Pr="008B1465">
        <w:rPr>
          <w:rFonts w:ascii="Times New Roman" w:eastAsia="DengXian" w:hAnsi="Times New Roman"/>
          <w:sz w:val="24"/>
          <w:szCs w:val="24"/>
          <w:vertAlign w:val="subscript"/>
        </w:rPr>
        <w:t>3</w:t>
      </w:r>
      <w:r w:rsidRPr="008B1465">
        <w:rPr>
          <w:rFonts w:ascii="Times New Roman" w:eastAsia="DengXian" w:hAnsi="Times New Roman"/>
          <w:sz w:val="24"/>
          <w:szCs w:val="24"/>
        </w:rPr>
        <w:t>SCCP</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Pr="008B1465">
        <w:rPr>
          <w:rFonts w:ascii="Times New Roman" w:hAnsi="Times New Roman"/>
          <w:noProof/>
          <w:sz w:val="24"/>
          <w:szCs w:val="24"/>
        </w:rPr>
        <w:drawing>
          <wp:inline distT="0" distB="0" distL="0" distR="0" wp14:anchorId="4A914867" wp14:editId="42937EE5">
            <wp:extent cx="84455" cy="173355"/>
            <wp:effectExtent l="0" t="0" r="0" b="0"/>
            <wp:docPr id="245" name="Pictur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Picture 23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84455" cy="173355"/>
                    </a:xfrm>
                    <a:prstGeom prst="rect">
                      <a:avLst/>
                    </a:prstGeom>
                    <a:noFill/>
                    <a:ln>
                      <a:noFill/>
                    </a:ln>
                  </pic:spPr>
                </pic:pic>
              </a:graphicData>
            </a:graphic>
          </wp:inline>
        </w:drawing>
      </w:r>
      <w:r w:rsidRPr="008B1465">
        <w:rPr>
          <w:rFonts w:ascii="Times New Roman" w:eastAsia="DengXian" w:hAnsi="Times New Roman"/>
          <w:sz w:val="24"/>
          <w:szCs w:val="24"/>
          <w:vertAlign w:val="subscript"/>
        </w:rPr>
        <w:t>4</w:t>
      </w:r>
      <w:r w:rsidRPr="008B1465">
        <w:rPr>
          <w:rFonts w:ascii="Times New Roman" w:eastAsia="DengXian" w:hAnsi="Times New Roman"/>
          <w:sz w:val="24"/>
          <w:szCs w:val="24"/>
        </w:rPr>
        <w:t>ADE</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Pr="008B1465">
        <w:rPr>
          <w:rFonts w:ascii="Times New Roman" w:hAnsi="Times New Roman"/>
          <w:sz w:val="32"/>
          <w:szCs w:val="32"/>
        </w:rPr>
        <w:t>ԑ</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Model </w:t>
      </w:r>
      <w:r>
        <w:rPr>
          <w:rFonts w:ascii="Times New Roman" w:eastAsia="DengXian" w:hAnsi="Times New Roman"/>
          <w:sz w:val="24"/>
          <w:szCs w:val="24"/>
        </w:rPr>
        <w:t>4</w:t>
      </w:r>
    </w:p>
    <w:p w14:paraId="780D64BD" w14:textId="5EF444ED" w:rsidR="00C15D35" w:rsidRDefault="00AC4DAA" w:rsidP="00937BE1">
      <w:pPr>
        <w:pStyle w:val="NoSpacing"/>
        <w:spacing w:line="360" w:lineRule="auto"/>
        <w:rPr>
          <w:rFonts w:ascii="Times New Roman" w:eastAsia="DengXian" w:hAnsi="Times New Roman"/>
          <w:sz w:val="24"/>
          <w:szCs w:val="24"/>
          <w:vertAlign w:val="subscript"/>
        </w:rPr>
      </w:pPr>
      <w:r>
        <w:rPr>
          <w:rFonts w:ascii="Times New Roman" w:eastAsia="DengXian" w:hAnsi="Times New Roman"/>
          <w:sz w:val="24"/>
          <w:szCs w:val="24"/>
        </w:rPr>
        <w:t>PP</w:t>
      </w:r>
      <w:r w:rsidRPr="008B1465">
        <w:rPr>
          <w:rFonts w:ascii="Times New Roman" w:eastAsia="DengXian" w:hAnsi="Times New Roman"/>
          <w:sz w:val="24"/>
          <w:szCs w:val="24"/>
        </w:rPr>
        <w:t xml:space="preserve"> = </w:t>
      </w:r>
      <w:r w:rsidR="00173141">
        <w:rPr>
          <w:rFonts w:ascii="Times New Roman" w:hAnsi="Times New Roman"/>
          <w:noProof/>
          <w:sz w:val="24"/>
          <w:szCs w:val="24"/>
        </w:rPr>
        <w:t>5.419</w:t>
      </w:r>
      <w:r w:rsidRPr="008B1465">
        <w:rPr>
          <w:rFonts w:ascii="Times New Roman" w:eastAsia="DengXian" w:hAnsi="Times New Roman"/>
          <w:sz w:val="24"/>
          <w:szCs w:val="24"/>
        </w:rPr>
        <w:t xml:space="preserve"> + </w:t>
      </w:r>
      <w:r w:rsidR="00173141">
        <w:rPr>
          <w:rFonts w:ascii="Times New Roman" w:hAnsi="Times New Roman"/>
          <w:noProof/>
          <w:sz w:val="24"/>
          <w:szCs w:val="24"/>
        </w:rPr>
        <w:t>-.211</w:t>
      </w:r>
      <w:r w:rsidRPr="008B1465">
        <w:rPr>
          <w:rFonts w:ascii="Times New Roman" w:eastAsia="DengXian" w:hAnsi="Times New Roman"/>
          <w:sz w:val="24"/>
          <w:szCs w:val="24"/>
        </w:rPr>
        <w:t>IF</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00173141">
        <w:rPr>
          <w:rFonts w:ascii="Times New Roman" w:hAnsi="Times New Roman"/>
          <w:noProof/>
          <w:sz w:val="24"/>
          <w:szCs w:val="24"/>
        </w:rPr>
        <w:t>-.010</w:t>
      </w:r>
      <w:r w:rsidRPr="008B1465">
        <w:rPr>
          <w:rFonts w:ascii="Times New Roman" w:eastAsia="DengXian" w:hAnsi="Times New Roman"/>
          <w:sz w:val="24"/>
          <w:szCs w:val="24"/>
        </w:rPr>
        <w:t>LS</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003C7387">
        <w:rPr>
          <w:rFonts w:ascii="Times New Roman" w:hAnsi="Times New Roman"/>
          <w:noProof/>
          <w:sz w:val="24"/>
          <w:szCs w:val="24"/>
        </w:rPr>
        <w:t>.064</w:t>
      </w:r>
      <w:r w:rsidRPr="008B1465">
        <w:rPr>
          <w:rFonts w:ascii="Times New Roman" w:eastAsia="DengXian" w:hAnsi="Times New Roman"/>
          <w:sz w:val="24"/>
          <w:szCs w:val="24"/>
        </w:rPr>
        <w:t>SCCP</w:t>
      </w:r>
      <w:r w:rsidRPr="008B1465">
        <w:rPr>
          <w:rFonts w:ascii="Times New Roman" w:eastAsia="DengXian" w:hAnsi="Times New Roman"/>
          <w:sz w:val="24"/>
          <w:szCs w:val="24"/>
          <w:vertAlign w:val="subscript"/>
        </w:rPr>
        <w:t>i</w:t>
      </w:r>
      <w:r w:rsidRPr="008B1465">
        <w:rPr>
          <w:rFonts w:ascii="Times New Roman" w:eastAsia="DengXian" w:hAnsi="Times New Roman"/>
          <w:sz w:val="24"/>
          <w:szCs w:val="24"/>
        </w:rPr>
        <w:t xml:space="preserve"> + </w:t>
      </w:r>
      <w:r w:rsidR="003C7387">
        <w:rPr>
          <w:rFonts w:ascii="Times New Roman" w:hAnsi="Times New Roman"/>
          <w:noProof/>
          <w:sz w:val="24"/>
          <w:szCs w:val="24"/>
        </w:rPr>
        <w:t>.193</w:t>
      </w:r>
      <w:r w:rsidRPr="008B1465">
        <w:rPr>
          <w:rFonts w:ascii="Times New Roman" w:eastAsia="DengXian" w:hAnsi="Times New Roman"/>
          <w:sz w:val="24"/>
          <w:szCs w:val="24"/>
        </w:rPr>
        <w:t>ADE</w:t>
      </w:r>
      <w:r w:rsidRPr="008B1465">
        <w:rPr>
          <w:rFonts w:ascii="Times New Roman" w:eastAsia="DengXian" w:hAnsi="Times New Roman"/>
          <w:sz w:val="24"/>
          <w:szCs w:val="24"/>
          <w:vertAlign w:val="subscript"/>
        </w:rPr>
        <w:t>i</w:t>
      </w:r>
    </w:p>
    <w:p w14:paraId="5FA5BADE" w14:textId="43AF2E2E" w:rsidR="00DD1F92" w:rsidRDefault="0034701B" w:rsidP="00DD1F92">
      <w:pPr>
        <w:pStyle w:val="NoSpacing"/>
        <w:spacing w:line="360" w:lineRule="auto"/>
        <w:jc w:val="both"/>
        <w:rPr>
          <w:rFonts w:ascii="Times New Roman" w:hAnsi="Times New Roman"/>
          <w:sz w:val="24"/>
          <w:szCs w:val="24"/>
        </w:rPr>
      </w:pPr>
      <w:r>
        <w:rPr>
          <w:rFonts w:ascii="Times New Roman" w:eastAsia="DengXian" w:hAnsi="Times New Roman"/>
          <w:sz w:val="24"/>
          <w:szCs w:val="24"/>
        </w:rPr>
        <w:t>IF</w:t>
      </w:r>
      <w:r w:rsidR="00177310">
        <w:rPr>
          <w:rFonts w:ascii="Times New Roman" w:eastAsia="DengXian" w:hAnsi="Times New Roman"/>
          <w:sz w:val="24"/>
          <w:szCs w:val="24"/>
        </w:rPr>
        <w:t>=-.211, t=-7.137, p</w:t>
      </w:r>
      <w:r w:rsidR="00196E54">
        <w:rPr>
          <w:rFonts w:ascii="Times New Roman" w:eastAsia="DengXian" w:hAnsi="Times New Roman"/>
          <w:sz w:val="24"/>
          <w:szCs w:val="24"/>
        </w:rPr>
        <w:t>=.000</w:t>
      </w:r>
      <w:r w:rsidR="00DD1F92">
        <w:rPr>
          <w:rFonts w:ascii="Times New Roman" w:eastAsia="DengXian" w:hAnsi="Times New Roman"/>
          <w:sz w:val="24"/>
          <w:szCs w:val="24"/>
        </w:rPr>
        <w:t>:</w:t>
      </w:r>
      <w:r w:rsidR="00196E54">
        <w:rPr>
          <w:rFonts w:ascii="Times New Roman" w:eastAsia="DengXian" w:hAnsi="Times New Roman"/>
          <w:sz w:val="24"/>
          <w:szCs w:val="24"/>
        </w:rPr>
        <w:t xml:space="preserve"> </w:t>
      </w:r>
      <w:r w:rsidR="00EF6AD0" w:rsidRPr="00426978">
        <w:rPr>
          <w:rFonts w:ascii="Times New Roman" w:hAnsi="Times New Roman"/>
          <w:sz w:val="24"/>
          <w:szCs w:val="24"/>
        </w:rPr>
        <w:t xml:space="preserve">The regression result suggests a highly statistically significant relationship between the use of forensic accounting techniques and the Investigation of Fraud (IF). </w:t>
      </w:r>
      <w:r w:rsidR="00EF6AD0" w:rsidRPr="00426978">
        <w:rPr>
          <w:rFonts w:ascii="Times New Roman" w:hAnsi="Times New Roman"/>
          <w:b/>
          <w:bCs/>
          <w:sz w:val="24"/>
          <w:szCs w:val="24"/>
          <w:bdr w:val="single" w:sz="2" w:space="0" w:color="D9D9E3" w:frame="1"/>
        </w:rPr>
        <w:t>IF = -0.211:</w:t>
      </w:r>
      <w:r w:rsidR="00EF6AD0" w:rsidRPr="00426978">
        <w:rPr>
          <w:rFonts w:ascii="Times New Roman" w:hAnsi="Times New Roman"/>
          <w:sz w:val="24"/>
          <w:szCs w:val="24"/>
        </w:rPr>
        <w:t xml:space="preserve"> The coefficient of -0.211 represents the estimated effect of forensic accounting techniques on the Investigation of Fraud (IF). Specifically, for each unit increase in the use of forensic accounting techniques, the Investigation of Fraud (IF) decreases by 0.211 units on average.</w:t>
      </w:r>
      <w:r w:rsidR="00EF6AD0" w:rsidRPr="00FB1DE8">
        <w:rPr>
          <w:rFonts w:ascii="Times New Roman" w:hAnsi="Times New Roman"/>
          <w:sz w:val="24"/>
          <w:szCs w:val="24"/>
        </w:rPr>
        <w:t xml:space="preserve"> </w:t>
      </w:r>
      <w:r w:rsidR="00EF6AD0" w:rsidRPr="00426978">
        <w:rPr>
          <w:rFonts w:ascii="Times New Roman" w:hAnsi="Times New Roman"/>
          <w:b/>
          <w:bCs/>
          <w:sz w:val="24"/>
          <w:szCs w:val="24"/>
          <w:bdr w:val="single" w:sz="2" w:space="0" w:color="D9D9E3" w:frame="1"/>
        </w:rPr>
        <w:t>t = -7.137:</w:t>
      </w:r>
      <w:r w:rsidR="00EF6AD0" w:rsidRPr="00426978">
        <w:rPr>
          <w:rFonts w:ascii="Times New Roman" w:hAnsi="Times New Roman"/>
          <w:sz w:val="24"/>
          <w:szCs w:val="24"/>
        </w:rPr>
        <w:t xml:space="preserve"> The t-value measures how many standard errors the coefficient estimate is away from zero. In this case, the t-value is relatively large in absolute value, indicating a highly significant result.</w:t>
      </w:r>
      <w:r w:rsidR="00EF6AD0" w:rsidRPr="00FB1DE8">
        <w:rPr>
          <w:rFonts w:ascii="Times New Roman" w:hAnsi="Times New Roman"/>
          <w:sz w:val="24"/>
          <w:szCs w:val="24"/>
        </w:rPr>
        <w:t xml:space="preserve"> </w:t>
      </w:r>
      <w:r w:rsidR="00EF6AD0" w:rsidRPr="00426978">
        <w:rPr>
          <w:rFonts w:ascii="Times New Roman" w:hAnsi="Times New Roman"/>
          <w:b/>
          <w:bCs/>
          <w:sz w:val="24"/>
          <w:szCs w:val="24"/>
          <w:bdr w:val="single" w:sz="2" w:space="0" w:color="D9D9E3" w:frame="1"/>
        </w:rPr>
        <w:t>p = 0.000:</w:t>
      </w:r>
      <w:r w:rsidR="00EF6AD0" w:rsidRPr="00426978">
        <w:rPr>
          <w:rFonts w:ascii="Times New Roman" w:hAnsi="Times New Roman"/>
          <w:sz w:val="24"/>
          <w:szCs w:val="24"/>
        </w:rPr>
        <w:t xml:space="preserve"> The p-value is associated with the t-value and measures the probability that the observed relationship between forensic accounting techniques and the Investigation of Fraud is due to random chance. A p-value of 0.000 is the lowest possible value and indicates an extremely high level of statistical significance.</w:t>
      </w:r>
    </w:p>
    <w:p w14:paraId="4679A4AC" w14:textId="77777777" w:rsidR="007A1AD5" w:rsidRDefault="007A1AD5" w:rsidP="00DD1F92">
      <w:pPr>
        <w:pStyle w:val="NoSpacing"/>
        <w:spacing w:line="360" w:lineRule="auto"/>
        <w:jc w:val="both"/>
        <w:rPr>
          <w:rFonts w:ascii="Times New Roman" w:hAnsi="Times New Roman"/>
          <w:sz w:val="24"/>
          <w:szCs w:val="24"/>
        </w:rPr>
      </w:pPr>
    </w:p>
    <w:p w14:paraId="643057CF" w14:textId="77777777" w:rsidR="005241CF" w:rsidRDefault="00EF6AD0" w:rsidP="005241CF">
      <w:pPr>
        <w:pStyle w:val="NoSpacing"/>
        <w:spacing w:line="360" w:lineRule="auto"/>
        <w:jc w:val="both"/>
        <w:rPr>
          <w:rFonts w:ascii="Times New Roman" w:hAnsi="Times New Roman"/>
          <w:sz w:val="24"/>
          <w:szCs w:val="24"/>
        </w:rPr>
      </w:pPr>
      <w:r w:rsidRPr="00426978">
        <w:rPr>
          <w:rFonts w:ascii="Times New Roman" w:hAnsi="Times New Roman"/>
          <w:b/>
          <w:bCs/>
          <w:sz w:val="24"/>
          <w:szCs w:val="24"/>
        </w:rPr>
        <w:t>Decision Criteria:</w:t>
      </w:r>
      <w:r w:rsidRPr="00FB1DE8">
        <w:rPr>
          <w:rFonts w:ascii="Times New Roman" w:hAnsi="Times New Roman"/>
          <w:sz w:val="24"/>
          <w:szCs w:val="24"/>
        </w:rPr>
        <w:t xml:space="preserve"> </w:t>
      </w:r>
      <w:r w:rsidRPr="00426978">
        <w:rPr>
          <w:rFonts w:ascii="Times New Roman" w:hAnsi="Times New Roman"/>
          <w:sz w:val="24"/>
          <w:szCs w:val="24"/>
        </w:rPr>
        <w:t>If the p-value is less than the chosen significance level (commonly 0.05), you would typically reject the null hypothesis.</w:t>
      </w:r>
      <w:r w:rsidRPr="00FB1DE8">
        <w:rPr>
          <w:rFonts w:ascii="Times New Roman" w:hAnsi="Times New Roman"/>
          <w:sz w:val="24"/>
          <w:szCs w:val="24"/>
        </w:rPr>
        <w:t xml:space="preserve"> </w:t>
      </w:r>
      <w:r w:rsidRPr="00426978">
        <w:rPr>
          <w:rFonts w:ascii="Times New Roman" w:hAnsi="Times New Roman"/>
          <w:sz w:val="24"/>
          <w:szCs w:val="24"/>
        </w:rPr>
        <w:t>If the t-value is large in absolute terms, it suggests a significant result.</w:t>
      </w:r>
      <w:r w:rsidR="007A1AD5">
        <w:rPr>
          <w:rFonts w:ascii="Times New Roman" w:hAnsi="Times New Roman"/>
          <w:sz w:val="24"/>
          <w:szCs w:val="24"/>
        </w:rPr>
        <w:t xml:space="preserve"> </w:t>
      </w:r>
      <w:r w:rsidRPr="00426978">
        <w:rPr>
          <w:rFonts w:ascii="Times New Roman" w:hAnsi="Times New Roman"/>
          <w:sz w:val="24"/>
          <w:szCs w:val="24"/>
        </w:rPr>
        <w:t>In this case</w:t>
      </w:r>
      <w:r w:rsidR="007A1AD5">
        <w:rPr>
          <w:rFonts w:ascii="Times New Roman" w:hAnsi="Times New Roman"/>
          <w:sz w:val="24"/>
          <w:szCs w:val="24"/>
        </w:rPr>
        <w:t>, t</w:t>
      </w:r>
      <w:r w:rsidRPr="00426978">
        <w:rPr>
          <w:rFonts w:ascii="Times New Roman" w:hAnsi="Times New Roman"/>
          <w:sz w:val="24"/>
          <w:szCs w:val="24"/>
        </w:rPr>
        <w:t>he p-value of 0.000 is far less than 0.05, indicating an extremely high level of statistical significance.</w:t>
      </w:r>
      <w:r w:rsidRPr="00FB1DE8">
        <w:rPr>
          <w:rFonts w:ascii="Times New Roman" w:hAnsi="Times New Roman"/>
          <w:sz w:val="24"/>
          <w:szCs w:val="24"/>
        </w:rPr>
        <w:t xml:space="preserve"> </w:t>
      </w:r>
      <w:r w:rsidRPr="00426978">
        <w:rPr>
          <w:rFonts w:ascii="Times New Roman" w:hAnsi="Times New Roman"/>
          <w:sz w:val="24"/>
          <w:szCs w:val="24"/>
        </w:rPr>
        <w:t>The t-value of -7.137 is relatively large in absolute terms, confirming a highly significant result.</w:t>
      </w:r>
      <w:r w:rsidR="007A1AD5">
        <w:rPr>
          <w:rFonts w:ascii="Times New Roman" w:hAnsi="Times New Roman"/>
          <w:sz w:val="24"/>
          <w:szCs w:val="24"/>
        </w:rPr>
        <w:t xml:space="preserve"> However, </w:t>
      </w:r>
      <w:r w:rsidRPr="00FB1DE8">
        <w:rPr>
          <w:rFonts w:ascii="Times New Roman" w:hAnsi="Times New Roman"/>
          <w:sz w:val="24"/>
          <w:szCs w:val="24"/>
        </w:rPr>
        <w:t>the study</w:t>
      </w:r>
      <w:r w:rsidRPr="00426978">
        <w:rPr>
          <w:rFonts w:ascii="Times New Roman" w:hAnsi="Times New Roman"/>
          <w:sz w:val="24"/>
          <w:szCs w:val="24"/>
        </w:rPr>
        <w:t xml:space="preserve"> strongly reject</w:t>
      </w:r>
      <w:r w:rsidR="0072534E">
        <w:rPr>
          <w:rFonts w:ascii="Times New Roman" w:hAnsi="Times New Roman"/>
          <w:sz w:val="24"/>
          <w:szCs w:val="24"/>
        </w:rPr>
        <w:t>s</w:t>
      </w:r>
      <w:r w:rsidRPr="00426978">
        <w:rPr>
          <w:rFonts w:ascii="Times New Roman" w:hAnsi="Times New Roman"/>
          <w:sz w:val="24"/>
          <w:szCs w:val="24"/>
        </w:rPr>
        <w:t xml:space="preserve"> the null hypothesis in favor of the alternative hypothesis. There is overwhelming evidence to suggest that there is a highly statistically significant negative relationship between the use of forensic accounting techniques and the Investigation of Fraud. In other words, as the use of forensic accounting techniques increases, the level of Investigation of Fraud tends to decrease significantly.</w:t>
      </w:r>
    </w:p>
    <w:p w14:paraId="41055AC5" w14:textId="77777777" w:rsidR="005241CF" w:rsidRDefault="005241CF" w:rsidP="005241CF">
      <w:pPr>
        <w:pStyle w:val="NoSpacing"/>
        <w:spacing w:line="360" w:lineRule="auto"/>
        <w:jc w:val="both"/>
        <w:rPr>
          <w:rFonts w:ascii="Times New Roman" w:hAnsi="Times New Roman"/>
          <w:sz w:val="24"/>
          <w:szCs w:val="24"/>
        </w:rPr>
      </w:pPr>
    </w:p>
    <w:p w14:paraId="643E7D37" w14:textId="77777777" w:rsidR="005241CF" w:rsidRDefault="00196E54" w:rsidP="005241CF">
      <w:pPr>
        <w:pStyle w:val="NoSpacing"/>
        <w:spacing w:line="360" w:lineRule="auto"/>
        <w:jc w:val="both"/>
        <w:rPr>
          <w:rFonts w:ascii="Times New Roman" w:hAnsi="Times New Roman"/>
          <w:sz w:val="24"/>
          <w:szCs w:val="24"/>
        </w:rPr>
      </w:pPr>
      <w:r>
        <w:rPr>
          <w:rFonts w:ascii="Times New Roman" w:eastAsia="DengXian" w:hAnsi="Times New Roman"/>
          <w:sz w:val="24"/>
          <w:szCs w:val="24"/>
        </w:rPr>
        <w:t>LS=-.010, t=-</w:t>
      </w:r>
      <w:r w:rsidR="005542F1">
        <w:rPr>
          <w:rFonts w:ascii="Times New Roman" w:eastAsia="DengXian" w:hAnsi="Times New Roman"/>
          <w:sz w:val="24"/>
          <w:szCs w:val="24"/>
        </w:rPr>
        <w:t>.873, p=.383</w:t>
      </w:r>
      <w:r w:rsidR="0072534E">
        <w:rPr>
          <w:rFonts w:ascii="Times New Roman" w:eastAsia="DengXian" w:hAnsi="Times New Roman"/>
          <w:sz w:val="24"/>
          <w:szCs w:val="24"/>
        </w:rPr>
        <w:t>:</w:t>
      </w:r>
      <w:r w:rsidR="005542F1">
        <w:rPr>
          <w:rFonts w:ascii="Times New Roman" w:eastAsia="DengXian" w:hAnsi="Times New Roman"/>
          <w:sz w:val="24"/>
          <w:szCs w:val="24"/>
        </w:rPr>
        <w:t xml:space="preserve"> </w:t>
      </w:r>
      <w:r w:rsidR="00CA3C57" w:rsidRPr="00426978">
        <w:rPr>
          <w:rFonts w:ascii="Times New Roman" w:hAnsi="Times New Roman"/>
          <w:sz w:val="24"/>
          <w:szCs w:val="24"/>
        </w:rPr>
        <w:t xml:space="preserve">The regression result suggests that there is no statistically significant relationship between the use of forensic accounting techniques and Litigation Services (LS). </w:t>
      </w:r>
      <w:r w:rsidR="00CA3C57" w:rsidRPr="00426978">
        <w:rPr>
          <w:rFonts w:ascii="Times New Roman" w:hAnsi="Times New Roman"/>
          <w:b/>
          <w:bCs/>
          <w:sz w:val="24"/>
          <w:szCs w:val="24"/>
          <w:bdr w:val="single" w:sz="2" w:space="0" w:color="D9D9E3" w:frame="1"/>
        </w:rPr>
        <w:t>LS = -0.010:</w:t>
      </w:r>
      <w:r w:rsidR="00CA3C57" w:rsidRPr="00426978">
        <w:rPr>
          <w:rFonts w:ascii="Times New Roman" w:hAnsi="Times New Roman"/>
          <w:sz w:val="24"/>
          <w:szCs w:val="24"/>
        </w:rPr>
        <w:t xml:space="preserve"> The coefficient of -0.010 represents the estimated effect of forensic accounting techniques on Litigation Services. However, the coefficient is very close to zero, suggesting that there is minimal effect of forensic accounting techniques on Litigation Services.</w:t>
      </w:r>
      <w:r w:rsidR="00CA3C57" w:rsidRPr="00FB1DE8">
        <w:rPr>
          <w:rFonts w:ascii="Times New Roman" w:hAnsi="Times New Roman"/>
          <w:sz w:val="24"/>
          <w:szCs w:val="24"/>
        </w:rPr>
        <w:t xml:space="preserve"> </w:t>
      </w:r>
      <w:r w:rsidR="00CA3C57" w:rsidRPr="00426978">
        <w:rPr>
          <w:rFonts w:ascii="Times New Roman" w:hAnsi="Times New Roman"/>
          <w:b/>
          <w:bCs/>
          <w:sz w:val="24"/>
          <w:szCs w:val="24"/>
          <w:bdr w:val="single" w:sz="2" w:space="0" w:color="D9D9E3" w:frame="1"/>
        </w:rPr>
        <w:t>t = -0.873:</w:t>
      </w:r>
      <w:r w:rsidR="00CA3C57" w:rsidRPr="00426978">
        <w:rPr>
          <w:rFonts w:ascii="Times New Roman" w:hAnsi="Times New Roman"/>
          <w:sz w:val="24"/>
          <w:szCs w:val="24"/>
        </w:rPr>
        <w:t xml:space="preserve"> The t-value measures how many standard errors the coefficient estimate is away from zero. In this case, the t-value is relatively small in absolute value, indicating that the coefficient is not significantly different from zero.</w:t>
      </w:r>
      <w:r w:rsidR="00CA3C57" w:rsidRPr="00FB1DE8">
        <w:rPr>
          <w:rFonts w:ascii="Times New Roman" w:hAnsi="Times New Roman"/>
          <w:sz w:val="24"/>
          <w:szCs w:val="24"/>
        </w:rPr>
        <w:t xml:space="preserve"> </w:t>
      </w:r>
      <w:r w:rsidR="00CA3C57" w:rsidRPr="00426978">
        <w:rPr>
          <w:rFonts w:ascii="Times New Roman" w:hAnsi="Times New Roman"/>
          <w:b/>
          <w:bCs/>
          <w:sz w:val="24"/>
          <w:szCs w:val="24"/>
          <w:bdr w:val="single" w:sz="2" w:space="0" w:color="D9D9E3" w:frame="1"/>
        </w:rPr>
        <w:t>p = 0.383:</w:t>
      </w:r>
      <w:r w:rsidR="00CA3C57" w:rsidRPr="00426978">
        <w:rPr>
          <w:rFonts w:ascii="Times New Roman" w:hAnsi="Times New Roman"/>
          <w:sz w:val="24"/>
          <w:szCs w:val="24"/>
        </w:rPr>
        <w:t xml:space="preserve"> The p-value is associated with the t-value and measures the probability that the observed relationship between forensic accounting techniques and Litigation Services is due to random chance. A p-value of 0.383 is greater than the common significance level of 0.05, indicating that the relationship is not statistically significant.</w:t>
      </w:r>
      <w:r w:rsidR="00CA3C57" w:rsidRPr="00FB1DE8">
        <w:rPr>
          <w:rFonts w:ascii="Times New Roman" w:hAnsi="Times New Roman"/>
          <w:sz w:val="24"/>
          <w:szCs w:val="24"/>
        </w:rPr>
        <w:t xml:space="preserve"> </w:t>
      </w:r>
    </w:p>
    <w:p w14:paraId="08008120" w14:textId="77777777" w:rsidR="005E5B1C" w:rsidRDefault="005E5B1C" w:rsidP="005241CF">
      <w:pPr>
        <w:pStyle w:val="NoSpacing"/>
        <w:spacing w:line="360" w:lineRule="auto"/>
        <w:jc w:val="both"/>
        <w:rPr>
          <w:rFonts w:ascii="Times New Roman" w:hAnsi="Times New Roman"/>
          <w:b/>
          <w:bCs/>
          <w:sz w:val="24"/>
          <w:szCs w:val="24"/>
        </w:rPr>
      </w:pPr>
    </w:p>
    <w:p w14:paraId="4D9E74C6" w14:textId="77CCD47C" w:rsidR="005241CF" w:rsidRDefault="00CA3C57" w:rsidP="005241CF">
      <w:pPr>
        <w:pStyle w:val="NoSpacing"/>
        <w:spacing w:line="360" w:lineRule="auto"/>
        <w:jc w:val="both"/>
        <w:rPr>
          <w:rFonts w:ascii="Times New Roman" w:hAnsi="Times New Roman"/>
          <w:sz w:val="24"/>
          <w:szCs w:val="24"/>
        </w:rPr>
      </w:pPr>
      <w:r w:rsidRPr="00426978">
        <w:rPr>
          <w:rFonts w:ascii="Times New Roman" w:hAnsi="Times New Roman"/>
          <w:b/>
          <w:bCs/>
          <w:sz w:val="24"/>
          <w:szCs w:val="24"/>
        </w:rPr>
        <w:t>Decision Criteria:</w:t>
      </w:r>
      <w:r w:rsidRPr="00FB1DE8">
        <w:rPr>
          <w:rFonts w:ascii="Times New Roman" w:hAnsi="Times New Roman"/>
          <w:sz w:val="24"/>
          <w:szCs w:val="24"/>
        </w:rPr>
        <w:t xml:space="preserve"> </w:t>
      </w:r>
      <w:r w:rsidRPr="00426978">
        <w:rPr>
          <w:rFonts w:ascii="Times New Roman" w:hAnsi="Times New Roman"/>
          <w:sz w:val="24"/>
          <w:szCs w:val="24"/>
        </w:rPr>
        <w:t>If the p-value is less than the chosen significance level (commonly 0.05), you would typically reject the null hypothesis.</w:t>
      </w:r>
      <w:r w:rsidRPr="00FB1DE8">
        <w:rPr>
          <w:rFonts w:ascii="Times New Roman" w:hAnsi="Times New Roman"/>
          <w:sz w:val="24"/>
          <w:szCs w:val="24"/>
        </w:rPr>
        <w:t xml:space="preserve"> </w:t>
      </w:r>
      <w:r w:rsidRPr="00426978">
        <w:rPr>
          <w:rFonts w:ascii="Times New Roman" w:hAnsi="Times New Roman"/>
          <w:sz w:val="24"/>
          <w:szCs w:val="24"/>
        </w:rPr>
        <w:t>If the t-value is large in absolute terms, it suggests a significant result.</w:t>
      </w:r>
      <w:r w:rsidR="003A45D0">
        <w:rPr>
          <w:rFonts w:ascii="Times New Roman" w:hAnsi="Times New Roman"/>
          <w:sz w:val="24"/>
          <w:szCs w:val="24"/>
        </w:rPr>
        <w:t xml:space="preserve"> </w:t>
      </w:r>
      <w:r w:rsidRPr="00426978">
        <w:rPr>
          <w:rFonts w:ascii="Times New Roman" w:hAnsi="Times New Roman"/>
          <w:sz w:val="24"/>
          <w:szCs w:val="24"/>
        </w:rPr>
        <w:t>In this case</w:t>
      </w:r>
      <w:r w:rsidR="003A45D0">
        <w:rPr>
          <w:rFonts w:ascii="Times New Roman" w:hAnsi="Times New Roman"/>
          <w:sz w:val="24"/>
          <w:szCs w:val="24"/>
        </w:rPr>
        <w:t>, t</w:t>
      </w:r>
      <w:r w:rsidRPr="00426978">
        <w:rPr>
          <w:rFonts w:ascii="Times New Roman" w:hAnsi="Times New Roman"/>
          <w:sz w:val="24"/>
          <w:szCs w:val="24"/>
        </w:rPr>
        <w:t>he p-value of 0.383 is greater than 0.05, indicating that the relationship is not statistically significant.</w:t>
      </w:r>
      <w:r w:rsidRPr="00FB1DE8">
        <w:rPr>
          <w:rFonts w:ascii="Times New Roman" w:hAnsi="Times New Roman"/>
          <w:sz w:val="24"/>
          <w:szCs w:val="24"/>
        </w:rPr>
        <w:t xml:space="preserve"> </w:t>
      </w:r>
      <w:r w:rsidRPr="00426978">
        <w:rPr>
          <w:rFonts w:ascii="Times New Roman" w:hAnsi="Times New Roman"/>
          <w:sz w:val="24"/>
          <w:szCs w:val="24"/>
        </w:rPr>
        <w:t>The t-value of -0.873 is relatively small in absolute terms.</w:t>
      </w:r>
      <w:r w:rsidR="003A45D0">
        <w:rPr>
          <w:rFonts w:ascii="Times New Roman" w:hAnsi="Times New Roman"/>
          <w:sz w:val="24"/>
          <w:szCs w:val="24"/>
        </w:rPr>
        <w:t xml:space="preserve"> B</w:t>
      </w:r>
      <w:r w:rsidRPr="00426978">
        <w:rPr>
          <w:rFonts w:ascii="Times New Roman" w:hAnsi="Times New Roman"/>
          <w:sz w:val="24"/>
          <w:szCs w:val="24"/>
        </w:rPr>
        <w:t xml:space="preserve">ased on the provided results and the standard decision criteria, </w:t>
      </w:r>
      <w:r w:rsidRPr="00FB1DE8">
        <w:rPr>
          <w:rFonts w:ascii="Times New Roman" w:hAnsi="Times New Roman"/>
          <w:sz w:val="24"/>
          <w:szCs w:val="24"/>
        </w:rPr>
        <w:t xml:space="preserve">the study </w:t>
      </w:r>
      <w:r w:rsidRPr="00426978">
        <w:rPr>
          <w:rFonts w:ascii="Times New Roman" w:hAnsi="Times New Roman"/>
          <w:sz w:val="24"/>
          <w:szCs w:val="24"/>
        </w:rPr>
        <w:t>reject the null hypothesis. The evidence suggests that there is no statistically significant relationship between the use of forensic accounting techniques and Litigation Services. However, it's important to interpret this result with caution and consider potential implications or limitations of the study.</w:t>
      </w:r>
    </w:p>
    <w:p w14:paraId="442B07EF" w14:textId="77777777" w:rsidR="005241CF" w:rsidRDefault="005241CF" w:rsidP="005241CF">
      <w:pPr>
        <w:pStyle w:val="NoSpacing"/>
        <w:spacing w:line="360" w:lineRule="auto"/>
        <w:jc w:val="both"/>
        <w:rPr>
          <w:rFonts w:ascii="Times New Roman" w:hAnsi="Times New Roman"/>
          <w:sz w:val="24"/>
          <w:szCs w:val="24"/>
        </w:rPr>
      </w:pPr>
    </w:p>
    <w:p w14:paraId="1E834077" w14:textId="77777777" w:rsidR="005241CF" w:rsidRDefault="00AF2F1A" w:rsidP="005241CF">
      <w:pPr>
        <w:pStyle w:val="NoSpacing"/>
        <w:spacing w:line="360" w:lineRule="auto"/>
        <w:jc w:val="both"/>
        <w:rPr>
          <w:rFonts w:ascii="Times New Roman" w:hAnsi="Times New Roman"/>
          <w:sz w:val="24"/>
          <w:szCs w:val="24"/>
        </w:rPr>
      </w:pPr>
      <w:r>
        <w:rPr>
          <w:rFonts w:ascii="Times New Roman" w:eastAsia="DengXian" w:hAnsi="Times New Roman"/>
          <w:sz w:val="24"/>
          <w:szCs w:val="24"/>
        </w:rPr>
        <w:t>ADE=.193, t=13.262, p=.000</w:t>
      </w:r>
      <w:r w:rsidR="005B2858">
        <w:rPr>
          <w:rFonts w:ascii="Times New Roman" w:hAnsi="Times New Roman"/>
          <w:sz w:val="24"/>
          <w:szCs w:val="24"/>
        </w:rPr>
        <w:t xml:space="preserve">: </w:t>
      </w:r>
      <w:r w:rsidR="00B02460" w:rsidRPr="00426978">
        <w:rPr>
          <w:rFonts w:ascii="Times New Roman" w:hAnsi="Times New Roman"/>
          <w:sz w:val="24"/>
          <w:szCs w:val="24"/>
        </w:rPr>
        <w:t xml:space="preserve">The regression result suggests a statistically significant relationship between the use of forensic accounting techniques and Accounting and Digital Environment (ADE). </w:t>
      </w:r>
      <w:r w:rsidR="00B02460" w:rsidRPr="00426978">
        <w:rPr>
          <w:rFonts w:ascii="Times New Roman" w:hAnsi="Times New Roman"/>
          <w:b/>
          <w:bCs/>
          <w:sz w:val="24"/>
          <w:szCs w:val="24"/>
          <w:bdr w:val="single" w:sz="2" w:space="0" w:color="D9D9E3" w:frame="1"/>
        </w:rPr>
        <w:t>ADE = 0.193:</w:t>
      </w:r>
      <w:r w:rsidR="00B02460" w:rsidRPr="00426978">
        <w:rPr>
          <w:rFonts w:ascii="Times New Roman" w:hAnsi="Times New Roman"/>
          <w:sz w:val="24"/>
          <w:szCs w:val="24"/>
        </w:rPr>
        <w:t xml:space="preserve"> The coefficient of 0.193 represents the estimated effect of forensic accounting techniques on the Accounting and Digital Environment (ADE). Specifically, for each unit increase in the use of forensic accounting techniques, the Accounting and Digital Environment (ADE) increases by 0.193 units on average.</w:t>
      </w:r>
      <w:r w:rsidR="00B02460" w:rsidRPr="00FB1DE8">
        <w:rPr>
          <w:rFonts w:ascii="Times New Roman" w:hAnsi="Times New Roman"/>
          <w:sz w:val="24"/>
          <w:szCs w:val="24"/>
        </w:rPr>
        <w:t xml:space="preserve"> </w:t>
      </w:r>
      <w:r w:rsidR="00B02460" w:rsidRPr="00426978">
        <w:rPr>
          <w:rFonts w:ascii="Times New Roman" w:hAnsi="Times New Roman"/>
          <w:b/>
          <w:bCs/>
          <w:sz w:val="24"/>
          <w:szCs w:val="24"/>
          <w:bdr w:val="single" w:sz="2" w:space="0" w:color="D9D9E3" w:frame="1"/>
        </w:rPr>
        <w:t>t = 13.262:</w:t>
      </w:r>
      <w:r w:rsidR="00B02460" w:rsidRPr="00426978">
        <w:rPr>
          <w:rFonts w:ascii="Times New Roman" w:hAnsi="Times New Roman"/>
          <w:sz w:val="24"/>
          <w:szCs w:val="24"/>
        </w:rPr>
        <w:t xml:space="preserve"> The t-value measures how many standard errors the coefficient estimate is away from zero. In this case, the t-value is relatively large in absolute value, indicating a highly significant result.</w:t>
      </w:r>
      <w:r w:rsidR="00B02460" w:rsidRPr="00FB1DE8">
        <w:rPr>
          <w:rFonts w:ascii="Times New Roman" w:hAnsi="Times New Roman"/>
          <w:sz w:val="24"/>
          <w:szCs w:val="24"/>
        </w:rPr>
        <w:t xml:space="preserve"> </w:t>
      </w:r>
      <w:r w:rsidR="00B02460" w:rsidRPr="00426978">
        <w:rPr>
          <w:rFonts w:ascii="Times New Roman" w:hAnsi="Times New Roman"/>
          <w:b/>
          <w:bCs/>
          <w:sz w:val="24"/>
          <w:szCs w:val="24"/>
          <w:bdr w:val="single" w:sz="2" w:space="0" w:color="D9D9E3" w:frame="1"/>
        </w:rPr>
        <w:t>p = 0.000:</w:t>
      </w:r>
      <w:r w:rsidR="00B02460" w:rsidRPr="00426978">
        <w:rPr>
          <w:rFonts w:ascii="Times New Roman" w:hAnsi="Times New Roman"/>
          <w:sz w:val="24"/>
          <w:szCs w:val="24"/>
        </w:rPr>
        <w:t xml:space="preserve"> The p-value is associated with the t-value and measures the probability that the observed relationship between forensic accounting techniques and the Accounting and Digital Environment is due to random chance. A p-value of 0.000 is the lowest possible value and indicates an extremely high level of statistical significance.</w:t>
      </w:r>
      <w:r w:rsidR="00B02460" w:rsidRPr="00FB1DE8">
        <w:rPr>
          <w:rFonts w:ascii="Times New Roman" w:hAnsi="Times New Roman"/>
          <w:sz w:val="24"/>
          <w:szCs w:val="24"/>
        </w:rPr>
        <w:t xml:space="preserve"> </w:t>
      </w:r>
    </w:p>
    <w:p w14:paraId="2DE98F63" w14:textId="77777777" w:rsidR="005241CF" w:rsidRDefault="005241CF" w:rsidP="005241CF">
      <w:pPr>
        <w:pStyle w:val="NoSpacing"/>
        <w:spacing w:line="360" w:lineRule="auto"/>
        <w:jc w:val="both"/>
        <w:rPr>
          <w:rFonts w:ascii="Times New Roman" w:hAnsi="Times New Roman"/>
          <w:sz w:val="24"/>
          <w:szCs w:val="24"/>
        </w:rPr>
      </w:pPr>
    </w:p>
    <w:p w14:paraId="4BD74969" w14:textId="77777777" w:rsidR="005241CF" w:rsidRDefault="00B02460" w:rsidP="005241CF">
      <w:pPr>
        <w:pStyle w:val="NoSpacing"/>
        <w:spacing w:line="360" w:lineRule="auto"/>
        <w:jc w:val="both"/>
        <w:rPr>
          <w:rFonts w:ascii="Times New Roman" w:hAnsi="Times New Roman"/>
          <w:sz w:val="24"/>
          <w:szCs w:val="24"/>
        </w:rPr>
      </w:pPr>
      <w:r w:rsidRPr="00426978">
        <w:rPr>
          <w:rFonts w:ascii="Times New Roman" w:hAnsi="Times New Roman"/>
          <w:b/>
          <w:bCs/>
          <w:sz w:val="24"/>
          <w:szCs w:val="24"/>
        </w:rPr>
        <w:t>Decision Criteria</w:t>
      </w:r>
      <w:r w:rsidRPr="00426978">
        <w:rPr>
          <w:rFonts w:ascii="Times New Roman" w:hAnsi="Times New Roman"/>
          <w:sz w:val="24"/>
          <w:szCs w:val="24"/>
        </w:rPr>
        <w:t>:</w:t>
      </w:r>
      <w:r w:rsidRPr="00FB1DE8">
        <w:rPr>
          <w:rFonts w:ascii="Times New Roman" w:hAnsi="Times New Roman"/>
          <w:sz w:val="24"/>
          <w:szCs w:val="24"/>
        </w:rPr>
        <w:t xml:space="preserve"> </w:t>
      </w:r>
      <w:r w:rsidRPr="00426978">
        <w:rPr>
          <w:rFonts w:ascii="Times New Roman" w:hAnsi="Times New Roman"/>
          <w:sz w:val="24"/>
          <w:szCs w:val="24"/>
        </w:rPr>
        <w:t>If the p-value is less than the chosen significance level (commonly 0.05), you would typically reject the null hypothesis.</w:t>
      </w:r>
      <w:r w:rsidRPr="00FB1DE8">
        <w:rPr>
          <w:rFonts w:ascii="Times New Roman" w:hAnsi="Times New Roman"/>
          <w:sz w:val="24"/>
          <w:szCs w:val="24"/>
        </w:rPr>
        <w:t xml:space="preserve"> </w:t>
      </w:r>
      <w:r w:rsidRPr="00426978">
        <w:rPr>
          <w:rFonts w:ascii="Times New Roman" w:hAnsi="Times New Roman"/>
          <w:sz w:val="24"/>
          <w:szCs w:val="24"/>
        </w:rPr>
        <w:t>If the t-value is large in absolute terms, it suggests a significant result.</w:t>
      </w:r>
      <w:r w:rsidR="00C622D9">
        <w:rPr>
          <w:rFonts w:ascii="Times New Roman" w:hAnsi="Times New Roman"/>
          <w:sz w:val="24"/>
          <w:szCs w:val="24"/>
        </w:rPr>
        <w:t xml:space="preserve"> </w:t>
      </w:r>
      <w:r w:rsidRPr="00426978">
        <w:rPr>
          <w:rFonts w:ascii="Times New Roman" w:hAnsi="Times New Roman"/>
          <w:sz w:val="24"/>
          <w:szCs w:val="24"/>
        </w:rPr>
        <w:t>In this case</w:t>
      </w:r>
      <w:r w:rsidR="00C622D9">
        <w:rPr>
          <w:rFonts w:ascii="Times New Roman" w:hAnsi="Times New Roman"/>
          <w:sz w:val="24"/>
          <w:szCs w:val="24"/>
        </w:rPr>
        <w:t>, t</w:t>
      </w:r>
      <w:r w:rsidRPr="00426978">
        <w:rPr>
          <w:rFonts w:ascii="Times New Roman" w:hAnsi="Times New Roman"/>
          <w:sz w:val="24"/>
          <w:szCs w:val="24"/>
        </w:rPr>
        <w:t>he p-value of 0.000 is far less than 0.05, indicating an extremely high level of statistical significance.</w:t>
      </w:r>
      <w:r w:rsidRPr="00FB1DE8">
        <w:rPr>
          <w:rFonts w:ascii="Times New Roman" w:hAnsi="Times New Roman"/>
          <w:sz w:val="24"/>
          <w:szCs w:val="24"/>
        </w:rPr>
        <w:t xml:space="preserve"> </w:t>
      </w:r>
      <w:r w:rsidRPr="00426978">
        <w:rPr>
          <w:rFonts w:ascii="Times New Roman" w:hAnsi="Times New Roman"/>
          <w:sz w:val="24"/>
          <w:szCs w:val="24"/>
        </w:rPr>
        <w:t>The t-value of 13.262 is relatively large in absolute terms, confirming a highly significant result.</w:t>
      </w:r>
      <w:r w:rsidR="003A45D0">
        <w:rPr>
          <w:rFonts w:ascii="Times New Roman" w:hAnsi="Times New Roman"/>
          <w:sz w:val="24"/>
          <w:szCs w:val="24"/>
        </w:rPr>
        <w:t xml:space="preserve"> </w:t>
      </w:r>
      <w:r w:rsidRPr="00426978">
        <w:rPr>
          <w:rFonts w:ascii="Times New Roman" w:hAnsi="Times New Roman"/>
          <w:sz w:val="24"/>
          <w:szCs w:val="24"/>
        </w:rPr>
        <w:t>Therefore,</w:t>
      </w:r>
      <w:r w:rsidRPr="00FB1DE8">
        <w:rPr>
          <w:rFonts w:ascii="Times New Roman" w:hAnsi="Times New Roman"/>
          <w:sz w:val="24"/>
          <w:szCs w:val="24"/>
        </w:rPr>
        <w:t xml:space="preserve"> </w:t>
      </w:r>
      <w:r w:rsidR="00C622D9">
        <w:rPr>
          <w:rFonts w:ascii="Times New Roman" w:hAnsi="Times New Roman"/>
          <w:sz w:val="24"/>
          <w:szCs w:val="24"/>
        </w:rPr>
        <w:t xml:space="preserve">the study </w:t>
      </w:r>
      <w:r w:rsidRPr="00426978">
        <w:rPr>
          <w:rFonts w:ascii="Times New Roman" w:hAnsi="Times New Roman"/>
          <w:sz w:val="24"/>
          <w:szCs w:val="24"/>
        </w:rPr>
        <w:t>strongly reject the null hypothesis in favor of the alternative hypothesis. There is overwhelming evidence to suggest that there is a highly statistically significant positive relationship between the use of forensic accounting techniques and the Accounting and Digital Environment. In other words, as the use of forensic accounting techniques increases, the Accounting and Digital Environment tends to increase significantly.</w:t>
      </w:r>
    </w:p>
    <w:p w14:paraId="25F66EDA" w14:textId="77777777" w:rsidR="005241CF" w:rsidRDefault="005241CF" w:rsidP="005241CF">
      <w:pPr>
        <w:pStyle w:val="NoSpacing"/>
        <w:spacing w:line="360" w:lineRule="auto"/>
        <w:jc w:val="both"/>
        <w:rPr>
          <w:rFonts w:ascii="Times New Roman" w:hAnsi="Times New Roman"/>
          <w:sz w:val="24"/>
          <w:szCs w:val="24"/>
        </w:rPr>
      </w:pPr>
    </w:p>
    <w:p w14:paraId="34F00E90" w14:textId="0BC50521" w:rsidR="00D164D0" w:rsidRDefault="005D549B" w:rsidP="005241CF">
      <w:pPr>
        <w:pStyle w:val="NoSpacing"/>
        <w:spacing w:line="360" w:lineRule="auto"/>
        <w:jc w:val="both"/>
        <w:rPr>
          <w:rFonts w:ascii="Times New Roman" w:hAnsi="Times New Roman"/>
          <w:sz w:val="24"/>
          <w:szCs w:val="24"/>
        </w:rPr>
      </w:pPr>
      <w:r>
        <w:rPr>
          <w:rFonts w:ascii="Times New Roman" w:eastAsia="DengXian" w:hAnsi="Times New Roman"/>
          <w:sz w:val="24"/>
          <w:szCs w:val="24"/>
        </w:rPr>
        <w:t xml:space="preserve">SCCP=.064, </w:t>
      </w:r>
      <w:r w:rsidR="00182D8D">
        <w:rPr>
          <w:rFonts w:ascii="Times New Roman" w:eastAsia="DengXian" w:hAnsi="Times New Roman"/>
          <w:sz w:val="24"/>
          <w:szCs w:val="24"/>
        </w:rPr>
        <w:t>t=3.737, p=.000</w:t>
      </w:r>
      <w:r w:rsidR="00710DCC">
        <w:rPr>
          <w:rFonts w:ascii="Times New Roman" w:hAnsi="Times New Roman"/>
          <w:sz w:val="24"/>
          <w:szCs w:val="24"/>
        </w:rPr>
        <w:t xml:space="preserve">: </w:t>
      </w:r>
      <w:r w:rsidR="00B02460" w:rsidRPr="00426978">
        <w:rPr>
          <w:rFonts w:ascii="Times New Roman" w:hAnsi="Times New Roman"/>
          <w:b/>
          <w:bCs/>
          <w:sz w:val="24"/>
          <w:szCs w:val="24"/>
          <w:bdr w:val="single" w:sz="2" w:space="0" w:color="D9D9E3" w:frame="1"/>
        </w:rPr>
        <w:t>SCCP = 0.064:</w:t>
      </w:r>
      <w:r w:rsidR="00B02460" w:rsidRPr="00426978">
        <w:rPr>
          <w:rFonts w:ascii="Times New Roman" w:hAnsi="Times New Roman"/>
          <w:sz w:val="24"/>
          <w:szCs w:val="24"/>
        </w:rPr>
        <w:t xml:space="preserve"> The coefficient of 0.064 represents the estimated effect of forensic accounting techniques on Surprise Cash Count Practices (SCCP). Specifically, for each unit increase in the use of forensic accounting techniques, Surprise Cash Count Practices (SCCP) increases by 0.064 units on average.</w:t>
      </w:r>
      <w:r w:rsidR="00B02460" w:rsidRPr="00FB1DE8">
        <w:rPr>
          <w:rFonts w:ascii="Times New Roman" w:hAnsi="Times New Roman"/>
          <w:sz w:val="24"/>
          <w:szCs w:val="24"/>
        </w:rPr>
        <w:t xml:space="preserve"> </w:t>
      </w:r>
      <w:r w:rsidR="00B02460" w:rsidRPr="00426978">
        <w:rPr>
          <w:rFonts w:ascii="Times New Roman" w:hAnsi="Times New Roman"/>
          <w:b/>
          <w:bCs/>
          <w:sz w:val="24"/>
          <w:szCs w:val="24"/>
          <w:bdr w:val="single" w:sz="2" w:space="0" w:color="D9D9E3" w:frame="1"/>
        </w:rPr>
        <w:t>t = 3.737:</w:t>
      </w:r>
      <w:r w:rsidR="00B02460" w:rsidRPr="00426978">
        <w:rPr>
          <w:rFonts w:ascii="Times New Roman" w:hAnsi="Times New Roman"/>
          <w:sz w:val="24"/>
          <w:szCs w:val="24"/>
        </w:rPr>
        <w:t xml:space="preserve"> The t-value measures how many standard errors the coefficient estimate is away from zero. In this case, the t-value is relatively large in absolute value, indicating a statistically significant result.</w:t>
      </w:r>
      <w:r w:rsidR="00B02460" w:rsidRPr="00FB1DE8">
        <w:rPr>
          <w:rFonts w:ascii="Times New Roman" w:hAnsi="Times New Roman"/>
          <w:sz w:val="24"/>
          <w:szCs w:val="24"/>
        </w:rPr>
        <w:t xml:space="preserve"> </w:t>
      </w:r>
      <w:r w:rsidR="00B02460" w:rsidRPr="00426978">
        <w:rPr>
          <w:rFonts w:ascii="Times New Roman" w:hAnsi="Times New Roman"/>
          <w:b/>
          <w:bCs/>
          <w:sz w:val="24"/>
          <w:szCs w:val="24"/>
          <w:bdr w:val="single" w:sz="2" w:space="0" w:color="D9D9E3" w:frame="1"/>
        </w:rPr>
        <w:t>p = 0.000:</w:t>
      </w:r>
      <w:r w:rsidR="00B02460" w:rsidRPr="00426978">
        <w:rPr>
          <w:rFonts w:ascii="Times New Roman" w:hAnsi="Times New Roman"/>
          <w:sz w:val="24"/>
          <w:szCs w:val="24"/>
        </w:rPr>
        <w:t xml:space="preserve"> The p-value is associated with the t-value and measures the probability that the observed relationship between forensic accounting techniques and Surprise Cash Count Practices is due to random chance. A p-value of 0.000 is the lowest possible value and indicates an extremely high level of statistical significance.</w:t>
      </w:r>
    </w:p>
    <w:p w14:paraId="20627DD0" w14:textId="7D6DA057" w:rsidR="00664A56" w:rsidRDefault="00664A56" w:rsidP="005241CF">
      <w:pPr>
        <w:pStyle w:val="NoSpacing"/>
        <w:spacing w:line="360" w:lineRule="auto"/>
        <w:jc w:val="both"/>
        <w:rPr>
          <w:rFonts w:ascii="Times New Roman" w:hAnsi="Times New Roman"/>
          <w:sz w:val="24"/>
          <w:szCs w:val="24"/>
        </w:rPr>
      </w:pPr>
      <w:r w:rsidRPr="00664A56">
        <w:rPr>
          <w:rFonts w:ascii="Times New Roman" w:hAnsi="Times New Roman"/>
          <w:sz w:val="24"/>
          <w:szCs w:val="24"/>
        </w:rPr>
        <w:t>Adjusted R</w:t>
      </w:r>
      <w:r w:rsidRPr="00664A56">
        <w:rPr>
          <w:rFonts w:ascii="Times New Roman" w:hAnsi="Times New Roman"/>
          <w:sz w:val="24"/>
          <w:szCs w:val="24"/>
          <w:vertAlign w:val="superscript"/>
        </w:rPr>
        <w:t>2</w:t>
      </w:r>
      <w:r w:rsidRPr="00664A56">
        <w:rPr>
          <w:rFonts w:ascii="Times New Roman" w:hAnsi="Times New Roman"/>
          <w:sz w:val="24"/>
          <w:szCs w:val="24"/>
        </w:rPr>
        <w:t>=0.</w:t>
      </w:r>
      <w:r>
        <w:rPr>
          <w:rFonts w:ascii="Times New Roman" w:hAnsi="Times New Roman"/>
          <w:sz w:val="24"/>
          <w:szCs w:val="24"/>
        </w:rPr>
        <w:t>354</w:t>
      </w:r>
      <w:r w:rsidRPr="00664A56">
        <w:rPr>
          <w:rFonts w:ascii="Times New Roman" w:hAnsi="Times New Roman"/>
          <w:sz w:val="24"/>
          <w:szCs w:val="24"/>
        </w:rPr>
        <w:t xml:space="preserve"> shows that the composition of forensic accounting techniques in </w:t>
      </w:r>
      <w:r w:rsidR="00524D20">
        <w:rPr>
          <w:rFonts w:ascii="Times New Roman" w:hAnsi="Times New Roman"/>
          <w:sz w:val="24"/>
          <w:szCs w:val="24"/>
        </w:rPr>
        <w:t>procurement</w:t>
      </w:r>
      <w:r w:rsidRPr="00664A56">
        <w:rPr>
          <w:rFonts w:ascii="Times New Roman" w:hAnsi="Times New Roman"/>
          <w:sz w:val="24"/>
          <w:szCs w:val="24"/>
        </w:rPr>
        <w:t xml:space="preserve"> practices is </w:t>
      </w:r>
      <w:r>
        <w:rPr>
          <w:rFonts w:ascii="Times New Roman" w:hAnsi="Times New Roman"/>
          <w:sz w:val="24"/>
          <w:szCs w:val="24"/>
        </w:rPr>
        <w:t>35.4</w:t>
      </w:r>
      <w:r w:rsidRPr="00664A56">
        <w:rPr>
          <w:rFonts w:ascii="Times New Roman" w:hAnsi="Times New Roman"/>
          <w:sz w:val="24"/>
          <w:szCs w:val="24"/>
        </w:rPr>
        <w:t xml:space="preserve">%, while the balance of </w:t>
      </w:r>
      <w:r w:rsidR="00524D20">
        <w:rPr>
          <w:rFonts w:ascii="Times New Roman" w:hAnsi="Times New Roman"/>
          <w:sz w:val="24"/>
          <w:szCs w:val="24"/>
        </w:rPr>
        <w:t>64.6</w:t>
      </w:r>
      <w:r w:rsidRPr="00664A56">
        <w:rPr>
          <w:rFonts w:ascii="Times New Roman" w:hAnsi="Times New Roman"/>
          <w:sz w:val="24"/>
          <w:szCs w:val="24"/>
        </w:rPr>
        <w:t xml:space="preserve">% </w:t>
      </w:r>
      <w:r w:rsidR="00FC3D65">
        <w:rPr>
          <w:rFonts w:ascii="Times New Roman" w:hAnsi="Times New Roman"/>
          <w:sz w:val="24"/>
          <w:szCs w:val="24"/>
        </w:rPr>
        <w:t xml:space="preserve">show </w:t>
      </w:r>
      <w:r w:rsidR="00524D20">
        <w:rPr>
          <w:rFonts w:ascii="Times New Roman" w:hAnsi="Times New Roman"/>
          <w:sz w:val="24"/>
          <w:szCs w:val="24"/>
        </w:rPr>
        <w:t>other factors were</w:t>
      </w:r>
      <w:r w:rsidRPr="00664A56">
        <w:rPr>
          <w:rFonts w:ascii="Times New Roman" w:hAnsi="Times New Roman"/>
          <w:sz w:val="24"/>
          <w:szCs w:val="24"/>
        </w:rPr>
        <w:t xml:space="preserve"> not considered in this study.</w:t>
      </w:r>
      <w:r w:rsidR="00524D20">
        <w:rPr>
          <w:rFonts w:ascii="Times New Roman" w:hAnsi="Times New Roman"/>
          <w:sz w:val="24"/>
          <w:szCs w:val="24"/>
        </w:rPr>
        <w:t xml:space="preserve"> </w:t>
      </w:r>
    </w:p>
    <w:p w14:paraId="4F692176" w14:textId="77777777" w:rsidR="00D164D0" w:rsidRDefault="00D164D0" w:rsidP="005241CF">
      <w:pPr>
        <w:pStyle w:val="NoSpacing"/>
        <w:spacing w:line="360" w:lineRule="auto"/>
        <w:jc w:val="both"/>
        <w:rPr>
          <w:rFonts w:ascii="Times New Roman" w:hAnsi="Times New Roman"/>
          <w:sz w:val="24"/>
          <w:szCs w:val="24"/>
        </w:rPr>
      </w:pPr>
    </w:p>
    <w:p w14:paraId="1B67FE5D" w14:textId="50D43208" w:rsidR="005E5B1C" w:rsidRDefault="00B02460" w:rsidP="00D164D0">
      <w:pPr>
        <w:pStyle w:val="NoSpacing"/>
        <w:spacing w:line="360" w:lineRule="auto"/>
        <w:jc w:val="both"/>
        <w:rPr>
          <w:rFonts w:ascii="Times New Roman" w:hAnsi="Times New Roman"/>
          <w:sz w:val="24"/>
          <w:szCs w:val="24"/>
        </w:rPr>
      </w:pPr>
      <w:r w:rsidRPr="000B1524">
        <w:rPr>
          <w:rFonts w:ascii="Times New Roman" w:hAnsi="Times New Roman"/>
          <w:b/>
          <w:bCs/>
          <w:sz w:val="24"/>
          <w:szCs w:val="24"/>
        </w:rPr>
        <w:t>Decision Criteria:</w:t>
      </w:r>
      <w:r w:rsidRPr="000B1524">
        <w:rPr>
          <w:rFonts w:ascii="Times New Roman" w:hAnsi="Times New Roman"/>
          <w:sz w:val="24"/>
          <w:szCs w:val="24"/>
        </w:rPr>
        <w:t xml:space="preserve"> If the p-value is less than the chosen significance level (commonly 0.05), you would typically reject the null hypothesis. If the t-value is large in absolute terms, it suggests a significant result.</w:t>
      </w:r>
      <w:r w:rsidR="00495890" w:rsidRPr="000B1524">
        <w:rPr>
          <w:rFonts w:ascii="Times New Roman" w:hAnsi="Times New Roman"/>
          <w:sz w:val="24"/>
          <w:szCs w:val="24"/>
        </w:rPr>
        <w:t xml:space="preserve"> </w:t>
      </w:r>
      <w:r w:rsidRPr="000B1524">
        <w:rPr>
          <w:rFonts w:ascii="Times New Roman" w:hAnsi="Times New Roman"/>
          <w:sz w:val="24"/>
          <w:szCs w:val="24"/>
        </w:rPr>
        <w:t>In this case</w:t>
      </w:r>
      <w:r w:rsidR="00495890" w:rsidRPr="000B1524">
        <w:rPr>
          <w:rFonts w:ascii="Times New Roman" w:hAnsi="Times New Roman"/>
          <w:sz w:val="24"/>
          <w:szCs w:val="24"/>
        </w:rPr>
        <w:t>, t</w:t>
      </w:r>
      <w:r w:rsidRPr="000B1524">
        <w:rPr>
          <w:rFonts w:ascii="Times New Roman" w:hAnsi="Times New Roman"/>
          <w:sz w:val="24"/>
          <w:szCs w:val="24"/>
        </w:rPr>
        <w:t>he p-value of 0.000 is far less than 0.05, indicating an extremely high level of statistical significance. The t-value of 3.737 is relatively large in absolute terms, confirming a statistically significant result.</w:t>
      </w:r>
      <w:r w:rsidR="00495890" w:rsidRPr="000B1524">
        <w:rPr>
          <w:rFonts w:ascii="Times New Roman" w:hAnsi="Times New Roman"/>
          <w:sz w:val="24"/>
          <w:szCs w:val="24"/>
        </w:rPr>
        <w:t xml:space="preserve"> </w:t>
      </w:r>
      <w:r w:rsidRPr="000B1524">
        <w:rPr>
          <w:rFonts w:ascii="Times New Roman" w:hAnsi="Times New Roman"/>
          <w:sz w:val="24"/>
          <w:szCs w:val="24"/>
        </w:rPr>
        <w:t>Firmly reject the null hypothesis; compelling evidence indicates a significant positive link between forensic accounting techniques and increased Surprise Cash Count Practices. In essence, using more forensic accounting techniques is linked to a rise in Surprise Cash Count Practices.</w:t>
      </w:r>
    </w:p>
    <w:p w14:paraId="77905071" w14:textId="77777777" w:rsidR="00A40B08" w:rsidRPr="00D164D0" w:rsidRDefault="00A40B08" w:rsidP="00D164D0">
      <w:pPr>
        <w:pStyle w:val="NoSpacing"/>
        <w:spacing w:line="360" w:lineRule="auto"/>
        <w:jc w:val="both"/>
        <w:rPr>
          <w:rFonts w:ascii="Times New Roman" w:hAnsi="Times New Roman"/>
          <w:sz w:val="24"/>
          <w:szCs w:val="24"/>
        </w:rPr>
      </w:pPr>
    </w:p>
    <w:p w14:paraId="3ACC7F2E" w14:textId="001929D1" w:rsidR="00234521" w:rsidRPr="008B1465" w:rsidRDefault="00234521" w:rsidP="00600E1D">
      <w:pPr>
        <w:pStyle w:val="Heading2"/>
      </w:pPr>
      <w:bookmarkStart w:id="135" w:name="_Toc145951132"/>
      <w:r w:rsidRPr="008B1465">
        <w:t>Discussion of Findings</w:t>
      </w:r>
      <w:bookmarkEnd w:id="135"/>
    </w:p>
    <w:p w14:paraId="5237E30C" w14:textId="77777777" w:rsidR="00234521" w:rsidRPr="008B1465" w:rsidRDefault="00234521" w:rsidP="00600E1D">
      <w:pPr>
        <w:pStyle w:val="Heading3"/>
      </w:pPr>
      <w:bookmarkStart w:id="136" w:name="_Toc145951133"/>
      <w:r w:rsidRPr="008B1465">
        <w:t>Forensic Accounting Techniques and Fund Misappropriation</w:t>
      </w:r>
      <w:bookmarkEnd w:id="136"/>
    </w:p>
    <w:p w14:paraId="450E2D4F" w14:textId="0C103CCA" w:rsidR="00234521" w:rsidRPr="008B1465" w:rsidRDefault="00234521" w:rsidP="00234521">
      <w:pPr>
        <w:spacing w:after="0" w:line="360" w:lineRule="auto"/>
        <w:jc w:val="both"/>
        <w:rPr>
          <w:rFonts w:ascii="Times New Roman" w:hAnsi="Times New Roman"/>
          <w:sz w:val="24"/>
          <w:szCs w:val="24"/>
        </w:rPr>
      </w:pPr>
      <w:r w:rsidRPr="008B1465">
        <w:rPr>
          <w:rFonts w:ascii="Times New Roman" w:hAnsi="Times New Roman"/>
          <w:sz w:val="24"/>
          <w:szCs w:val="24"/>
        </w:rPr>
        <w:t>Table 4.1</w:t>
      </w:r>
      <w:r w:rsidR="005B68A6">
        <w:rPr>
          <w:rFonts w:ascii="Times New Roman" w:hAnsi="Times New Roman"/>
          <w:sz w:val="24"/>
          <w:szCs w:val="24"/>
        </w:rPr>
        <w:t>2</w:t>
      </w:r>
      <w:r w:rsidRPr="008B1465">
        <w:rPr>
          <w:rFonts w:ascii="Times New Roman" w:hAnsi="Times New Roman"/>
          <w:sz w:val="24"/>
          <w:szCs w:val="24"/>
        </w:rPr>
        <w:t xml:space="preserve"> shows the underlying forensic accounting techniques influencing fund misappropriation. These factors were, Investigation of Fraud (IF), Litigation Services (LS), Surprise Cash Counts Practices (SCCP), and Accounting and Digital Environment (ADE). Three of these factors show inverse relationship with fund misappropriation. This means that application of these techniques will reduce the incidence of fund misappropriation in the selected universities. In other words, when these techniques are applied, it can help detect and prevent fund misappropriation by identifying irregularities and inconsistencies in financial records or by tracing movement of funds and identify any unusual transactions or patterns of behaviour that may indicate wrongdoings. These findings </w:t>
      </w:r>
      <w:r w:rsidR="00457294" w:rsidRPr="008B1465">
        <w:rPr>
          <w:rFonts w:ascii="Times New Roman" w:hAnsi="Times New Roman"/>
          <w:sz w:val="24"/>
          <w:szCs w:val="24"/>
        </w:rPr>
        <w:t>are</w:t>
      </w:r>
      <w:r w:rsidRPr="008B1465">
        <w:rPr>
          <w:rFonts w:ascii="Times New Roman" w:hAnsi="Times New Roman"/>
          <w:sz w:val="24"/>
          <w:szCs w:val="24"/>
        </w:rPr>
        <w:t xml:space="preserve"> in line with (Milaham &amp; Milaham, 2020</w:t>
      </w:r>
      <w:r w:rsidR="0055036E">
        <w:rPr>
          <w:rFonts w:ascii="Times New Roman" w:hAnsi="Times New Roman"/>
          <w:sz w:val="24"/>
          <w:szCs w:val="24"/>
        </w:rPr>
        <w:t>;</w:t>
      </w:r>
      <w:r w:rsidRPr="008B1465">
        <w:rPr>
          <w:rFonts w:ascii="Times New Roman" w:hAnsi="Times New Roman"/>
          <w:sz w:val="24"/>
          <w:szCs w:val="24"/>
        </w:rPr>
        <w:t xml:space="preserve"> Okoye &amp; Ndah, 2019</w:t>
      </w:r>
      <w:r w:rsidR="0055036E">
        <w:rPr>
          <w:rFonts w:ascii="Times New Roman" w:hAnsi="Times New Roman"/>
          <w:sz w:val="24"/>
          <w:szCs w:val="24"/>
        </w:rPr>
        <w:t>;</w:t>
      </w:r>
      <w:r w:rsidRPr="008B1465">
        <w:rPr>
          <w:rFonts w:ascii="Times New Roman" w:hAnsi="Times New Roman"/>
          <w:sz w:val="24"/>
          <w:szCs w:val="24"/>
        </w:rPr>
        <w:t xml:space="preserve"> Gbegi &amp; Adebisi, 2014, Ololube 2016; Dada &amp; Jimoh 2020; Oyedokun &amp; Akinwunmi 2018; Adegbie </w:t>
      </w:r>
      <w:r w:rsidRPr="008B1465">
        <w:rPr>
          <w:rFonts w:ascii="Times New Roman" w:hAnsi="Times New Roman"/>
          <w:i/>
          <w:iCs/>
          <w:sz w:val="24"/>
          <w:szCs w:val="24"/>
        </w:rPr>
        <w:t>et al</w:t>
      </w:r>
      <w:r w:rsidRPr="008B1465">
        <w:rPr>
          <w:rFonts w:ascii="Times New Roman" w:hAnsi="Times New Roman"/>
          <w:sz w:val="24"/>
          <w:szCs w:val="24"/>
        </w:rPr>
        <w:t xml:space="preserve">., 2020). </w:t>
      </w:r>
    </w:p>
    <w:p w14:paraId="4BED0365" w14:textId="77777777" w:rsidR="00234521" w:rsidRPr="008B1465" w:rsidRDefault="00234521" w:rsidP="00234521">
      <w:pPr>
        <w:pStyle w:val="NormalWeb"/>
        <w:spacing w:before="0" w:beforeAutospacing="0" w:after="300" w:afterAutospacing="0" w:line="360" w:lineRule="auto"/>
        <w:jc w:val="both"/>
      </w:pPr>
      <w:r w:rsidRPr="008B1465">
        <w:t>Based on the given parameters, the relationship between forensic accounting techniques and fund misappropriation shows a significant association. The R-square value of 0.793 indicates that approximately 79.3% of the variance in the dependent variable (fund misappropriation) can be explained by the independent variables (forensic accounting techniques and other variables not mentioned in the given information). This suggests a relatively strong relationship between the variables. The F-statistic value of 348.985 with degrees of freedom (4, 359) indicates that the overall model, including all the independent variables, is statistically significant. This means that at least one of the independent variables has a significant impact on the dependent variable.</w:t>
      </w:r>
    </w:p>
    <w:p w14:paraId="5EA80F68" w14:textId="77777777" w:rsidR="00234521" w:rsidRPr="008B1465" w:rsidRDefault="00234521" w:rsidP="00234521">
      <w:pPr>
        <w:pStyle w:val="NormalWeb"/>
        <w:spacing w:before="0" w:beforeAutospacing="0" w:after="300" w:afterAutospacing="0" w:line="360" w:lineRule="auto"/>
        <w:jc w:val="both"/>
      </w:pPr>
      <w:r w:rsidRPr="008B1465">
        <w:t>The p-value of less than 0.05 suggests that at least one of the independent variables, including forensic accounting techniques, has a statistically significant effect on fund misappropriation. This indicates that forensic accounting techniques play a role in influencing the occurrence or extent of fund misappropriation. It is important to note that the interpretation of the results may be influenced by the presence of other variables not mentioned in the given information. These variables, known as control variables, could be included in the model to account for their effects on the dependent variable and to isolate the specific relationship between forensic accounting techniques and fund misappropriation. The analysis shows that forensic accounting techniques have a statistically significant relationship with fund misappropriation. However, further analysis would be needed to determine the specific direction and magnitude of this relationship, as well as to account for the influence of control variables.</w:t>
      </w:r>
    </w:p>
    <w:p w14:paraId="70640130" w14:textId="6A41D45A" w:rsidR="00234521" w:rsidRPr="008B1465" w:rsidRDefault="00F933ED" w:rsidP="00234521">
      <w:pPr>
        <w:pStyle w:val="Heading3"/>
      </w:pPr>
      <w:bookmarkStart w:id="137" w:name="_Toc145951134"/>
      <w:r>
        <w:t>Effect of</w:t>
      </w:r>
      <w:r w:rsidR="00234521" w:rsidRPr="008B1465">
        <w:t xml:space="preserve"> Forensic Accounting Techniques </w:t>
      </w:r>
      <w:r>
        <w:t>on</w:t>
      </w:r>
      <w:r w:rsidR="00234521" w:rsidRPr="008B1465">
        <w:t xml:space="preserve"> Value for Money Practices</w:t>
      </w:r>
      <w:bookmarkEnd w:id="137"/>
    </w:p>
    <w:p w14:paraId="426AA241" w14:textId="50226E48" w:rsidR="00234521" w:rsidRPr="008B1465" w:rsidRDefault="00234521" w:rsidP="00ED3857">
      <w:pPr>
        <w:spacing w:after="0" w:line="360" w:lineRule="auto"/>
        <w:jc w:val="both"/>
        <w:rPr>
          <w:rFonts w:ascii="Times New Roman" w:hAnsi="Times New Roman"/>
          <w:sz w:val="24"/>
          <w:szCs w:val="24"/>
        </w:rPr>
      </w:pPr>
      <w:r w:rsidRPr="008B1465">
        <w:rPr>
          <w:rFonts w:ascii="Times New Roman" w:hAnsi="Times New Roman"/>
          <w:sz w:val="24"/>
          <w:szCs w:val="24"/>
        </w:rPr>
        <w:t>Value for Money Practices is an important consideration in any organization’s financial management as it requires ensuring that the organisation is getting the best possible return on its investment. In this context, forensic accounting techniques can aid in achieving value for money practices by identifying any instances of waste, or abuse of resources. This linear group shows a positive linear relationship R = 0.776, F (4,359) = 135.998, P &lt; .05. In other words, as expenditure is incurred on forensic accounting techniques it will slow down wasteful resources and prevent and detect any untold financial practice</w:t>
      </w:r>
      <w:r w:rsidR="00F80878" w:rsidRPr="008B1465">
        <w:rPr>
          <w:rFonts w:ascii="Times New Roman" w:hAnsi="Times New Roman"/>
          <w:sz w:val="24"/>
          <w:szCs w:val="24"/>
        </w:rPr>
        <w:t>s</w:t>
      </w:r>
      <w:r w:rsidR="00C763C2" w:rsidRPr="008B1465">
        <w:rPr>
          <w:rFonts w:ascii="Times New Roman" w:hAnsi="Times New Roman"/>
          <w:sz w:val="24"/>
          <w:szCs w:val="24"/>
        </w:rPr>
        <w:t xml:space="preserve"> and</w:t>
      </w:r>
      <w:r w:rsidRPr="008B1465">
        <w:rPr>
          <w:rFonts w:ascii="Times New Roman" w:hAnsi="Times New Roman"/>
          <w:sz w:val="24"/>
          <w:szCs w:val="24"/>
        </w:rPr>
        <w:t xml:space="preserve"> the organisation will better off. </w:t>
      </w:r>
      <w:r w:rsidR="00C763C2" w:rsidRPr="008B1465">
        <w:rPr>
          <w:rFonts w:ascii="Times New Roman" w:hAnsi="Times New Roman"/>
          <w:sz w:val="24"/>
          <w:szCs w:val="24"/>
        </w:rPr>
        <w:t>However, t</w:t>
      </w:r>
      <w:r w:rsidRPr="008B1465">
        <w:rPr>
          <w:rFonts w:ascii="Times New Roman" w:hAnsi="Times New Roman"/>
          <w:sz w:val="24"/>
          <w:szCs w:val="24"/>
        </w:rPr>
        <w:t xml:space="preserve">he value of (R = 0.776) represents the correlation coefficient between the independent variables (forensic accounting techniques) and the dependent variable (Value for Money Practices). The value of 0.776 suggests a strong positive correlation between the two variables. F (4,359) = 135.998: This indicates the result of an analysis of variance (ANOVA) test. The test compares the variability between groups (forensic accounting techniques) to the variability within groups (Value for Money Practices). </w:t>
      </w:r>
      <w:bookmarkStart w:id="138" w:name="_Hlk136632174"/>
      <w:r w:rsidRPr="008B1465">
        <w:rPr>
          <w:rFonts w:ascii="Times New Roman" w:hAnsi="Times New Roman"/>
          <w:sz w:val="24"/>
          <w:szCs w:val="24"/>
        </w:rPr>
        <w:t xml:space="preserve">The calculated F-value of 135.998 suggests that there is a significant difference between the groups in terms of their effect on </w:t>
      </w:r>
      <w:r w:rsidR="00C473B1" w:rsidRPr="008B1465">
        <w:rPr>
          <w:rFonts w:ascii="Times New Roman" w:hAnsi="Times New Roman"/>
          <w:sz w:val="24"/>
          <w:szCs w:val="24"/>
        </w:rPr>
        <w:t>value for money practices</w:t>
      </w:r>
      <w:bookmarkEnd w:id="138"/>
      <w:r w:rsidR="00C473B1" w:rsidRPr="008B1465">
        <w:rPr>
          <w:rFonts w:ascii="Times New Roman" w:hAnsi="Times New Roman"/>
          <w:sz w:val="24"/>
          <w:szCs w:val="24"/>
        </w:rPr>
        <w:t xml:space="preserve">, </w:t>
      </w:r>
      <w:r w:rsidRPr="008B1465">
        <w:rPr>
          <w:rFonts w:ascii="Times New Roman" w:hAnsi="Times New Roman"/>
          <w:sz w:val="24"/>
          <w:szCs w:val="24"/>
        </w:rPr>
        <w:t>P &lt; .05 indicates the</w:t>
      </w:r>
      <w:r w:rsidR="007543B4" w:rsidRPr="008B1465">
        <w:rPr>
          <w:rFonts w:ascii="Times New Roman" w:hAnsi="Times New Roman"/>
          <w:sz w:val="24"/>
          <w:szCs w:val="24"/>
        </w:rPr>
        <w:t xml:space="preserve"> </w:t>
      </w:r>
      <w:r w:rsidRPr="008B1465">
        <w:rPr>
          <w:rFonts w:ascii="Times New Roman" w:hAnsi="Times New Roman"/>
          <w:sz w:val="24"/>
          <w:szCs w:val="24"/>
        </w:rPr>
        <w:t xml:space="preserve">statistical significance level. In this case, </w:t>
      </w:r>
      <w:bookmarkStart w:id="139" w:name="_Hlk136632209"/>
      <w:r w:rsidRPr="008B1465">
        <w:rPr>
          <w:rFonts w:ascii="Times New Roman" w:hAnsi="Times New Roman"/>
          <w:sz w:val="24"/>
          <w:szCs w:val="24"/>
        </w:rPr>
        <w:t xml:space="preserve">the p-value is less than 0.05, which suggests that the observed relationship between forensic accounting techniques and </w:t>
      </w:r>
      <w:r w:rsidR="00ED5D80" w:rsidRPr="008B1465">
        <w:rPr>
          <w:rFonts w:ascii="Times New Roman" w:hAnsi="Times New Roman"/>
          <w:sz w:val="24"/>
          <w:szCs w:val="24"/>
        </w:rPr>
        <w:t>v</w:t>
      </w:r>
      <w:r w:rsidRPr="008B1465">
        <w:rPr>
          <w:rFonts w:ascii="Times New Roman" w:hAnsi="Times New Roman"/>
          <w:sz w:val="24"/>
          <w:szCs w:val="24"/>
        </w:rPr>
        <w:t xml:space="preserve">alue for </w:t>
      </w:r>
      <w:r w:rsidR="007543B4" w:rsidRPr="008B1465">
        <w:rPr>
          <w:rFonts w:ascii="Times New Roman" w:hAnsi="Times New Roman"/>
          <w:sz w:val="24"/>
          <w:szCs w:val="24"/>
        </w:rPr>
        <w:t>m</w:t>
      </w:r>
      <w:r w:rsidRPr="008B1465">
        <w:rPr>
          <w:rFonts w:ascii="Times New Roman" w:hAnsi="Times New Roman"/>
          <w:sz w:val="24"/>
          <w:szCs w:val="24"/>
        </w:rPr>
        <w:t xml:space="preserve">oney </w:t>
      </w:r>
      <w:r w:rsidR="00ED5D80" w:rsidRPr="008B1465">
        <w:rPr>
          <w:rFonts w:ascii="Times New Roman" w:hAnsi="Times New Roman"/>
          <w:sz w:val="24"/>
          <w:szCs w:val="24"/>
        </w:rPr>
        <w:t>p</w:t>
      </w:r>
      <w:r w:rsidRPr="008B1465">
        <w:rPr>
          <w:rFonts w:ascii="Times New Roman" w:hAnsi="Times New Roman"/>
          <w:sz w:val="24"/>
          <w:szCs w:val="24"/>
        </w:rPr>
        <w:t>ractices is statistically significant. In other words, it is unlikely that the observed relationship is due to chance alone.</w:t>
      </w:r>
    </w:p>
    <w:bookmarkEnd w:id="139"/>
    <w:p w14:paraId="033CE278" w14:textId="4336D702" w:rsidR="00EF220D" w:rsidRPr="008B1465" w:rsidRDefault="00234521" w:rsidP="009F6492">
      <w:pPr>
        <w:pStyle w:val="NormalWeb"/>
        <w:spacing w:before="300" w:beforeAutospacing="0" w:after="300" w:afterAutospacing="0" w:line="360" w:lineRule="auto"/>
        <w:jc w:val="both"/>
      </w:pPr>
      <w:r w:rsidRPr="008B1465">
        <w:t xml:space="preserve">Based on these results, we can interpret the findings as follows: The </w:t>
      </w:r>
      <w:r w:rsidR="00672D41" w:rsidRPr="008B1465">
        <w:t>strong</w:t>
      </w:r>
      <w:r w:rsidRPr="008B1465">
        <w:t xml:space="preserve"> positive correlation coefficient (R = 0.776) indicates that there is a tendency for higher levels of forensic accounting techniques to be associated with higher levels of </w:t>
      </w:r>
      <w:r w:rsidR="00EF220D" w:rsidRPr="008B1465">
        <w:t>v</w:t>
      </w:r>
      <w:r w:rsidRPr="008B1465">
        <w:t xml:space="preserve">alue for </w:t>
      </w:r>
      <w:r w:rsidR="00EF220D" w:rsidRPr="008B1465">
        <w:t>m</w:t>
      </w:r>
      <w:r w:rsidRPr="008B1465">
        <w:t xml:space="preserve">oney </w:t>
      </w:r>
      <w:r w:rsidR="00EF220D" w:rsidRPr="008B1465">
        <w:t>p</w:t>
      </w:r>
      <w:r w:rsidRPr="008B1465">
        <w:t>ractices. However, it's important to note that correlation does not imply causation. It could be that some other factors or confounding variables are influencing both the use of forensic accounting techniques and the occurrence of Value for Money Practices.</w:t>
      </w:r>
      <w:r w:rsidR="00EF220D" w:rsidRPr="008B1465">
        <w:t xml:space="preserve"> </w:t>
      </w:r>
      <w:r w:rsidRPr="008B1465">
        <w:t>The ANOVA test (F (4,359) = 135.998) suggests that the different levels or types of forensic accounting techniques have a significant impact on Value for Money Practices.</w:t>
      </w:r>
      <w:r w:rsidR="00684E4C" w:rsidRPr="008B1465">
        <w:t xml:space="preserve"> </w:t>
      </w:r>
      <w:r w:rsidRPr="008B1465">
        <w:t xml:space="preserve">This indicates that at least one of the levels of forensic accounting techniques is associated with a significantly different level of </w:t>
      </w:r>
      <w:r w:rsidR="00EF220D" w:rsidRPr="008B1465">
        <w:t>v</w:t>
      </w:r>
      <w:r w:rsidRPr="008B1465">
        <w:t xml:space="preserve">alue for </w:t>
      </w:r>
      <w:r w:rsidR="00EF220D" w:rsidRPr="008B1465">
        <w:t>m</w:t>
      </w:r>
      <w:r w:rsidRPr="008B1465">
        <w:t xml:space="preserve">oney </w:t>
      </w:r>
      <w:r w:rsidR="00EF220D" w:rsidRPr="008B1465">
        <w:t>p</w:t>
      </w:r>
      <w:r w:rsidRPr="008B1465">
        <w:t>ractices compared to the others. However, the ANOVA test does not reveal which specific level(s) or type(s) of forensic accounting techniques are responsible for the observed difference.</w:t>
      </w:r>
      <w:r w:rsidR="00121F2A" w:rsidRPr="008B1465">
        <w:t xml:space="preserve"> </w:t>
      </w:r>
      <w:r w:rsidRPr="008B1465">
        <w:t xml:space="preserve">Since the p-value is less than 0.05 (P &lt; .05), we can conclude that the observed relationship between forensic accounting techniques and Value for Money Practices is statistically significant. This means that it is unlikely to have occurred by chance alone. </w:t>
      </w:r>
    </w:p>
    <w:p w14:paraId="74A44787" w14:textId="531FBA5A" w:rsidR="00234521" w:rsidRPr="008B1465" w:rsidRDefault="00234521" w:rsidP="009F6492">
      <w:pPr>
        <w:pStyle w:val="NormalWeb"/>
        <w:spacing w:before="300" w:beforeAutospacing="0" w:after="300" w:afterAutospacing="0" w:line="360" w:lineRule="auto"/>
        <w:jc w:val="both"/>
      </w:pPr>
      <w:r w:rsidRPr="008B1465">
        <w:t>However, it's important to consider that statistical significance does not necessarily imply practical significance or real-world importance. Further analysis and research would be needed to understand the practical implications of the relationship and the magnitude of its effect on Value for Money Practices.</w:t>
      </w:r>
      <w:r w:rsidR="009F6492" w:rsidRPr="008B1465">
        <w:t xml:space="preserve"> </w:t>
      </w:r>
      <w:r w:rsidRPr="008B1465">
        <w:t>These results suggest a moderate positive correlation between forensic accounting techniques and Value for Money Practices. The ANOVA test indicates that the different levels of forensic accounting techniques have a significant impact on Value for Money Practices. The statistical significance (P &lt; .05) suggests that the observed relationship between the variables is unlikely to be due to chance alone. However, it is crucial to consider other factors and conduct additional research to fully understand the nature and practical significance of this relationship.</w:t>
      </w:r>
    </w:p>
    <w:p w14:paraId="5D58F3E3" w14:textId="77777777" w:rsidR="00234521" w:rsidRPr="008B1465" w:rsidRDefault="00234521" w:rsidP="00234521">
      <w:pPr>
        <w:pStyle w:val="Heading3"/>
      </w:pPr>
      <w:bookmarkStart w:id="140" w:name="_Toc145951135"/>
      <w:r w:rsidRPr="008B1465">
        <w:t>Effect of Forensic Accounting Techniques on Creative Accounting Practices</w:t>
      </w:r>
      <w:bookmarkEnd w:id="140"/>
    </w:p>
    <w:p w14:paraId="38913065" w14:textId="6234B91D" w:rsidR="00234521" w:rsidRPr="008B1465" w:rsidRDefault="00234521" w:rsidP="00234521">
      <w:pPr>
        <w:spacing w:after="0" w:line="360" w:lineRule="auto"/>
        <w:jc w:val="both"/>
        <w:rPr>
          <w:rFonts w:ascii="Times New Roman" w:hAnsi="Times New Roman"/>
          <w:sz w:val="24"/>
          <w:szCs w:val="24"/>
        </w:rPr>
      </w:pPr>
      <w:r w:rsidRPr="008B1465">
        <w:rPr>
          <w:rFonts w:ascii="Times New Roman" w:hAnsi="Times New Roman"/>
          <w:sz w:val="24"/>
          <w:szCs w:val="24"/>
        </w:rPr>
        <w:t xml:space="preserve">Creative accounting practices may be referred to as accounting practices that are illegal and constitute financial fraud which can harm the long-term interests of a company by creating false impression of its financial health. Table 4.4 shows the effect of forensic accounting techniques on creative accounting practices. The table reveal further that out of the four forensic accounting techniques, three of them; Surprise Cash Count Practices, Investigation of Fraud and Litigation Services showed inverse relationship. </w:t>
      </w:r>
      <w:bookmarkStart w:id="141" w:name="_Hlk136631798"/>
      <w:r w:rsidRPr="008B1465">
        <w:rPr>
          <w:rFonts w:ascii="Times New Roman" w:hAnsi="Times New Roman"/>
          <w:sz w:val="24"/>
          <w:szCs w:val="24"/>
        </w:rPr>
        <w:t>The implication is that forensic accounting techniques can deter fraudulent behaviour and hold them accountable</w:t>
      </w:r>
      <w:bookmarkEnd w:id="141"/>
      <w:r w:rsidRPr="008B1465">
        <w:rPr>
          <w:rFonts w:ascii="Times New Roman" w:hAnsi="Times New Roman"/>
          <w:sz w:val="24"/>
          <w:szCs w:val="24"/>
        </w:rPr>
        <w:t xml:space="preserve">. Thus, more expenditures are incurred on forensic accounting techniques, individual are discouraged from manipulating financial records, by so doing, if forensic accounting techniques detect, prevent creative accounting practices.  These findings are in line with </w:t>
      </w:r>
      <w:r w:rsidR="00363FD8">
        <w:rPr>
          <w:rFonts w:ascii="Times New Roman" w:hAnsi="Times New Roman"/>
          <w:sz w:val="24"/>
          <w:szCs w:val="24"/>
        </w:rPr>
        <w:t>(</w:t>
      </w:r>
      <w:r w:rsidRPr="008B1465">
        <w:rPr>
          <w:rFonts w:ascii="Times New Roman" w:hAnsi="Times New Roman"/>
          <w:sz w:val="24"/>
          <w:szCs w:val="24"/>
        </w:rPr>
        <w:t>Moses</w:t>
      </w:r>
      <w:r w:rsidR="00363FD8">
        <w:rPr>
          <w:rFonts w:ascii="Times New Roman" w:hAnsi="Times New Roman"/>
          <w:sz w:val="24"/>
          <w:szCs w:val="24"/>
        </w:rPr>
        <w:t>,</w:t>
      </w:r>
      <w:r w:rsidRPr="008B1465">
        <w:rPr>
          <w:rFonts w:ascii="Times New Roman" w:hAnsi="Times New Roman"/>
          <w:sz w:val="24"/>
          <w:szCs w:val="24"/>
        </w:rPr>
        <w:t xml:space="preserve"> 2019) where he reported that forensic accounting techniques help in curbing falsification of accounting records. This study also supports findings of (Akpanuko </w:t>
      </w:r>
      <w:r w:rsidR="00363FD8">
        <w:rPr>
          <w:rFonts w:ascii="Times New Roman" w:hAnsi="Times New Roman"/>
          <w:sz w:val="24"/>
          <w:szCs w:val="24"/>
        </w:rPr>
        <w:t>&amp;</w:t>
      </w:r>
      <w:r w:rsidRPr="008B1465">
        <w:rPr>
          <w:rFonts w:ascii="Times New Roman" w:hAnsi="Times New Roman"/>
          <w:sz w:val="24"/>
          <w:szCs w:val="24"/>
        </w:rPr>
        <w:t xml:space="preserve"> Umoren, 2018) where the duo reported that forensic accounting records falsification. </w:t>
      </w:r>
    </w:p>
    <w:p w14:paraId="34FA5FDE" w14:textId="6A1BF393" w:rsidR="00234521" w:rsidRPr="008B1465" w:rsidRDefault="00234521" w:rsidP="00234521">
      <w:pPr>
        <w:spacing w:line="360" w:lineRule="auto"/>
        <w:jc w:val="both"/>
        <w:rPr>
          <w:rFonts w:ascii="Times New Roman" w:hAnsi="Times New Roman"/>
          <w:sz w:val="24"/>
          <w:szCs w:val="24"/>
        </w:rPr>
      </w:pPr>
      <w:r w:rsidRPr="008B1465">
        <w:rPr>
          <w:rFonts w:ascii="Times New Roman" w:hAnsi="Times New Roman"/>
          <w:sz w:val="24"/>
          <w:szCs w:val="24"/>
        </w:rPr>
        <w:t>The relationship between the two variables is indicated by the correlation coefficient, which is given as R square = 0.984. The correlation coefficient measures the strength and direction of the linear relationship between two variables, ranging from -1 to 1. In this case, the correlation coefficient of 0.984 suggests a strong positive relationship between forensic accounting techniques and creative accounting practices. This means that as the use of forensic accounting techniques increases, so does the occurrence of creative accounting practices. Furthermore, the F-statistic value is reported as F</w:t>
      </w:r>
      <w:r w:rsidR="009F6492" w:rsidRPr="008B1465">
        <w:rPr>
          <w:rFonts w:ascii="Times New Roman" w:hAnsi="Times New Roman"/>
          <w:sz w:val="24"/>
          <w:szCs w:val="24"/>
        </w:rPr>
        <w:t xml:space="preserve"> </w:t>
      </w:r>
      <w:r w:rsidRPr="008B1465">
        <w:rPr>
          <w:rFonts w:ascii="Times New Roman" w:hAnsi="Times New Roman"/>
          <w:sz w:val="24"/>
          <w:szCs w:val="24"/>
        </w:rPr>
        <w:t>(4, 359) = 5602.59. The F-statistic is used to determine whether the relationship between the independent variables (forensic accounting techniques) and the dependent variable (creative accounting practices) is statistically significant. In this case, the obtained F-value of 5602.59 indicates that the relationship between the variables is statistically significant.</w:t>
      </w:r>
    </w:p>
    <w:p w14:paraId="043CA4F0" w14:textId="77777777" w:rsidR="00234521" w:rsidRPr="008B1465" w:rsidRDefault="00234521" w:rsidP="00234521">
      <w:pPr>
        <w:spacing w:line="360" w:lineRule="auto"/>
        <w:jc w:val="both"/>
        <w:rPr>
          <w:rFonts w:ascii="Times New Roman" w:hAnsi="Times New Roman"/>
          <w:sz w:val="24"/>
          <w:szCs w:val="24"/>
        </w:rPr>
      </w:pPr>
      <w:r w:rsidRPr="008B1465">
        <w:rPr>
          <w:rFonts w:ascii="Times New Roman" w:hAnsi="Times New Roman"/>
          <w:sz w:val="24"/>
          <w:szCs w:val="24"/>
        </w:rPr>
        <w:t>The degrees of freedom for the F-statistic are provided as (4, 359), where the first value (4) represents the degrees of freedom for the numerator (the number of independent variables), and the second value (359) represents the degrees of freedom for the denominator (the total number of observations minus the number of independent variables). These values are used to calculate the p-value associated with the F-statistic. The p-value is given as p &lt; 0.05. The p-value is a measure of the statistical significance of the relationship. In this case, since the p-value is less than 0.05 (a commonly used threshold), we can conclude that the relationship between forensic accounting techniques and creative accounting practices is statistically significant. This means that the observed relationship is unlikely to have occurred by chance.</w:t>
      </w:r>
    </w:p>
    <w:p w14:paraId="25904423" w14:textId="77777777" w:rsidR="00234521" w:rsidRPr="008B1465" w:rsidRDefault="00234521" w:rsidP="00234521">
      <w:pPr>
        <w:spacing w:line="360" w:lineRule="auto"/>
        <w:jc w:val="both"/>
        <w:rPr>
          <w:rFonts w:ascii="Times New Roman" w:hAnsi="Times New Roman"/>
          <w:sz w:val="24"/>
          <w:szCs w:val="24"/>
        </w:rPr>
      </w:pPr>
      <w:r w:rsidRPr="008B1465">
        <w:rPr>
          <w:rFonts w:ascii="Times New Roman" w:hAnsi="Times New Roman"/>
          <w:sz w:val="24"/>
          <w:szCs w:val="24"/>
        </w:rPr>
        <w:t>In view of the forgoing, it can be said that there is a strong positive relationship between the use of forensic accounting techniques and the occurrence of creative accounting practices. Additionally, the statistical analysis confirms that this relationship is significant. However, it's important to note that this interpretation is based solely on the provided parameters, and without further context or details about the study design, variables, or data collection methods, it may be challenging to draw more specific conclusions or make broader generalizations</w:t>
      </w:r>
    </w:p>
    <w:p w14:paraId="2A92A7FE" w14:textId="36313128" w:rsidR="00234521" w:rsidRPr="008B1465" w:rsidRDefault="00F933ED" w:rsidP="00234521">
      <w:pPr>
        <w:pStyle w:val="Heading3"/>
      </w:pPr>
      <w:bookmarkStart w:id="142" w:name="_Toc145951136"/>
      <w:r>
        <w:t xml:space="preserve">Effect of </w:t>
      </w:r>
      <w:r w:rsidR="00234521" w:rsidRPr="008B1465">
        <w:t xml:space="preserve">Forensic Accounting Techniques </w:t>
      </w:r>
      <w:r>
        <w:t>on</w:t>
      </w:r>
      <w:r w:rsidR="00234521" w:rsidRPr="008B1465">
        <w:t xml:space="preserve"> Procurement Practices</w:t>
      </w:r>
      <w:bookmarkEnd w:id="142"/>
    </w:p>
    <w:p w14:paraId="50F397A5" w14:textId="77777777" w:rsidR="00ED3857" w:rsidRPr="008B1465" w:rsidRDefault="00234521" w:rsidP="00CA3ECC">
      <w:pPr>
        <w:spacing w:after="0" w:line="360" w:lineRule="auto"/>
        <w:jc w:val="both"/>
        <w:rPr>
          <w:rFonts w:ascii="Times New Roman" w:hAnsi="Times New Roman"/>
          <w:sz w:val="24"/>
          <w:szCs w:val="24"/>
        </w:rPr>
      </w:pPr>
      <w:r w:rsidRPr="008B1465">
        <w:rPr>
          <w:rFonts w:ascii="Times New Roman" w:hAnsi="Times New Roman"/>
          <w:sz w:val="24"/>
          <w:szCs w:val="24"/>
        </w:rPr>
        <w:t xml:space="preserve">Procurement practices refers to the activities, processes, and strategies involved in acquiring goods and services from external services to meet the need of an organisation. This is to ensure that, organisation obtains the best value for money when purchasing goods and services and at the same time, maintaining high levels of quantity, reliability, and ethical standard. Multiple linear regression was employed to determine, the linear relationship between forensic accounting techniques and procurement practices. </w:t>
      </w:r>
      <w:bookmarkStart w:id="143" w:name="_Hlk136632432"/>
      <w:r w:rsidRPr="008B1465">
        <w:rPr>
          <w:rFonts w:ascii="Times New Roman" w:hAnsi="Times New Roman"/>
          <w:sz w:val="24"/>
          <w:szCs w:val="24"/>
        </w:rPr>
        <w:t xml:space="preserve">The analysis shows that, forensic accounting techniques is positive and linearly related with procurement practices (R = .595, F (4,359) = 49.145; p&lt; .05). The implication of this linearity is that where money is expended on forensic accounting techniques, it will prevent over billings and other sharp practices in procurement processes. </w:t>
      </w:r>
    </w:p>
    <w:p w14:paraId="526B476C" w14:textId="2C0D7DEB" w:rsidR="00234521" w:rsidRPr="008B1465" w:rsidRDefault="00234521" w:rsidP="00CA3ECC">
      <w:pPr>
        <w:spacing w:after="0" w:line="360" w:lineRule="auto"/>
        <w:jc w:val="both"/>
        <w:rPr>
          <w:rFonts w:ascii="Times New Roman" w:hAnsi="Times New Roman"/>
          <w:sz w:val="24"/>
          <w:szCs w:val="24"/>
        </w:rPr>
      </w:pPr>
      <w:r w:rsidRPr="008B1465">
        <w:rPr>
          <w:rFonts w:ascii="Times New Roman" w:hAnsi="Times New Roman"/>
          <w:sz w:val="24"/>
          <w:szCs w:val="24"/>
        </w:rPr>
        <w:t>Consequently, organizational goal will be better off in terms of shareholders’ wealth.</w:t>
      </w:r>
      <w:bookmarkEnd w:id="143"/>
      <w:r w:rsidRPr="008B1465">
        <w:rPr>
          <w:rFonts w:ascii="Times New Roman" w:hAnsi="Times New Roman"/>
          <w:sz w:val="24"/>
          <w:szCs w:val="24"/>
        </w:rPr>
        <w:t xml:space="preserve"> Based on the parameters presented above, the relationship between forensic accounting techniques and procurement practices is statistically significant. Let's break down the interpretation of the results based on the given information:</w:t>
      </w:r>
      <w:r w:rsidR="00CA3ECC" w:rsidRPr="008B1465">
        <w:rPr>
          <w:rFonts w:ascii="Times New Roman" w:hAnsi="Times New Roman"/>
          <w:sz w:val="24"/>
          <w:szCs w:val="24"/>
        </w:rPr>
        <w:t xml:space="preserve"> </w:t>
      </w:r>
      <w:r w:rsidRPr="008B1465">
        <w:rPr>
          <w:rFonts w:ascii="Times New Roman" w:hAnsi="Times New Roman"/>
          <w:sz w:val="24"/>
          <w:szCs w:val="24"/>
        </w:rPr>
        <w:t xml:space="preserve">Parameter "relationship" (R = 0.595) represents the correlation coefficient between forensic accounting techniques and procurement practices. A correlation coefficient measures the strength and direction of the linear relationship between two variables. In this case, </w:t>
      </w:r>
      <w:bookmarkStart w:id="144" w:name="_Hlk136632612"/>
      <w:r w:rsidRPr="008B1465">
        <w:rPr>
          <w:rFonts w:ascii="Times New Roman" w:hAnsi="Times New Roman"/>
          <w:sz w:val="24"/>
          <w:szCs w:val="24"/>
        </w:rPr>
        <w:t>the correlation coefficient of 0.595 suggests a moderate positive correlation between forensic accounting techniques and procurement practices</w:t>
      </w:r>
      <w:bookmarkEnd w:id="144"/>
      <w:r w:rsidRPr="008B1465">
        <w:rPr>
          <w:rFonts w:ascii="Times New Roman" w:hAnsi="Times New Roman"/>
          <w:sz w:val="24"/>
          <w:szCs w:val="24"/>
        </w:rPr>
        <w:t xml:space="preserve">. The F-statistic (F (4, 359) = 49.145) is a statistical test used to determine whether there are significant differences between groups or variables. In this case, </w:t>
      </w:r>
      <w:bookmarkStart w:id="145" w:name="_Hlk136632642"/>
      <w:r w:rsidRPr="008B1465">
        <w:rPr>
          <w:rFonts w:ascii="Times New Roman" w:hAnsi="Times New Roman"/>
          <w:sz w:val="24"/>
          <w:szCs w:val="24"/>
        </w:rPr>
        <w:t>the F-statistic indicates that the relationship between forensic accounting techniques and procurement practices is significant. The numbers in parentheses represent the degrees of freedom, with 4 and 359 indicating the number of groups or variables involved in the analysis. The p-value (p &lt; 0.05) is a measure of the statistical significance of the relationship</w:t>
      </w:r>
      <w:bookmarkEnd w:id="145"/>
      <w:r w:rsidRPr="008B1465">
        <w:rPr>
          <w:rFonts w:ascii="Times New Roman" w:hAnsi="Times New Roman"/>
          <w:sz w:val="24"/>
          <w:szCs w:val="24"/>
        </w:rPr>
        <w:t>. It indicates the probability of obtaining a result as extreme as the observed one, assuming that there is no true relationship between the variables. In this case, the p-value being less than 0.05 suggests that the relationship between forensic accounting techniques and procurement practices is statistically significant at a 95% confidence level.</w:t>
      </w:r>
    </w:p>
    <w:p w14:paraId="789FE48E" w14:textId="77777777" w:rsidR="00234521" w:rsidRPr="008B1465" w:rsidRDefault="00234521" w:rsidP="00234521">
      <w:pPr>
        <w:pStyle w:val="NormalWeb"/>
        <w:spacing w:before="300" w:beforeAutospacing="0" w:after="300" w:afterAutospacing="0" w:line="360" w:lineRule="auto"/>
        <w:jc w:val="both"/>
        <w:rPr>
          <w:sz w:val="28"/>
          <w:szCs w:val="28"/>
        </w:rPr>
      </w:pPr>
      <w:r w:rsidRPr="008B1465">
        <w:t>The findings suggest that there is a moderate positive correlation between the use of forensic accounting techniques and procurement practices. This implies that when organizations employ more forensic accounting techniques, their procurement practices tend to improve. The significant relationship indicates that changes in the use of forensic accounting techniques are associated with changes in procurement practices. It is important to note that these findings are based on the provided statistical analysis, and the interpretation assumes that all relevant assumptions for the statistical tests have been met. Additionally, without further information on the nature of the variables, specific details on the strength or direction of the relationship, and the context of the study, it is challenging to provide a more detailed interpretation.</w:t>
      </w:r>
    </w:p>
    <w:p w14:paraId="5D358110" w14:textId="77777777" w:rsidR="00BC2B65" w:rsidRDefault="00BC2B65">
      <w:pPr>
        <w:spacing w:before="0" w:beforeAutospacing="0" w:after="0" w:line="240" w:lineRule="auto"/>
        <w:rPr>
          <w:rFonts w:ascii="Times New Roman" w:eastAsiaTheme="majorEastAsia" w:hAnsi="Times New Roman" w:cstheme="majorBidi"/>
          <w:b/>
          <w:sz w:val="24"/>
          <w:szCs w:val="32"/>
        </w:rPr>
      </w:pPr>
      <w:bookmarkStart w:id="146" w:name="_Toc145951137"/>
      <w:r>
        <w:br w:type="page"/>
      </w:r>
    </w:p>
    <w:p w14:paraId="720802C1" w14:textId="2ECF2E71" w:rsidR="002C15CD" w:rsidRPr="008B1465" w:rsidRDefault="002C15CD" w:rsidP="00A17E0F">
      <w:pPr>
        <w:pStyle w:val="Heading1"/>
        <w:spacing w:line="480" w:lineRule="auto"/>
      </w:pPr>
      <w:r w:rsidRPr="008B1465">
        <w:t>CHAPTER FIVE</w:t>
      </w:r>
      <w:bookmarkEnd w:id="146"/>
    </w:p>
    <w:p w14:paraId="385E892B" w14:textId="3F330AD7" w:rsidR="002C15CD" w:rsidRPr="008B1465" w:rsidRDefault="009274B4" w:rsidP="00A17E0F">
      <w:pPr>
        <w:pStyle w:val="Heading1"/>
        <w:numPr>
          <w:ilvl w:val="0"/>
          <w:numId w:val="0"/>
        </w:numPr>
        <w:spacing w:before="0" w:beforeAutospacing="0" w:line="480" w:lineRule="auto"/>
      </w:pPr>
      <w:r w:rsidRPr="008B1465">
        <w:t xml:space="preserve">                </w:t>
      </w:r>
      <w:bookmarkStart w:id="147" w:name="_Toc145951138"/>
      <w:r w:rsidR="009A756C">
        <w:t>SUMMARY,</w:t>
      </w:r>
      <w:r w:rsidR="009A756C" w:rsidRPr="008B1465">
        <w:t xml:space="preserve"> CONCLUSION</w:t>
      </w:r>
      <w:r w:rsidR="00AE6406">
        <w:t xml:space="preserve"> AND</w:t>
      </w:r>
      <w:r w:rsidR="002C15CD" w:rsidRPr="008B1465">
        <w:t xml:space="preserve"> RECOMMENDATIONS</w:t>
      </w:r>
      <w:r w:rsidRPr="008B1465">
        <w:rPr>
          <w:color w:val="FFFFFF" w:themeColor="background1"/>
        </w:rPr>
        <w:t>SIONS AND</w:t>
      </w:r>
      <w:bookmarkEnd w:id="147"/>
      <w:r w:rsidRPr="008B1465">
        <w:rPr>
          <w:color w:val="FFFFFF" w:themeColor="background1"/>
        </w:rPr>
        <w:t xml:space="preserve"> </w:t>
      </w:r>
    </w:p>
    <w:p w14:paraId="1364C7BF" w14:textId="066CAD9C" w:rsidR="002C15CD" w:rsidRPr="008B1465" w:rsidRDefault="001D585A" w:rsidP="00A17E0F">
      <w:pPr>
        <w:pStyle w:val="Heading2"/>
        <w:spacing w:line="360" w:lineRule="auto"/>
        <w:ind w:left="720" w:hanging="720"/>
      </w:pPr>
      <w:bookmarkStart w:id="148" w:name="_Toc145951139"/>
      <w:r w:rsidRPr="008B1465">
        <w:t>Summary</w:t>
      </w:r>
      <w:bookmarkEnd w:id="148"/>
      <w:r w:rsidRPr="008B1465">
        <w:t xml:space="preserve"> </w:t>
      </w:r>
    </w:p>
    <w:p w14:paraId="36724C8F" w14:textId="2FAF6756" w:rsidR="005225AA" w:rsidRPr="008B1465" w:rsidRDefault="001D585A" w:rsidP="00A17E0F">
      <w:pPr>
        <w:pStyle w:val="Heading3"/>
        <w:spacing w:line="360" w:lineRule="auto"/>
      </w:pPr>
      <w:bookmarkStart w:id="149" w:name="_Toc145951140"/>
      <w:r w:rsidRPr="008B1465">
        <w:t>Summary of the Study</w:t>
      </w:r>
      <w:bookmarkEnd w:id="149"/>
    </w:p>
    <w:p w14:paraId="1C4FB817" w14:textId="678822DF" w:rsidR="002C15CD" w:rsidRPr="008B1465" w:rsidRDefault="002C15CD" w:rsidP="002C15CD">
      <w:pPr>
        <w:spacing w:after="100" w:afterAutospacing="1" w:line="360" w:lineRule="auto"/>
        <w:jc w:val="both"/>
        <w:rPr>
          <w:rFonts w:ascii="Times New Roman" w:hAnsi="Times New Roman"/>
          <w:sz w:val="24"/>
          <w:szCs w:val="24"/>
        </w:rPr>
      </w:pPr>
      <w:r w:rsidRPr="008B1465">
        <w:rPr>
          <w:rFonts w:ascii="Times New Roman" w:hAnsi="Times New Roman"/>
          <w:sz w:val="24"/>
          <w:szCs w:val="24"/>
        </w:rPr>
        <w:t xml:space="preserve">Chapter one </w:t>
      </w:r>
      <w:r w:rsidR="006E181B" w:rsidRPr="008B1465">
        <w:rPr>
          <w:rFonts w:ascii="Times New Roman" w:hAnsi="Times New Roman"/>
          <w:sz w:val="24"/>
          <w:szCs w:val="24"/>
        </w:rPr>
        <w:t>gave</w:t>
      </w:r>
      <w:r w:rsidRPr="008B1465">
        <w:rPr>
          <w:rFonts w:ascii="Times New Roman" w:hAnsi="Times New Roman"/>
          <w:sz w:val="24"/>
          <w:szCs w:val="24"/>
        </w:rPr>
        <w:t xml:space="preserve"> background to the study </w:t>
      </w:r>
      <w:r w:rsidR="006E181B" w:rsidRPr="008B1465">
        <w:rPr>
          <w:rFonts w:ascii="Times New Roman" w:hAnsi="Times New Roman"/>
          <w:sz w:val="24"/>
          <w:szCs w:val="24"/>
        </w:rPr>
        <w:t>and</w:t>
      </w:r>
      <w:r w:rsidRPr="008B1465">
        <w:rPr>
          <w:rFonts w:ascii="Times New Roman" w:hAnsi="Times New Roman"/>
          <w:sz w:val="24"/>
          <w:szCs w:val="24"/>
        </w:rPr>
        <w:t xml:space="preserve"> provid</w:t>
      </w:r>
      <w:r w:rsidR="006E181B" w:rsidRPr="008B1465">
        <w:rPr>
          <w:rFonts w:ascii="Times New Roman" w:hAnsi="Times New Roman"/>
          <w:sz w:val="24"/>
          <w:szCs w:val="24"/>
        </w:rPr>
        <w:t>ed</w:t>
      </w:r>
      <w:r w:rsidRPr="008B1465">
        <w:rPr>
          <w:rFonts w:ascii="Times New Roman" w:hAnsi="Times New Roman"/>
          <w:sz w:val="24"/>
          <w:szCs w:val="24"/>
        </w:rPr>
        <w:t xml:space="preserve"> an overview of the context and relevant information that led to the research. The </w:t>
      </w:r>
      <w:r w:rsidR="008D47E3" w:rsidRPr="008B1465">
        <w:rPr>
          <w:rFonts w:ascii="Times New Roman" w:hAnsi="Times New Roman"/>
          <w:sz w:val="24"/>
          <w:szCs w:val="24"/>
        </w:rPr>
        <w:t>study</w:t>
      </w:r>
      <w:r w:rsidRPr="008B1465">
        <w:rPr>
          <w:rFonts w:ascii="Times New Roman" w:hAnsi="Times New Roman"/>
          <w:sz w:val="24"/>
          <w:szCs w:val="24"/>
        </w:rPr>
        <w:t xml:space="preserve"> discusse</w:t>
      </w:r>
      <w:r w:rsidR="008D47E3" w:rsidRPr="008B1465">
        <w:rPr>
          <w:rFonts w:ascii="Times New Roman" w:hAnsi="Times New Roman"/>
          <w:sz w:val="24"/>
          <w:szCs w:val="24"/>
        </w:rPr>
        <w:t>d</w:t>
      </w:r>
      <w:r w:rsidRPr="008B1465">
        <w:rPr>
          <w:rFonts w:ascii="Times New Roman" w:hAnsi="Times New Roman"/>
          <w:sz w:val="24"/>
          <w:szCs w:val="24"/>
        </w:rPr>
        <w:t xml:space="preserve"> the existing knowledge and gaps in the field, highlighting the need for further investigation. The statement of the problem outline</w:t>
      </w:r>
      <w:r w:rsidR="007641F0" w:rsidRPr="008B1465">
        <w:rPr>
          <w:rFonts w:ascii="Times New Roman" w:hAnsi="Times New Roman"/>
          <w:sz w:val="24"/>
          <w:szCs w:val="24"/>
        </w:rPr>
        <w:t>d</w:t>
      </w:r>
      <w:r w:rsidRPr="008B1465">
        <w:rPr>
          <w:rFonts w:ascii="Times New Roman" w:hAnsi="Times New Roman"/>
          <w:sz w:val="24"/>
          <w:szCs w:val="24"/>
        </w:rPr>
        <w:t xml:space="preserve"> the specific issue</w:t>
      </w:r>
      <w:r w:rsidR="007641F0" w:rsidRPr="008B1465">
        <w:rPr>
          <w:rFonts w:ascii="Times New Roman" w:hAnsi="Times New Roman"/>
          <w:sz w:val="24"/>
          <w:szCs w:val="24"/>
        </w:rPr>
        <w:t>s</w:t>
      </w:r>
      <w:r w:rsidRPr="008B1465">
        <w:rPr>
          <w:rFonts w:ascii="Times New Roman" w:hAnsi="Times New Roman"/>
          <w:sz w:val="24"/>
          <w:szCs w:val="24"/>
        </w:rPr>
        <w:t xml:space="preserve"> that the research aim</w:t>
      </w:r>
      <w:r w:rsidR="00E3383C" w:rsidRPr="008B1465">
        <w:rPr>
          <w:rFonts w:ascii="Times New Roman" w:hAnsi="Times New Roman"/>
          <w:sz w:val="24"/>
          <w:szCs w:val="24"/>
        </w:rPr>
        <w:t>ed</w:t>
      </w:r>
      <w:r w:rsidRPr="008B1465">
        <w:rPr>
          <w:rFonts w:ascii="Times New Roman" w:hAnsi="Times New Roman"/>
          <w:sz w:val="24"/>
          <w:szCs w:val="24"/>
        </w:rPr>
        <w:t xml:space="preserve"> to address. It identifie</w:t>
      </w:r>
      <w:r w:rsidR="005D1E4B" w:rsidRPr="008B1465">
        <w:rPr>
          <w:rFonts w:ascii="Times New Roman" w:hAnsi="Times New Roman"/>
          <w:sz w:val="24"/>
          <w:szCs w:val="24"/>
        </w:rPr>
        <w:t>d</w:t>
      </w:r>
      <w:r w:rsidRPr="008B1465">
        <w:rPr>
          <w:rFonts w:ascii="Times New Roman" w:hAnsi="Times New Roman"/>
          <w:sz w:val="24"/>
          <w:szCs w:val="24"/>
        </w:rPr>
        <w:t xml:space="preserve"> the gap in knowledge </w:t>
      </w:r>
      <w:r w:rsidR="005D1E4B" w:rsidRPr="008B1465">
        <w:rPr>
          <w:rFonts w:ascii="Times New Roman" w:hAnsi="Times New Roman"/>
          <w:sz w:val="24"/>
          <w:szCs w:val="24"/>
        </w:rPr>
        <w:t>and</w:t>
      </w:r>
      <w:r w:rsidRPr="008B1465">
        <w:rPr>
          <w:rFonts w:ascii="Times New Roman" w:hAnsi="Times New Roman"/>
          <w:sz w:val="24"/>
          <w:szCs w:val="24"/>
        </w:rPr>
        <w:t xml:space="preserve"> practical challenge that necessitate</w:t>
      </w:r>
      <w:r w:rsidR="00D7605E" w:rsidRPr="008B1465">
        <w:rPr>
          <w:rFonts w:ascii="Times New Roman" w:hAnsi="Times New Roman"/>
          <w:sz w:val="24"/>
          <w:szCs w:val="24"/>
        </w:rPr>
        <w:t>d</w:t>
      </w:r>
      <w:r w:rsidRPr="008B1465">
        <w:rPr>
          <w:rFonts w:ascii="Times New Roman" w:hAnsi="Times New Roman"/>
          <w:sz w:val="24"/>
          <w:szCs w:val="24"/>
        </w:rPr>
        <w:t xml:space="preserve"> conducting the study. The </w:t>
      </w:r>
      <w:r w:rsidR="00CE4098" w:rsidRPr="008B1465">
        <w:rPr>
          <w:rFonts w:ascii="Times New Roman" w:hAnsi="Times New Roman"/>
          <w:sz w:val="24"/>
          <w:szCs w:val="24"/>
        </w:rPr>
        <w:t>study</w:t>
      </w:r>
      <w:r w:rsidRPr="008B1465">
        <w:rPr>
          <w:rFonts w:ascii="Times New Roman" w:hAnsi="Times New Roman"/>
          <w:sz w:val="24"/>
          <w:szCs w:val="24"/>
        </w:rPr>
        <w:t xml:space="preserve"> present</w:t>
      </w:r>
      <w:r w:rsidR="00CE4098" w:rsidRPr="008B1465">
        <w:rPr>
          <w:rFonts w:ascii="Times New Roman" w:hAnsi="Times New Roman"/>
          <w:sz w:val="24"/>
          <w:szCs w:val="24"/>
        </w:rPr>
        <w:t>ed</w:t>
      </w:r>
      <w:r w:rsidRPr="008B1465">
        <w:rPr>
          <w:rFonts w:ascii="Times New Roman" w:hAnsi="Times New Roman"/>
          <w:sz w:val="24"/>
          <w:szCs w:val="24"/>
        </w:rPr>
        <w:t xml:space="preserve"> a clear and concise statement, highlighting the significance of addressing the problem. This </w:t>
      </w:r>
      <w:r w:rsidR="00B05154" w:rsidRPr="008B1465">
        <w:rPr>
          <w:rFonts w:ascii="Times New Roman" w:hAnsi="Times New Roman"/>
          <w:sz w:val="24"/>
          <w:szCs w:val="24"/>
        </w:rPr>
        <w:t>chapter</w:t>
      </w:r>
      <w:r w:rsidRPr="008B1465">
        <w:rPr>
          <w:rFonts w:ascii="Times New Roman" w:hAnsi="Times New Roman"/>
          <w:sz w:val="24"/>
          <w:szCs w:val="24"/>
        </w:rPr>
        <w:t xml:space="preserve"> outline</w:t>
      </w:r>
      <w:r w:rsidR="00CE4098" w:rsidRPr="008B1465">
        <w:rPr>
          <w:rFonts w:ascii="Times New Roman" w:hAnsi="Times New Roman"/>
          <w:sz w:val="24"/>
          <w:szCs w:val="24"/>
        </w:rPr>
        <w:t>d</w:t>
      </w:r>
      <w:r w:rsidRPr="008B1465">
        <w:rPr>
          <w:rFonts w:ascii="Times New Roman" w:hAnsi="Times New Roman"/>
          <w:sz w:val="24"/>
          <w:szCs w:val="24"/>
        </w:rPr>
        <w:t xml:space="preserve"> </w:t>
      </w:r>
      <w:r w:rsidR="00B05154" w:rsidRPr="008B1465">
        <w:rPr>
          <w:rFonts w:ascii="Times New Roman" w:hAnsi="Times New Roman"/>
          <w:sz w:val="24"/>
          <w:szCs w:val="24"/>
        </w:rPr>
        <w:t>the</w:t>
      </w:r>
      <w:r w:rsidRPr="008B1465">
        <w:rPr>
          <w:rFonts w:ascii="Times New Roman" w:hAnsi="Times New Roman"/>
          <w:sz w:val="24"/>
          <w:szCs w:val="24"/>
        </w:rPr>
        <w:t xml:space="preserve"> purpose of the research. The research objective states what the researcher intends to achieve through the study. It provide</w:t>
      </w:r>
      <w:r w:rsidR="00B05154" w:rsidRPr="008B1465">
        <w:rPr>
          <w:rFonts w:ascii="Times New Roman" w:hAnsi="Times New Roman"/>
          <w:sz w:val="24"/>
          <w:szCs w:val="24"/>
        </w:rPr>
        <w:t>d</w:t>
      </w:r>
      <w:r w:rsidRPr="008B1465">
        <w:rPr>
          <w:rFonts w:ascii="Times New Roman" w:hAnsi="Times New Roman"/>
          <w:sz w:val="24"/>
          <w:szCs w:val="24"/>
        </w:rPr>
        <w:t xml:space="preserve"> a clear direction for the research and serve</w:t>
      </w:r>
      <w:r w:rsidR="005225AA" w:rsidRPr="008B1465">
        <w:rPr>
          <w:rFonts w:ascii="Times New Roman" w:hAnsi="Times New Roman"/>
          <w:sz w:val="24"/>
          <w:szCs w:val="24"/>
        </w:rPr>
        <w:t>d</w:t>
      </w:r>
      <w:r w:rsidRPr="008B1465">
        <w:rPr>
          <w:rFonts w:ascii="Times New Roman" w:hAnsi="Times New Roman"/>
          <w:sz w:val="24"/>
          <w:szCs w:val="24"/>
        </w:rPr>
        <w:t xml:space="preserve"> as a guiding principle for the subsequent chapters.</w:t>
      </w:r>
    </w:p>
    <w:p w14:paraId="39560BB2" w14:textId="282B69B5" w:rsidR="002C15CD" w:rsidRPr="008B1465" w:rsidRDefault="002C15CD" w:rsidP="002C15CD">
      <w:pPr>
        <w:spacing w:after="100" w:afterAutospacing="1" w:line="360" w:lineRule="auto"/>
        <w:jc w:val="both"/>
        <w:rPr>
          <w:rFonts w:ascii="Times New Roman" w:hAnsi="Times New Roman"/>
          <w:sz w:val="24"/>
          <w:szCs w:val="24"/>
        </w:rPr>
      </w:pPr>
      <w:r w:rsidRPr="008B1465">
        <w:rPr>
          <w:rFonts w:ascii="Times New Roman" w:hAnsi="Times New Roman"/>
          <w:sz w:val="24"/>
          <w:szCs w:val="24"/>
        </w:rPr>
        <w:t>The research questions are specific inquiries that the study s</w:t>
      </w:r>
      <w:r w:rsidR="003B29AB" w:rsidRPr="008B1465">
        <w:rPr>
          <w:rFonts w:ascii="Times New Roman" w:hAnsi="Times New Roman"/>
          <w:sz w:val="24"/>
          <w:szCs w:val="24"/>
        </w:rPr>
        <w:t>ought</w:t>
      </w:r>
      <w:r w:rsidRPr="008B1465">
        <w:rPr>
          <w:rFonts w:ascii="Times New Roman" w:hAnsi="Times New Roman"/>
          <w:sz w:val="24"/>
          <w:szCs w:val="24"/>
        </w:rPr>
        <w:t xml:space="preserve"> to answer. These questions </w:t>
      </w:r>
      <w:r w:rsidR="00D90ACA" w:rsidRPr="008B1465">
        <w:rPr>
          <w:rFonts w:ascii="Times New Roman" w:hAnsi="Times New Roman"/>
          <w:sz w:val="24"/>
          <w:szCs w:val="24"/>
        </w:rPr>
        <w:t>were</w:t>
      </w:r>
      <w:r w:rsidRPr="008B1465">
        <w:rPr>
          <w:rFonts w:ascii="Times New Roman" w:hAnsi="Times New Roman"/>
          <w:sz w:val="24"/>
          <w:szCs w:val="24"/>
        </w:rPr>
        <w:t xml:space="preserve"> formulated based on the problem statement and research objective. They serve as a framework for data collection and analysis, guiding the researcher's investigation and exploration of the topic. The researcher </w:t>
      </w:r>
      <w:r w:rsidR="00D90ACA" w:rsidRPr="008B1465">
        <w:rPr>
          <w:rFonts w:ascii="Times New Roman" w:hAnsi="Times New Roman"/>
          <w:sz w:val="24"/>
          <w:szCs w:val="24"/>
        </w:rPr>
        <w:t>presented</w:t>
      </w:r>
      <w:r w:rsidRPr="008B1465">
        <w:rPr>
          <w:rFonts w:ascii="Times New Roman" w:hAnsi="Times New Roman"/>
          <w:sz w:val="24"/>
          <w:szCs w:val="24"/>
        </w:rPr>
        <w:t xml:space="preserve"> the research hypotheses. </w:t>
      </w:r>
      <w:r w:rsidR="00D90ACA" w:rsidRPr="008B1465">
        <w:rPr>
          <w:rFonts w:ascii="Times New Roman" w:hAnsi="Times New Roman"/>
          <w:sz w:val="24"/>
          <w:szCs w:val="24"/>
        </w:rPr>
        <w:t>Hypotheses are</w:t>
      </w:r>
      <w:r w:rsidRPr="008B1465">
        <w:rPr>
          <w:rFonts w:ascii="Times New Roman" w:hAnsi="Times New Roman"/>
          <w:sz w:val="24"/>
          <w:szCs w:val="24"/>
        </w:rPr>
        <w:t xml:space="preserve"> tentative statements that propose a relationship or difference between variables. They </w:t>
      </w:r>
      <w:r w:rsidR="000419F4" w:rsidRPr="008B1465">
        <w:rPr>
          <w:rFonts w:ascii="Times New Roman" w:hAnsi="Times New Roman"/>
          <w:sz w:val="24"/>
          <w:szCs w:val="24"/>
        </w:rPr>
        <w:t>were</w:t>
      </w:r>
      <w:r w:rsidRPr="008B1465">
        <w:rPr>
          <w:rFonts w:ascii="Times New Roman" w:hAnsi="Times New Roman"/>
          <w:sz w:val="24"/>
          <w:szCs w:val="24"/>
        </w:rPr>
        <w:t xml:space="preserve"> formulated based on existing theories or empirical evidence and serve as testable propositions that </w:t>
      </w:r>
      <w:r w:rsidR="000419F4" w:rsidRPr="008B1465">
        <w:rPr>
          <w:rFonts w:ascii="Times New Roman" w:hAnsi="Times New Roman"/>
          <w:sz w:val="24"/>
          <w:szCs w:val="24"/>
        </w:rPr>
        <w:t>were</w:t>
      </w:r>
      <w:r w:rsidRPr="008B1465">
        <w:rPr>
          <w:rFonts w:ascii="Times New Roman" w:hAnsi="Times New Roman"/>
          <w:sz w:val="24"/>
          <w:szCs w:val="24"/>
        </w:rPr>
        <w:t xml:space="preserve"> evaluated during the research. The scope of the study define</w:t>
      </w:r>
      <w:r w:rsidR="000419F4" w:rsidRPr="008B1465">
        <w:rPr>
          <w:rFonts w:ascii="Times New Roman" w:hAnsi="Times New Roman"/>
          <w:sz w:val="24"/>
          <w:szCs w:val="24"/>
        </w:rPr>
        <w:t>d</w:t>
      </w:r>
      <w:r w:rsidRPr="008B1465">
        <w:rPr>
          <w:rFonts w:ascii="Times New Roman" w:hAnsi="Times New Roman"/>
          <w:sz w:val="24"/>
          <w:szCs w:val="24"/>
        </w:rPr>
        <w:t xml:space="preserve"> the boundaries within which the research w</w:t>
      </w:r>
      <w:r w:rsidR="000419F4" w:rsidRPr="008B1465">
        <w:rPr>
          <w:rFonts w:ascii="Times New Roman" w:hAnsi="Times New Roman"/>
          <w:sz w:val="24"/>
          <w:szCs w:val="24"/>
        </w:rPr>
        <w:t>as</w:t>
      </w:r>
      <w:r w:rsidRPr="008B1465">
        <w:rPr>
          <w:rFonts w:ascii="Times New Roman" w:hAnsi="Times New Roman"/>
          <w:sz w:val="24"/>
          <w:szCs w:val="24"/>
        </w:rPr>
        <w:t xml:space="preserve"> conducted. It specifies the geographical, temporal, and conceptual limits of the investigation. The researcher clarifies what w</w:t>
      </w:r>
      <w:r w:rsidR="00A5472F" w:rsidRPr="008B1465">
        <w:rPr>
          <w:rFonts w:ascii="Times New Roman" w:hAnsi="Times New Roman"/>
          <w:sz w:val="24"/>
          <w:szCs w:val="24"/>
        </w:rPr>
        <w:t>ere</w:t>
      </w:r>
      <w:r w:rsidRPr="008B1465">
        <w:rPr>
          <w:rFonts w:ascii="Times New Roman" w:hAnsi="Times New Roman"/>
          <w:sz w:val="24"/>
          <w:szCs w:val="24"/>
        </w:rPr>
        <w:t xml:space="preserve"> included and excluded from the study, provid</w:t>
      </w:r>
      <w:r w:rsidR="00A5472F" w:rsidRPr="008B1465">
        <w:rPr>
          <w:rFonts w:ascii="Times New Roman" w:hAnsi="Times New Roman"/>
          <w:sz w:val="24"/>
          <w:szCs w:val="24"/>
        </w:rPr>
        <w:t>ed</w:t>
      </w:r>
      <w:r w:rsidRPr="008B1465">
        <w:rPr>
          <w:rFonts w:ascii="Times New Roman" w:hAnsi="Times New Roman"/>
          <w:sz w:val="24"/>
          <w:szCs w:val="24"/>
        </w:rPr>
        <w:t xml:space="preserve"> a clear understanding of the research's focus. The justification for the study explains why the research is important and necessary. It highlights the potential contributions of the study to the field, society, or specific stakeholders. The researcher discusses the relevance and significance of the research, emphasizing its potential implications and benefits.</w:t>
      </w:r>
    </w:p>
    <w:p w14:paraId="350B6E20" w14:textId="5EA0FFE0" w:rsidR="002C15CD" w:rsidRPr="008B1465" w:rsidRDefault="00A5472F" w:rsidP="002C15CD">
      <w:pPr>
        <w:spacing w:after="100" w:afterAutospacing="1" w:line="360" w:lineRule="auto"/>
        <w:jc w:val="both"/>
        <w:rPr>
          <w:rFonts w:ascii="Times New Roman" w:hAnsi="Times New Roman"/>
          <w:sz w:val="24"/>
          <w:szCs w:val="24"/>
        </w:rPr>
      </w:pPr>
      <w:r w:rsidRPr="008B1465">
        <w:rPr>
          <w:rFonts w:ascii="Times New Roman" w:hAnsi="Times New Roman"/>
          <w:sz w:val="24"/>
          <w:szCs w:val="24"/>
        </w:rPr>
        <w:t>The chapter also</w:t>
      </w:r>
      <w:r w:rsidR="002C15CD" w:rsidRPr="008B1465">
        <w:rPr>
          <w:rFonts w:ascii="Times New Roman" w:hAnsi="Times New Roman"/>
          <w:sz w:val="24"/>
          <w:szCs w:val="24"/>
        </w:rPr>
        <w:t xml:space="preserve"> elaborate</w:t>
      </w:r>
      <w:r w:rsidRPr="008B1465">
        <w:rPr>
          <w:rFonts w:ascii="Times New Roman" w:hAnsi="Times New Roman"/>
          <w:sz w:val="24"/>
          <w:szCs w:val="24"/>
        </w:rPr>
        <w:t>d</w:t>
      </w:r>
      <w:r w:rsidR="002C15CD" w:rsidRPr="008B1465">
        <w:rPr>
          <w:rFonts w:ascii="Times New Roman" w:hAnsi="Times New Roman"/>
          <w:sz w:val="24"/>
          <w:szCs w:val="24"/>
        </w:rPr>
        <w:t xml:space="preserve"> on the significance of the research. It explain</w:t>
      </w:r>
      <w:r w:rsidR="00750BCA" w:rsidRPr="008B1465">
        <w:rPr>
          <w:rFonts w:ascii="Times New Roman" w:hAnsi="Times New Roman"/>
          <w:sz w:val="24"/>
          <w:szCs w:val="24"/>
        </w:rPr>
        <w:t>ed</w:t>
      </w:r>
      <w:r w:rsidR="002C15CD" w:rsidRPr="008B1465">
        <w:rPr>
          <w:rFonts w:ascii="Times New Roman" w:hAnsi="Times New Roman"/>
          <w:sz w:val="24"/>
          <w:szCs w:val="24"/>
        </w:rPr>
        <w:t xml:space="preserve"> the potential impacts and implications of the study's findings. The researcher discusse</w:t>
      </w:r>
      <w:r w:rsidR="00750BCA" w:rsidRPr="008B1465">
        <w:rPr>
          <w:rFonts w:ascii="Times New Roman" w:hAnsi="Times New Roman"/>
          <w:sz w:val="24"/>
          <w:szCs w:val="24"/>
        </w:rPr>
        <w:t>d</w:t>
      </w:r>
      <w:r w:rsidR="002C15CD" w:rsidRPr="008B1465">
        <w:rPr>
          <w:rFonts w:ascii="Times New Roman" w:hAnsi="Times New Roman"/>
          <w:sz w:val="24"/>
          <w:szCs w:val="24"/>
        </w:rPr>
        <w:t xml:space="preserve"> how the research results m</w:t>
      </w:r>
      <w:r w:rsidR="00750BCA" w:rsidRPr="008B1465">
        <w:rPr>
          <w:rFonts w:ascii="Times New Roman" w:hAnsi="Times New Roman"/>
          <w:sz w:val="24"/>
          <w:szCs w:val="24"/>
        </w:rPr>
        <w:t xml:space="preserve">ight have </w:t>
      </w:r>
      <w:r w:rsidR="002C15CD" w:rsidRPr="008B1465">
        <w:rPr>
          <w:rFonts w:ascii="Times New Roman" w:hAnsi="Times New Roman"/>
          <w:sz w:val="24"/>
          <w:szCs w:val="24"/>
        </w:rPr>
        <w:t>contribute</w:t>
      </w:r>
      <w:r w:rsidR="00750BCA" w:rsidRPr="008B1465">
        <w:rPr>
          <w:rFonts w:ascii="Times New Roman" w:hAnsi="Times New Roman"/>
          <w:sz w:val="24"/>
          <w:szCs w:val="24"/>
        </w:rPr>
        <w:t>d</w:t>
      </w:r>
      <w:r w:rsidR="002C15CD" w:rsidRPr="008B1465">
        <w:rPr>
          <w:rFonts w:ascii="Times New Roman" w:hAnsi="Times New Roman"/>
          <w:sz w:val="24"/>
          <w:szCs w:val="24"/>
        </w:rPr>
        <w:t xml:space="preserve"> to theoretical understanding, practical applications, policy development, or future research in the field. Further, operationalization of variables involves defining and describing how the key variables in the study will be measured or manipulated. The </w:t>
      </w:r>
      <w:r w:rsidR="00E93D41" w:rsidRPr="008B1465">
        <w:rPr>
          <w:rFonts w:ascii="Times New Roman" w:hAnsi="Times New Roman"/>
          <w:sz w:val="24"/>
          <w:szCs w:val="24"/>
        </w:rPr>
        <w:t xml:space="preserve">study </w:t>
      </w:r>
      <w:r w:rsidR="002C15CD" w:rsidRPr="008B1465">
        <w:rPr>
          <w:rFonts w:ascii="Times New Roman" w:hAnsi="Times New Roman"/>
          <w:sz w:val="24"/>
          <w:szCs w:val="24"/>
        </w:rPr>
        <w:t>explain</w:t>
      </w:r>
      <w:r w:rsidR="00E93D41" w:rsidRPr="008B1465">
        <w:rPr>
          <w:rFonts w:ascii="Times New Roman" w:hAnsi="Times New Roman"/>
          <w:sz w:val="24"/>
          <w:szCs w:val="24"/>
        </w:rPr>
        <w:t>ed</w:t>
      </w:r>
      <w:r w:rsidR="002C15CD" w:rsidRPr="008B1465">
        <w:rPr>
          <w:rFonts w:ascii="Times New Roman" w:hAnsi="Times New Roman"/>
          <w:sz w:val="24"/>
          <w:szCs w:val="24"/>
        </w:rPr>
        <w:t xml:space="preserve"> the specific indicators, measures, or methods that w</w:t>
      </w:r>
      <w:r w:rsidR="00E93D41" w:rsidRPr="008B1465">
        <w:rPr>
          <w:rFonts w:ascii="Times New Roman" w:hAnsi="Times New Roman"/>
          <w:sz w:val="24"/>
          <w:szCs w:val="24"/>
        </w:rPr>
        <w:t>ere</w:t>
      </w:r>
      <w:r w:rsidR="002C15CD" w:rsidRPr="008B1465">
        <w:rPr>
          <w:rFonts w:ascii="Times New Roman" w:hAnsi="Times New Roman"/>
          <w:sz w:val="24"/>
          <w:szCs w:val="24"/>
        </w:rPr>
        <w:t xml:space="preserve"> used to assess the variables of interest. This section ensure</w:t>
      </w:r>
      <w:r w:rsidR="00E93D41" w:rsidRPr="008B1465">
        <w:rPr>
          <w:rFonts w:ascii="Times New Roman" w:hAnsi="Times New Roman"/>
          <w:sz w:val="24"/>
          <w:szCs w:val="24"/>
        </w:rPr>
        <w:t>d</w:t>
      </w:r>
      <w:r w:rsidR="002C15CD" w:rsidRPr="008B1465">
        <w:rPr>
          <w:rFonts w:ascii="Times New Roman" w:hAnsi="Times New Roman"/>
          <w:sz w:val="24"/>
          <w:szCs w:val="24"/>
        </w:rPr>
        <w:t xml:space="preserve"> clarity and consistency in the research process. The definition of key terms clarifies the specific meanings assigned to important concepts or terminology used in the research. The researcher provide</w:t>
      </w:r>
      <w:r w:rsidR="00DB313C" w:rsidRPr="008B1465">
        <w:rPr>
          <w:rFonts w:ascii="Times New Roman" w:hAnsi="Times New Roman"/>
          <w:sz w:val="24"/>
          <w:szCs w:val="24"/>
        </w:rPr>
        <w:t>d</w:t>
      </w:r>
      <w:r w:rsidR="002C15CD" w:rsidRPr="008B1465">
        <w:rPr>
          <w:rFonts w:ascii="Times New Roman" w:hAnsi="Times New Roman"/>
          <w:sz w:val="24"/>
          <w:szCs w:val="24"/>
        </w:rPr>
        <w:t xml:space="preserve"> precise definitions to avoid ambiguity and ensure a common understanding among readers. This section help</w:t>
      </w:r>
      <w:r w:rsidR="00DB313C" w:rsidRPr="008B1465">
        <w:rPr>
          <w:rFonts w:ascii="Times New Roman" w:hAnsi="Times New Roman"/>
          <w:sz w:val="24"/>
          <w:szCs w:val="24"/>
        </w:rPr>
        <w:t>ed</w:t>
      </w:r>
      <w:r w:rsidR="002C15CD" w:rsidRPr="008B1465">
        <w:rPr>
          <w:rFonts w:ascii="Times New Roman" w:hAnsi="Times New Roman"/>
          <w:sz w:val="24"/>
          <w:szCs w:val="24"/>
        </w:rPr>
        <w:t xml:space="preserve"> to establish a shared vocabulary throughout the study. Also, the researcher provides operational definitions for specific terms used in the research. These operational definitions describe how the researcher will measure or assess the term in question. It ensures that the concepts under investigation are clearly defined and measurable, enhancing the validity and reliability of the study.</w:t>
      </w:r>
    </w:p>
    <w:p w14:paraId="128C9FE3" w14:textId="54B2622B" w:rsidR="002C15CD" w:rsidRPr="008B1465" w:rsidRDefault="002C15CD" w:rsidP="002C15CD">
      <w:pPr>
        <w:spacing w:after="100" w:afterAutospacing="1" w:line="360" w:lineRule="auto"/>
        <w:jc w:val="both"/>
        <w:rPr>
          <w:rFonts w:ascii="Times New Roman" w:hAnsi="Times New Roman"/>
          <w:sz w:val="24"/>
          <w:szCs w:val="24"/>
        </w:rPr>
      </w:pPr>
      <w:r w:rsidRPr="008B1465">
        <w:rPr>
          <w:rFonts w:ascii="Times New Roman" w:hAnsi="Times New Roman"/>
          <w:sz w:val="24"/>
          <w:szCs w:val="24"/>
        </w:rPr>
        <w:t>Chapter t</w:t>
      </w:r>
      <w:r w:rsidR="00DB313C" w:rsidRPr="008B1465">
        <w:rPr>
          <w:rFonts w:ascii="Times New Roman" w:hAnsi="Times New Roman"/>
          <w:sz w:val="24"/>
          <w:szCs w:val="24"/>
        </w:rPr>
        <w:t>wo</w:t>
      </w:r>
      <w:r w:rsidRPr="008B1465">
        <w:rPr>
          <w:rFonts w:ascii="Times New Roman" w:hAnsi="Times New Roman"/>
          <w:sz w:val="24"/>
          <w:szCs w:val="24"/>
        </w:rPr>
        <w:t xml:space="preserve"> provide</w:t>
      </w:r>
      <w:r w:rsidR="00C24EC2" w:rsidRPr="008B1465">
        <w:rPr>
          <w:rFonts w:ascii="Times New Roman" w:hAnsi="Times New Roman"/>
          <w:sz w:val="24"/>
          <w:szCs w:val="24"/>
        </w:rPr>
        <w:t>d</w:t>
      </w:r>
      <w:r w:rsidRPr="008B1465">
        <w:rPr>
          <w:rFonts w:ascii="Times New Roman" w:hAnsi="Times New Roman"/>
          <w:sz w:val="24"/>
          <w:szCs w:val="24"/>
        </w:rPr>
        <w:t xml:space="preserve"> a comprehensive review of existing literature relevant to the research topic. It cover</w:t>
      </w:r>
      <w:r w:rsidR="00C24EC2" w:rsidRPr="008B1465">
        <w:rPr>
          <w:rFonts w:ascii="Times New Roman" w:hAnsi="Times New Roman"/>
          <w:sz w:val="24"/>
          <w:szCs w:val="24"/>
        </w:rPr>
        <w:t>ed</w:t>
      </w:r>
      <w:r w:rsidRPr="008B1465">
        <w:rPr>
          <w:rFonts w:ascii="Times New Roman" w:hAnsi="Times New Roman"/>
          <w:sz w:val="24"/>
          <w:szCs w:val="24"/>
        </w:rPr>
        <w:t xml:space="preserve"> both conceptual and theoretical aspects, as well as empirical studies. The literature review explore</w:t>
      </w:r>
      <w:r w:rsidR="00C24EC2" w:rsidRPr="008B1465">
        <w:rPr>
          <w:rFonts w:ascii="Times New Roman" w:hAnsi="Times New Roman"/>
          <w:sz w:val="24"/>
          <w:szCs w:val="24"/>
        </w:rPr>
        <w:t>d</w:t>
      </w:r>
      <w:r w:rsidRPr="008B1465">
        <w:rPr>
          <w:rFonts w:ascii="Times New Roman" w:hAnsi="Times New Roman"/>
          <w:sz w:val="24"/>
          <w:szCs w:val="24"/>
        </w:rPr>
        <w:t xml:space="preserve"> corruption, the origin and causes of corruption, forensic accounting techniques, fraud examination, and various theoretical frameworks such as the fraud triangle theory and fraud diamond model. It also discusse</w:t>
      </w:r>
      <w:r w:rsidR="00C24EC2" w:rsidRPr="008B1465">
        <w:rPr>
          <w:rFonts w:ascii="Times New Roman" w:hAnsi="Times New Roman"/>
          <w:sz w:val="24"/>
          <w:szCs w:val="24"/>
        </w:rPr>
        <w:t>d</w:t>
      </w:r>
      <w:r w:rsidRPr="008B1465">
        <w:rPr>
          <w:rFonts w:ascii="Times New Roman" w:hAnsi="Times New Roman"/>
          <w:sz w:val="24"/>
          <w:szCs w:val="24"/>
        </w:rPr>
        <w:t xml:space="preserve"> empirical studies related to forensic accounting techniques and their impact on fund misappropriation, value for money practices, creative accounting practices and procurement practices. The chapter conclude</w:t>
      </w:r>
      <w:r w:rsidR="00C24EC2" w:rsidRPr="008B1465">
        <w:rPr>
          <w:rFonts w:ascii="Times New Roman" w:hAnsi="Times New Roman"/>
          <w:sz w:val="24"/>
          <w:szCs w:val="24"/>
        </w:rPr>
        <w:t>d</w:t>
      </w:r>
      <w:r w:rsidRPr="008B1465">
        <w:rPr>
          <w:rFonts w:ascii="Times New Roman" w:hAnsi="Times New Roman"/>
          <w:sz w:val="24"/>
          <w:szCs w:val="24"/>
        </w:rPr>
        <w:t xml:space="preserve"> with an identification of gaps in the literature, setting the stage for the research to fill those gaps.</w:t>
      </w:r>
    </w:p>
    <w:p w14:paraId="7004DFDB" w14:textId="75B0C17D" w:rsidR="002C15CD" w:rsidRPr="008B1465" w:rsidRDefault="002C15CD" w:rsidP="002C15CD">
      <w:pPr>
        <w:spacing w:after="100" w:afterAutospacing="1" w:line="360" w:lineRule="auto"/>
        <w:jc w:val="both"/>
        <w:rPr>
          <w:rFonts w:ascii="Times New Roman" w:hAnsi="Times New Roman"/>
          <w:sz w:val="24"/>
          <w:szCs w:val="24"/>
        </w:rPr>
      </w:pPr>
      <w:r w:rsidRPr="008B1465">
        <w:rPr>
          <w:rFonts w:ascii="Times New Roman" w:hAnsi="Times New Roman"/>
          <w:sz w:val="24"/>
          <w:szCs w:val="24"/>
        </w:rPr>
        <w:t>Chapter three</w:t>
      </w:r>
      <w:r w:rsidR="00FA7B52" w:rsidRPr="008B1465">
        <w:rPr>
          <w:rFonts w:ascii="Times New Roman" w:hAnsi="Times New Roman"/>
          <w:sz w:val="24"/>
          <w:szCs w:val="24"/>
        </w:rPr>
        <w:t xml:space="preserve"> dealt with</w:t>
      </w:r>
      <w:r w:rsidRPr="008B1465">
        <w:rPr>
          <w:rFonts w:ascii="Times New Roman" w:hAnsi="Times New Roman"/>
          <w:sz w:val="24"/>
          <w:szCs w:val="24"/>
        </w:rPr>
        <w:t xml:space="preserve"> methodology. It discusse</w:t>
      </w:r>
      <w:r w:rsidR="00FA7B52" w:rsidRPr="008B1465">
        <w:rPr>
          <w:rFonts w:ascii="Times New Roman" w:hAnsi="Times New Roman"/>
          <w:sz w:val="24"/>
          <w:szCs w:val="24"/>
        </w:rPr>
        <w:t>d</w:t>
      </w:r>
      <w:r w:rsidRPr="008B1465">
        <w:rPr>
          <w:rFonts w:ascii="Times New Roman" w:hAnsi="Times New Roman"/>
          <w:sz w:val="24"/>
          <w:szCs w:val="24"/>
        </w:rPr>
        <w:t xml:space="preserve"> the research design, population, sample size, sampling technique, and method of data collection. The chapter also describes the research instrument, including its validity and reliability. The method of data analysis, model specification, estimation, and evaluation techniques are explained in detail. Ethical considerations are addressed to ensure the research adheres to ethical guidelines.</w:t>
      </w:r>
      <w:r w:rsidR="005E5B1C">
        <w:rPr>
          <w:rFonts w:ascii="Times New Roman" w:hAnsi="Times New Roman"/>
          <w:sz w:val="24"/>
          <w:szCs w:val="24"/>
        </w:rPr>
        <w:t xml:space="preserve"> </w:t>
      </w:r>
      <w:r w:rsidRPr="008B1465">
        <w:rPr>
          <w:rFonts w:ascii="Times New Roman" w:hAnsi="Times New Roman"/>
          <w:sz w:val="24"/>
          <w:szCs w:val="24"/>
        </w:rPr>
        <w:t>Chapter four present</w:t>
      </w:r>
      <w:r w:rsidR="00A35B2C" w:rsidRPr="008B1465">
        <w:rPr>
          <w:rFonts w:ascii="Times New Roman" w:hAnsi="Times New Roman"/>
          <w:sz w:val="24"/>
          <w:szCs w:val="24"/>
        </w:rPr>
        <w:t>ed</w:t>
      </w:r>
      <w:r w:rsidRPr="008B1465">
        <w:rPr>
          <w:rFonts w:ascii="Times New Roman" w:hAnsi="Times New Roman"/>
          <w:sz w:val="24"/>
          <w:szCs w:val="24"/>
        </w:rPr>
        <w:t xml:space="preserve"> the analyzed data and discusse</w:t>
      </w:r>
      <w:r w:rsidR="00A35B2C" w:rsidRPr="008B1465">
        <w:rPr>
          <w:rFonts w:ascii="Times New Roman" w:hAnsi="Times New Roman"/>
          <w:sz w:val="24"/>
          <w:szCs w:val="24"/>
        </w:rPr>
        <w:t>d</w:t>
      </w:r>
      <w:r w:rsidRPr="008B1465">
        <w:rPr>
          <w:rFonts w:ascii="Times New Roman" w:hAnsi="Times New Roman"/>
          <w:sz w:val="24"/>
          <w:szCs w:val="24"/>
        </w:rPr>
        <w:t xml:space="preserve"> the findings related to the research questions and hypotheses. It include</w:t>
      </w:r>
      <w:r w:rsidR="00A35B2C" w:rsidRPr="008B1465">
        <w:rPr>
          <w:rFonts w:ascii="Times New Roman" w:hAnsi="Times New Roman"/>
          <w:sz w:val="24"/>
          <w:szCs w:val="24"/>
        </w:rPr>
        <w:t>d</w:t>
      </w:r>
      <w:r w:rsidRPr="008B1465">
        <w:rPr>
          <w:rFonts w:ascii="Times New Roman" w:hAnsi="Times New Roman"/>
          <w:sz w:val="24"/>
          <w:szCs w:val="24"/>
        </w:rPr>
        <w:t xml:space="preserve"> a socio-demographic profile of the respondents and present</w:t>
      </w:r>
      <w:r w:rsidR="00A35B2C" w:rsidRPr="008B1465">
        <w:rPr>
          <w:rFonts w:ascii="Times New Roman" w:hAnsi="Times New Roman"/>
          <w:sz w:val="24"/>
          <w:szCs w:val="24"/>
        </w:rPr>
        <w:t>ed</w:t>
      </w:r>
      <w:r w:rsidRPr="008B1465">
        <w:rPr>
          <w:rFonts w:ascii="Times New Roman" w:hAnsi="Times New Roman"/>
          <w:sz w:val="24"/>
          <w:szCs w:val="24"/>
        </w:rPr>
        <w:t xml:space="preserve"> the results of the statistical analysis. The chapter also discusse</w:t>
      </w:r>
      <w:r w:rsidR="003A1CB9" w:rsidRPr="008B1465">
        <w:rPr>
          <w:rFonts w:ascii="Times New Roman" w:hAnsi="Times New Roman"/>
          <w:sz w:val="24"/>
          <w:szCs w:val="24"/>
        </w:rPr>
        <w:t>d</w:t>
      </w:r>
      <w:r w:rsidRPr="008B1465">
        <w:rPr>
          <w:rFonts w:ascii="Times New Roman" w:hAnsi="Times New Roman"/>
          <w:sz w:val="24"/>
          <w:szCs w:val="24"/>
        </w:rPr>
        <w:t xml:space="preserve"> the implications and significance of the findings, linking them back to the research objectives and addressing the research questions. The findings related to the effect of forensic accounting techniques on fund misappropriation, value for money practices, creative accounting practices, and procurement practices </w:t>
      </w:r>
      <w:r w:rsidR="00E70235" w:rsidRPr="008B1465">
        <w:rPr>
          <w:rFonts w:ascii="Times New Roman" w:hAnsi="Times New Roman"/>
          <w:sz w:val="24"/>
          <w:szCs w:val="24"/>
        </w:rPr>
        <w:t>were</w:t>
      </w:r>
      <w:r w:rsidRPr="008B1465">
        <w:rPr>
          <w:rFonts w:ascii="Times New Roman" w:hAnsi="Times New Roman"/>
          <w:sz w:val="24"/>
          <w:szCs w:val="24"/>
        </w:rPr>
        <w:t xml:space="preserve"> presented and analyzed. The chapter include</w:t>
      </w:r>
      <w:r w:rsidR="00E70235" w:rsidRPr="008B1465">
        <w:rPr>
          <w:rFonts w:ascii="Times New Roman" w:hAnsi="Times New Roman"/>
          <w:sz w:val="24"/>
          <w:szCs w:val="24"/>
        </w:rPr>
        <w:t>d</w:t>
      </w:r>
      <w:r w:rsidRPr="008B1465">
        <w:rPr>
          <w:rFonts w:ascii="Times New Roman" w:hAnsi="Times New Roman"/>
          <w:sz w:val="24"/>
          <w:szCs w:val="24"/>
        </w:rPr>
        <w:t xml:space="preserve"> tables, graphs, and other visual representations to present the data in a clear and concise manner. The results </w:t>
      </w:r>
      <w:r w:rsidR="00E70235" w:rsidRPr="008B1465">
        <w:rPr>
          <w:rFonts w:ascii="Times New Roman" w:hAnsi="Times New Roman"/>
          <w:sz w:val="24"/>
          <w:szCs w:val="24"/>
        </w:rPr>
        <w:t>were</w:t>
      </w:r>
      <w:r w:rsidRPr="008B1465">
        <w:rPr>
          <w:rFonts w:ascii="Times New Roman" w:hAnsi="Times New Roman"/>
          <w:sz w:val="24"/>
          <w:szCs w:val="24"/>
        </w:rPr>
        <w:t xml:space="preserve"> discussed in relation to the existing literature and theoretical frameworks reviewed in </w:t>
      </w:r>
      <w:r w:rsidR="00E70235" w:rsidRPr="008B1465">
        <w:rPr>
          <w:rFonts w:ascii="Times New Roman" w:hAnsi="Times New Roman"/>
          <w:sz w:val="24"/>
          <w:szCs w:val="24"/>
        </w:rPr>
        <w:t>c</w:t>
      </w:r>
      <w:r w:rsidRPr="008B1465">
        <w:rPr>
          <w:rFonts w:ascii="Times New Roman" w:hAnsi="Times New Roman"/>
          <w:sz w:val="24"/>
          <w:szCs w:val="24"/>
        </w:rPr>
        <w:t>hapter two. The chapter also provide</w:t>
      </w:r>
      <w:r w:rsidR="00D81BE3" w:rsidRPr="008B1465">
        <w:rPr>
          <w:rFonts w:ascii="Times New Roman" w:hAnsi="Times New Roman"/>
          <w:sz w:val="24"/>
          <w:szCs w:val="24"/>
        </w:rPr>
        <w:t>d</w:t>
      </w:r>
      <w:r w:rsidRPr="008B1465">
        <w:rPr>
          <w:rFonts w:ascii="Times New Roman" w:hAnsi="Times New Roman"/>
          <w:sz w:val="24"/>
          <w:szCs w:val="24"/>
        </w:rPr>
        <w:t xml:space="preserve"> an interpretation of the findings, highlighting any significant relationships or trends observed. It discusse</w:t>
      </w:r>
      <w:r w:rsidR="00751E25" w:rsidRPr="008B1465">
        <w:rPr>
          <w:rFonts w:ascii="Times New Roman" w:hAnsi="Times New Roman"/>
          <w:sz w:val="24"/>
          <w:szCs w:val="24"/>
        </w:rPr>
        <w:t>d</w:t>
      </w:r>
      <w:r w:rsidRPr="008B1465">
        <w:rPr>
          <w:rFonts w:ascii="Times New Roman" w:hAnsi="Times New Roman"/>
          <w:sz w:val="24"/>
          <w:szCs w:val="24"/>
        </w:rPr>
        <w:t xml:space="preserve"> the implications of the findings for </w:t>
      </w:r>
      <w:r w:rsidR="00751E25" w:rsidRPr="008B1465">
        <w:rPr>
          <w:rFonts w:ascii="Times New Roman" w:hAnsi="Times New Roman"/>
          <w:sz w:val="24"/>
          <w:szCs w:val="24"/>
        </w:rPr>
        <w:t>F</w:t>
      </w:r>
      <w:r w:rsidRPr="008B1465">
        <w:rPr>
          <w:rFonts w:ascii="Times New Roman" w:hAnsi="Times New Roman"/>
          <w:sz w:val="24"/>
          <w:szCs w:val="24"/>
        </w:rPr>
        <w:t xml:space="preserve">ederal </w:t>
      </w:r>
      <w:r w:rsidR="00751E25" w:rsidRPr="008B1465">
        <w:rPr>
          <w:rFonts w:ascii="Times New Roman" w:hAnsi="Times New Roman"/>
          <w:sz w:val="24"/>
          <w:szCs w:val="24"/>
        </w:rPr>
        <w:t>U</w:t>
      </w:r>
      <w:r w:rsidRPr="008B1465">
        <w:rPr>
          <w:rFonts w:ascii="Times New Roman" w:hAnsi="Times New Roman"/>
          <w:sz w:val="24"/>
          <w:szCs w:val="24"/>
        </w:rPr>
        <w:t xml:space="preserve">niversities in Southwest, Nigeria, and their financial management practices. The limitations of the study </w:t>
      </w:r>
      <w:r w:rsidR="00751E25" w:rsidRPr="008B1465">
        <w:rPr>
          <w:rFonts w:ascii="Times New Roman" w:hAnsi="Times New Roman"/>
          <w:sz w:val="24"/>
          <w:szCs w:val="24"/>
        </w:rPr>
        <w:t>were</w:t>
      </w:r>
      <w:r w:rsidRPr="008B1465">
        <w:rPr>
          <w:rFonts w:ascii="Times New Roman" w:hAnsi="Times New Roman"/>
          <w:sz w:val="24"/>
          <w:szCs w:val="24"/>
        </w:rPr>
        <w:t xml:space="preserve"> also acknowledged and discussed to provide</w:t>
      </w:r>
      <w:r w:rsidR="00751E25" w:rsidRPr="008B1465">
        <w:rPr>
          <w:rFonts w:ascii="Times New Roman" w:hAnsi="Times New Roman"/>
          <w:sz w:val="24"/>
          <w:szCs w:val="24"/>
        </w:rPr>
        <w:t>d</w:t>
      </w:r>
      <w:r w:rsidRPr="008B1465">
        <w:rPr>
          <w:rFonts w:ascii="Times New Roman" w:hAnsi="Times New Roman"/>
          <w:sz w:val="24"/>
          <w:szCs w:val="24"/>
        </w:rPr>
        <w:t xml:space="preserve"> context for the interpretation of the results. Essentially, the chapter aim</w:t>
      </w:r>
      <w:r w:rsidR="00F62D44" w:rsidRPr="008B1465">
        <w:rPr>
          <w:rFonts w:ascii="Times New Roman" w:hAnsi="Times New Roman"/>
          <w:sz w:val="24"/>
          <w:szCs w:val="24"/>
        </w:rPr>
        <w:t>ed</w:t>
      </w:r>
      <w:r w:rsidRPr="008B1465">
        <w:rPr>
          <w:rFonts w:ascii="Times New Roman" w:hAnsi="Times New Roman"/>
          <w:sz w:val="24"/>
          <w:szCs w:val="24"/>
        </w:rPr>
        <w:t xml:space="preserve"> </w:t>
      </w:r>
      <w:r w:rsidR="00F62D44" w:rsidRPr="008B1465">
        <w:rPr>
          <w:rFonts w:ascii="Times New Roman" w:hAnsi="Times New Roman"/>
          <w:sz w:val="24"/>
          <w:szCs w:val="24"/>
        </w:rPr>
        <w:t>a</w:t>
      </w:r>
      <w:r w:rsidRPr="008B1465">
        <w:rPr>
          <w:rFonts w:ascii="Times New Roman" w:hAnsi="Times New Roman"/>
          <w:sz w:val="24"/>
          <w:szCs w:val="24"/>
        </w:rPr>
        <w:t>t provid</w:t>
      </w:r>
      <w:r w:rsidR="00A17A37" w:rsidRPr="008B1465">
        <w:rPr>
          <w:rFonts w:ascii="Times New Roman" w:hAnsi="Times New Roman"/>
          <w:sz w:val="24"/>
          <w:szCs w:val="24"/>
        </w:rPr>
        <w:t>ing</w:t>
      </w:r>
      <w:r w:rsidRPr="008B1465">
        <w:rPr>
          <w:rFonts w:ascii="Times New Roman" w:hAnsi="Times New Roman"/>
          <w:sz w:val="24"/>
          <w:szCs w:val="24"/>
        </w:rPr>
        <w:t xml:space="preserve"> a comprehensive analysis of the collected data and to contribute to the understanding of the relationship between forensic accounting techniques and financial misconduct among federal universities in Southwest, Nigeria. The findings presented in this chapter serve</w:t>
      </w:r>
      <w:r w:rsidR="00A17A37" w:rsidRPr="008B1465">
        <w:rPr>
          <w:rFonts w:ascii="Times New Roman" w:hAnsi="Times New Roman"/>
          <w:sz w:val="24"/>
          <w:szCs w:val="24"/>
        </w:rPr>
        <w:t>d</w:t>
      </w:r>
      <w:r w:rsidRPr="008B1465">
        <w:rPr>
          <w:rFonts w:ascii="Times New Roman" w:hAnsi="Times New Roman"/>
          <w:sz w:val="24"/>
          <w:szCs w:val="24"/>
        </w:rPr>
        <w:t xml:space="preserve"> as the basis for further discussion, recommendations, and conclusions in subsequent chapters.</w:t>
      </w:r>
    </w:p>
    <w:p w14:paraId="319E6A7A" w14:textId="457D44EF" w:rsidR="00821F63" w:rsidRPr="008B1465" w:rsidRDefault="00821F63" w:rsidP="005D7C8A">
      <w:pPr>
        <w:pStyle w:val="Heading3"/>
      </w:pPr>
      <w:bookmarkStart w:id="150" w:name="_Toc145951141"/>
      <w:r w:rsidRPr="008B1465">
        <w:t xml:space="preserve">Summary of </w:t>
      </w:r>
      <w:r w:rsidR="001D585A" w:rsidRPr="008B1465">
        <w:t>Findings</w:t>
      </w:r>
      <w:bookmarkEnd w:id="150"/>
    </w:p>
    <w:p w14:paraId="060CB8E4" w14:textId="3B490853" w:rsidR="002C15CD" w:rsidRPr="008B1465" w:rsidRDefault="002C15CD" w:rsidP="002C15CD">
      <w:pPr>
        <w:pStyle w:val="NormalWeb"/>
        <w:spacing w:line="360" w:lineRule="auto"/>
        <w:jc w:val="both"/>
      </w:pPr>
      <w:r w:rsidRPr="008B1465">
        <w:t xml:space="preserve">The study investigated the prevalence and impact of financial misconduct among federal universities in the Southwest geo-political zone, Nigeria, and examined the effectiveness of forensic accounting techniques in detecting and preventing such misconduct. The study employed a quantitative data collection method. A sample was taken from Bursary, Internal Audit and Procurement department of the federal universities in </w:t>
      </w:r>
      <w:r w:rsidR="00D46C67">
        <w:t xml:space="preserve">the </w:t>
      </w:r>
      <w:r w:rsidRPr="008B1465">
        <w:t>Southwest, level seven and above w</w:t>
      </w:r>
      <w:r w:rsidR="00B137FC">
        <w:t>as</w:t>
      </w:r>
      <w:r w:rsidRPr="008B1465">
        <w:t xml:space="preserve"> selected, and data w</w:t>
      </w:r>
      <w:r w:rsidR="00374D9E">
        <w:t>ere</w:t>
      </w:r>
      <w:r w:rsidRPr="008B1465">
        <w:t xml:space="preserve"> collected through surveyed questionnaire. The quantitative data were analyzed using IBM SPSS version 25.0 statistical techniques. The findings of the study revealed a </w:t>
      </w:r>
      <w:r w:rsidR="00523CC9" w:rsidRPr="008B1465">
        <w:t>significant incidence</w:t>
      </w:r>
      <w:r w:rsidR="00523CC9">
        <w:t xml:space="preserve"> of financial misconduct</w:t>
      </w:r>
      <w:r w:rsidRPr="008B1465">
        <w:t xml:space="preserve"> in the sampled federal universities. Various forms of financial misconduct, such as misappropriation of funds, value for money practices, creative accounting practices, and procurement practices, were identified. The study also highlighted the detrimental effects of financial misconduct on the financial stability and reputation of the universities</w:t>
      </w:r>
      <w:r w:rsidR="009E42C5">
        <w:t xml:space="preserve"> surveyed.</w:t>
      </w:r>
    </w:p>
    <w:p w14:paraId="5D299186" w14:textId="670B29BA" w:rsidR="002C15CD" w:rsidRPr="008B1465" w:rsidRDefault="002C15CD" w:rsidP="002C15CD">
      <w:pPr>
        <w:spacing w:after="100" w:afterAutospacing="1" w:line="360" w:lineRule="auto"/>
        <w:jc w:val="both"/>
        <w:rPr>
          <w:rFonts w:ascii="Times New Roman" w:hAnsi="Times New Roman"/>
          <w:sz w:val="24"/>
          <w:szCs w:val="24"/>
        </w:rPr>
      </w:pPr>
      <w:r w:rsidRPr="008B1465">
        <w:rPr>
          <w:rFonts w:ascii="Times New Roman" w:hAnsi="Times New Roman"/>
          <w:sz w:val="24"/>
          <w:szCs w:val="24"/>
        </w:rPr>
        <w:t>In terms of forensic accounting techniques, the study found that their utilization varied among the universities. While some universities had established forensic accounting units and implemented robust internal control systems, others lacked such mechanisms. The study emphasized the importance of proactive measures, such as the implementation of effective internal control systems and the adoption of forensic accounting techniques, in preventing and detecting financial misconduct. The empirical study provided valuable insights into the prevalence of financial misconduct in federal universities in Southwest</w:t>
      </w:r>
      <w:r w:rsidR="004D361A">
        <w:rPr>
          <w:rFonts w:ascii="Times New Roman" w:hAnsi="Times New Roman"/>
          <w:sz w:val="24"/>
          <w:szCs w:val="24"/>
        </w:rPr>
        <w:t>,</w:t>
      </w:r>
      <w:r w:rsidRPr="008B1465">
        <w:rPr>
          <w:rFonts w:ascii="Times New Roman" w:hAnsi="Times New Roman"/>
          <w:sz w:val="24"/>
          <w:szCs w:val="24"/>
        </w:rPr>
        <w:t xml:space="preserve"> Nigeria. It shed light on the significance of forensic accounting techniques as a tool for detecting and preventing such misconduct, highlighting the need for their wider implementation in university financial management. The data were sourced from employees of federal universities in Southwest</w:t>
      </w:r>
      <w:r w:rsidR="00A41CB5">
        <w:rPr>
          <w:rFonts w:ascii="Times New Roman" w:hAnsi="Times New Roman"/>
          <w:sz w:val="24"/>
          <w:szCs w:val="24"/>
        </w:rPr>
        <w:t>,</w:t>
      </w:r>
      <w:r w:rsidRPr="008B1465">
        <w:rPr>
          <w:rFonts w:ascii="Times New Roman" w:hAnsi="Times New Roman"/>
          <w:sz w:val="24"/>
          <w:szCs w:val="24"/>
        </w:rPr>
        <w:t xml:space="preserve"> Nigeria, using structured questionnaire. Three hundred and sixty-four (364) respondents were survey using goggle form. Data collected were subject to collinearity</w:t>
      </w:r>
      <w:r w:rsidR="00F92B4C">
        <w:rPr>
          <w:rFonts w:ascii="Times New Roman" w:hAnsi="Times New Roman"/>
          <w:sz w:val="24"/>
          <w:szCs w:val="24"/>
        </w:rPr>
        <w:t>, test of normality</w:t>
      </w:r>
      <w:r w:rsidR="008827D8">
        <w:rPr>
          <w:rFonts w:ascii="Times New Roman" w:hAnsi="Times New Roman"/>
          <w:sz w:val="24"/>
          <w:szCs w:val="24"/>
        </w:rPr>
        <w:t>,</w:t>
      </w:r>
      <w:r w:rsidRPr="008B1465">
        <w:rPr>
          <w:rFonts w:ascii="Times New Roman" w:hAnsi="Times New Roman"/>
          <w:sz w:val="24"/>
          <w:szCs w:val="24"/>
        </w:rPr>
        <w:t xml:space="preserve"> and serial auto correlation diagnostic statistic. Forensic accounting techniques were proxied with investigation of fraud, litigation services, surprise cash count practices, and accounting and digital environment, why depend</w:t>
      </w:r>
      <w:r w:rsidR="008827D8">
        <w:rPr>
          <w:rFonts w:ascii="Times New Roman" w:hAnsi="Times New Roman"/>
          <w:sz w:val="24"/>
          <w:szCs w:val="24"/>
        </w:rPr>
        <w:t>ent</w:t>
      </w:r>
      <w:r w:rsidRPr="008B1465">
        <w:rPr>
          <w:rFonts w:ascii="Times New Roman" w:hAnsi="Times New Roman"/>
          <w:sz w:val="24"/>
          <w:szCs w:val="24"/>
        </w:rPr>
        <w:t xml:space="preserve"> variables (financial misconduct) were proxied with, fund misappropriation, value for money practices, creative accounting practices, and procurement practices. </w:t>
      </w:r>
    </w:p>
    <w:p w14:paraId="6DD197FD" w14:textId="77777777" w:rsidR="00297DF1" w:rsidRPr="008B1465" w:rsidRDefault="002C15CD" w:rsidP="002C15CD">
      <w:pPr>
        <w:spacing w:after="100" w:afterAutospacing="1" w:line="360" w:lineRule="auto"/>
        <w:jc w:val="both"/>
        <w:rPr>
          <w:rFonts w:ascii="Times New Roman" w:hAnsi="Times New Roman"/>
          <w:sz w:val="24"/>
          <w:szCs w:val="24"/>
        </w:rPr>
      </w:pPr>
      <w:r w:rsidRPr="008B1465">
        <w:rPr>
          <w:rFonts w:ascii="Times New Roman" w:hAnsi="Times New Roman"/>
          <w:sz w:val="24"/>
          <w:szCs w:val="24"/>
        </w:rPr>
        <w:t xml:space="preserve">The result showed that, forensic accounting techniques significantly impacted (F= (4,359) = 348.99, p&lt; .05) on fund misappropriation among federal universities in Southwest, Nigeria. It also shows that 79.5% of variation in fund misappropriation in terms of prevention and control is being explained for forensic accounting techniques. In addition, the linear grouping of proxy of forensic accounting techniques shows a significant inverse impact. Surprise cash count practices (β= -.075, t=-3.097, p&lt; .05) among the federal universities surveyed is an important factor in preventing and controlling fund misappropriation. In this sense that the decreasing one to one relationship it means, this technique of forensic accounting is effective and suitable among federal universities because its presence means decrease in fund misappropriation effect. Thus, more fund on surprise cash count practices will bring about reduced incidences of fund misappropriation and thus, a healthy financial environment for the organisation. </w:t>
      </w:r>
    </w:p>
    <w:p w14:paraId="1EC099DF" w14:textId="59535ADC" w:rsidR="002C15CD" w:rsidRPr="008B1465" w:rsidRDefault="002C15CD" w:rsidP="002C15CD">
      <w:pPr>
        <w:spacing w:after="100" w:afterAutospacing="1" w:line="360" w:lineRule="auto"/>
        <w:jc w:val="both"/>
        <w:rPr>
          <w:rFonts w:ascii="Times New Roman" w:hAnsi="Times New Roman"/>
          <w:sz w:val="24"/>
          <w:szCs w:val="24"/>
        </w:rPr>
      </w:pPr>
      <w:r w:rsidRPr="008B1465">
        <w:rPr>
          <w:rFonts w:ascii="Times New Roman" w:hAnsi="Times New Roman"/>
          <w:sz w:val="24"/>
          <w:szCs w:val="24"/>
        </w:rPr>
        <w:t xml:space="preserve">Investigation of fraud (β = -.575, t = -18.43, p&lt; .05) shows inverse relationship. In this context, it is an important factor of forensic accounting technique among federal universities because it reduces the incidences of fund misappropriation. Litigation services (β= -.072, t= -3.011, p&lt; .05) is also an important factor of forensic accounting techniques among federal universities investigated. The relationship between litigation services and forensic accounting techniques which is inverse is important because it means availability of litigation services as a forensic accounting technique mitigates and control fund misappropriation. </w:t>
      </w:r>
    </w:p>
    <w:p w14:paraId="5DDBD1D5" w14:textId="77777777" w:rsidR="002C15CD" w:rsidRPr="008B1465" w:rsidRDefault="002C15CD" w:rsidP="002C15CD">
      <w:pPr>
        <w:spacing w:after="100" w:afterAutospacing="1" w:line="360" w:lineRule="auto"/>
        <w:jc w:val="both"/>
        <w:rPr>
          <w:rFonts w:ascii="Times New Roman" w:hAnsi="Times New Roman"/>
          <w:sz w:val="24"/>
          <w:szCs w:val="24"/>
        </w:rPr>
      </w:pPr>
      <w:r w:rsidRPr="008B1465">
        <w:rPr>
          <w:rFonts w:ascii="Times New Roman" w:hAnsi="Times New Roman"/>
          <w:sz w:val="24"/>
          <w:szCs w:val="24"/>
        </w:rPr>
        <w:t>Meanwhile, accounting and digital environment (β= 1.141, t= 36.77, p&lt; .05) showed positive and significant impact. This simply mean that, accounting and digital environment is not really preventing and controlling fund misappropriation among the federal universities sampled. In other words, accounting and digital environment may not be an ideal forensic accounting technique or there may be some factors limiting its effectiveness. It was also found that forensic accounting techniques positively and significantly related (R= .375, F (4, 358) = 14. 671, p&lt;.05) with value for money practices. This means that forensic accounting techniques help organization achieve a better benefit of an investment or expenditure in relation to cost. Forensic accounting techniques shows enabling environment for achieving greatest benefit at the lowest cost among federal universities being studied. It was also found that forensic accounting techniques specially, surprise cash count practices (β= -.021, t= .3007, p&lt; .05) shows inverse relationship with creative accounting practices.</w:t>
      </w:r>
    </w:p>
    <w:p w14:paraId="020A631C" w14:textId="77777777" w:rsidR="00D149EE" w:rsidRPr="008B1465" w:rsidRDefault="002C15CD" w:rsidP="002C15CD">
      <w:pPr>
        <w:pStyle w:val="NormalWeb"/>
        <w:spacing w:line="360" w:lineRule="auto"/>
        <w:jc w:val="both"/>
      </w:pPr>
      <w:r w:rsidRPr="008B1465">
        <w:t xml:space="preserve">Investigation of fraud (Beta= -.632, t = 12.93, p&lt; .05), litigation services (β =-.020, t = 3.011, p&lt; .05) shows inverse relationship with the creative accounting practices. In other words, these two forensic accounting techniques are important forensic techniques tool that can mitigate creative accounting practices, such as overbillings, inflating assets misrepresentation of financial performance, manipulating revenue recognition, shifting expenses, and hiding liabilities. Practices of these three techniques can effectively reduce occurrence of creative accounting tactics. However, accounting and digital environment show positive relationship, this implies that is not helping prevention and controlling of creative accounting practices in the federal universities under study. Lastly, the result also showed that three out of the four forensic accounting techniques were significant factors that impacted on procurement practices among federal universities selected for the study. However, two of them, surprise cash count practices (β = .160, t = 3.738, p&lt; .05), accounting and digital environment (β = .731, t = 13.262, p&lt; .05) have positive and significant impact on procurement practices. </w:t>
      </w:r>
    </w:p>
    <w:p w14:paraId="0B8048BE" w14:textId="2009E117" w:rsidR="002C15CD" w:rsidRPr="008B1465" w:rsidRDefault="002C15CD" w:rsidP="002C15CD">
      <w:pPr>
        <w:pStyle w:val="NormalWeb"/>
        <w:spacing w:line="360" w:lineRule="auto"/>
        <w:jc w:val="both"/>
      </w:pPr>
      <w:r w:rsidRPr="008B1465">
        <w:t xml:space="preserve">The implication of positive and impact is the forensic accounting techniques can enhance effective procurement practices which can mean improvement in financial performance, increase in efficiency, reduce risks, and by so doing supporting long-term success of the federal universities, </w:t>
      </w:r>
      <w:r w:rsidR="00AD1E42">
        <w:t>S</w:t>
      </w:r>
      <w:r w:rsidRPr="008B1465">
        <w:t>outhwest, Nigeria.</w:t>
      </w:r>
      <w:r w:rsidR="00D43945" w:rsidRPr="008B1465">
        <w:t xml:space="preserve"> </w:t>
      </w:r>
      <w:r w:rsidRPr="008B1465">
        <w:t>The theoretical review section of the study explored and analyzed the existing literature related to forensic accounting techniques, financial misconduct, and the role of universities in managing their financial affairs. The review drew upon a wide range of scholarly articles, books, and reports from reputable sources. It provided a comprehensive overview of key concepts and theories relevant to forensic accounting, and financial misconduct, within the context of the institutions of learning. Theoretical frameworks such as the fraud triangle, fraud diamond, fraud star, and 3M theory were examined in relation to financial misconduct and the effectiveness of forensic accounting techniques. The study also explored the evolving role of universities in financial management and the challenges they face in ensuring transparency, accountability, and ethical practices. The synthesis of the literature revealed that financial misconduct is a complex issue influenced by various factors, including organizational culture, weak internal controls, lack of accountability, and inadequate governance structures. Forensic accounting techniques were found to be vital in uncovering financial irregularities, facilitating fraud prevention, and supporting legal actions.</w:t>
      </w:r>
    </w:p>
    <w:p w14:paraId="53734729" w14:textId="6EDFB6C5" w:rsidR="002C15CD" w:rsidRPr="008B1465" w:rsidRDefault="002C15CD" w:rsidP="002C15CD">
      <w:pPr>
        <w:pStyle w:val="NormalWeb"/>
        <w:spacing w:line="360" w:lineRule="auto"/>
        <w:jc w:val="both"/>
      </w:pPr>
      <w:r w:rsidRPr="008B1465">
        <w:t>Furthermore, the theoretical review emphasized the significance of fostering a culture of integrity and ethical behavior within universities. It highlighted the need for comprehensive risk management strategies, strong internal control systems, and the integration of forensic accounting techniques as proactive measures against financial misconduct. In other words, the theoretical review provided a solid foundation for understanding the conceptual underpinnings of forensic accounting, and financial misconduct. It synthesized the existing literature, identified research gaps, and set the stage for the empirical investigation conducted in the study.</w:t>
      </w:r>
    </w:p>
    <w:p w14:paraId="17738EA4" w14:textId="6FAA9C8F" w:rsidR="00A55A56" w:rsidRPr="008B1465" w:rsidRDefault="00A55A56" w:rsidP="002C15CD">
      <w:pPr>
        <w:pStyle w:val="NormalWeb"/>
        <w:spacing w:line="360" w:lineRule="auto"/>
        <w:jc w:val="both"/>
      </w:pPr>
      <w:r w:rsidRPr="008B1465">
        <w:t xml:space="preserve">Finally, the following </w:t>
      </w:r>
      <w:r w:rsidR="0062766B" w:rsidRPr="008B1465">
        <w:t>concise</w:t>
      </w:r>
      <w:r w:rsidR="00986B3C" w:rsidRPr="008B1465">
        <w:t xml:space="preserve"> finding were made:</w:t>
      </w:r>
    </w:p>
    <w:p w14:paraId="1979E184" w14:textId="77777777" w:rsidR="00986B3C" w:rsidRPr="008B1465" w:rsidRDefault="00986B3C" w:rsidP="00986B3C">
      <w:pPr>
        <w:pStyle w:val="ListParagraph"/>
        <w:numPr>
          <w:ilvl w:val="0"/>
          <w:numId w:val="17"/>
        </w:numPr>
        <w:spacing w:after="100" w:afterAutospacing="1" w:line="360" w:lineRule="auto"/>
        <w:jc w:val="both"/>
        <w:rPr>
          <w:rFonts w:ascii="Times New Roman" w:hAnsi="Times New Roman"/>
          <w:sz w:val="24"/>
          <w:szCs w:val="24"/>
        </w:rPr>
      </w:pPr>
      <w:r w:rsidRPr="008B1465">
        <w:rPr>
          <w:rFonts w:ascii="Times New Roman" w:hAnsi="Times New Roman"/>
          <w:sz w:val="24"/>
          <w:szCs w:val="24"/>
        </w:rPr>
        <w:t>Forensic accounting techniques play a critical role in promoting financial integrity, transparence and accountability by ensuring that fund misappropriation is prevented and controlled among federal universities in Southwest, Nigeria.</w:t>
      </w:r>
    </w:p>
    <w:p w14:paraId="73CD4204" w14:textId="01FB30FF" w:rsidR="00986B3C" w:rsidRPr="008B1465" w:rsidRDefault="00986B3C" w:rsidP="00986B3C">
      <w:pPr>
        <w:pStyle w:val="ListParagraph"/>
        <w:numPr>
          <w:ilvl w:val="0"/>
          <w:numId w:val="17"/>
        </w:numPr>
        <w:spacing w:after="100" w:afterAutospacing="1" w:line="360" w:lineRule="auto"/>
        <w:jc w:val="both"/>
        <w:rPr>
          <w:rFonts w:ascii="Times New Roman" w:hAnsi="Times New Roman"/>
          <w:sz w:val="24"/>
          <w:szCs w:val="24"/>
        </w:rPr>
      </w:pPr>
      <w:r w:rsidRPr="008B1465">
        <w:rPr>
          <w:rFonts w:ascii="Times New Roman" w:hAnsi="Times New Roman"/>
          <w:sz w:val="24"/>
          <w:szCs w:val="24"/>
        </w:rPr>
        <w:t xml:space="preserve">Forensic accounting techniques is an important tool in ensuring value for money practices in federal universities in </w:t>
      </w:r>
      <w:r w:rsidR="004B1713">
        <w:rPr>
          <w:rFonts w:ascii="Times New Roman" w:hAnsi="Times New Roman"/>
          <w:sz w:val="24"/>
          <w:szCs w:val="24"/>
        </w:rPr>
        <w:t>S</w:t>
      </w:r>
      <w:r w:rsidRPr="008B1465">
        <w:rPr>
          <w:rFonts w:ascii="Times New Roman" w:hAnsi="Times New Roman"/>
          <w:sz w:val="24"/>
          <w:szCs w:val="24"/>
        </w:rPr>
        <w:t>outhwest. By ensuring way of cost saving, risk management, contract compliance and improved decision making, enhanced value for money</w:t>
      </w:r>
      <w:r w:rsidR="004B1713">
        <w:rPr>
          <w:rFonts w:ascii="Times New Roman" w:hAnsi="Times New Roman"/>
          <w:sz w:val="24"/>
          <w:szCs w:val="24"/>
        </w:rPr>
        <w:t xml:space="preserve"> practices</w:t>
      </w:r>
      <w:r w:rsidRPr="008B1465">
        <w:rPr>
          <w:rFonts w:ascii="Times New Roman" w:hAnsi="Times New Roman"/>
          <w:sz w:val="24"/>
          <w:szCs w:val="24"/>
        </w:rPr>
        <w:t>, and better financial outcomes.</w:t>
      </w:r>
    </w:p>
    <w:p w14:paraId="246A9515" w14:textId="37E7D581" w:rsidR="00986B3C" w:rsidRPr="008B1465" w:rsidRDefault="00986B3C" w:rsidP="00986B3C">
      <w:pPr>
        <w:pStyle w:val="ListParagraph"/>
        <w:numPr>
          <w:ilvl w:val="0"/>
          <w:numId w:val="17"/>
        </w:numPr>
        <w:spacing w:after="100" w:afterAutospacing="1" w:line="360" w:lineRule="auto"/>
        <w:jc w:val="both"/>
        <w:rPr>
          <w:rFonts w:ascii="Times New Roman" w:hAnsi="Times New Roman"/>
          <w:sz w:val="24"/>
          <w:szCs w:val="24"/>
        </w:rPr>
      </w:pPr>
      <w:r w:rsidRPr="008B1465">
        <w:rPr>
          <w:rFonts w:ascii="Times New Roman" w:hAnsi="Times New Roman"/>
          <w:sz w:val="24"/>
          <w:szCs w:val="24"/>
        </w:rPr>
        <w:t xml:space="preserve">The study also </w:t>
      </w:r>
      <w:r w:rsidR="0062766B" w:rsidRPr="008B1465">
        <w:rPr>
          <w:rFonts w:ascii="Times New Roman" w:hAnsi="Times New Roman"/>
          <w:sz w:val="24"/>
          <w:szCs w:val="24"/>
        </w:rPr>
        <w:t>found</w:t>
      </w:r>
      <w:r w:rsidRPr="008B1465">
        <w:rPr>
          <w:rFonts w:ascii="Times New Roman" w:hAnsi="Times New Roman"/>
          <w:sz w:val="24"/>
          <w:szCs w:val="24"/>
        </w:rPr>
        <w:t xml:space="preserve"> that forensic accounting techniques can be deployed to ensure effective compliance with Generally Accepted Accounting Principles (GAAP) or other legal and ethical standards which could be misrepresented, such as revenue recognition manipulation, overstating assets values, and hiding liabilities which can mislead investors, creditors and other stakeholders into making incorrect financial decisions, and can erode trust in an organization’s financial report.</w:t>
      </w:r>
    </w:p>
    <w:p w14:paraId="2DF7E0DA" w14:textId="73293BDF" w:rsidR="00986B3C" w:rsidRPr="008B1465" w:rsidRDefault="00986B3C" w:rsidP="002C15CD">
      <w:pPr>
        <w:pStyle w:val="ListParagraph"/>
        <w:numPr>
          <w:ilvl w:val="0"/>
          <w:numId w:val="17"/>
        </w:numPr>
        <w:spacing w:after="100" w:afterAutospacing="1" w:line="360" w:lineRule="auto"/>
        <w:jc w:val="both"/>
        <w:rPr>
          <w:rFonts w:ascii="Times New Roman" w:hAnsi="Times New Roman"/>
          <w:sz w:val="24"/>
          <w:szCs w:val="24"/>
        </w:rPr>
      </w:pPr>
      <w:r w:rsidRPr="008B1465">
        <w:rPr>
          <w:rFonts w:ascii="Times New Roman" w:hAnsi="Times New Roman"/>
          <w:sz w:val="24"/>
          <w:szCs w:val="24"/>
        </w:rPr>
        <w:t xml:space="preserve">Lastly, it was </w:t>
      </w:r>
      <w:r w:rsidR="0062766B" w:rsidRPr="008B1465">
        <w:rPr>
          <w:rFonts w:ascii="Times New Roman" w:hAnsi="Times New Roman"/>
          <w:sz w:val="24"/>
          <w:szCs w:val="24"/>
        </w:rPr>
        <w:t>discovered</w:t>
      </w:r>
      <w:r w:rsidRPr="008B1465">
        <w:rPr>
          <w:rFonts w:ascii="Times New Roman" w:hAnsi="Times New Roman"/>
          <w:sz w:val="24"/>
          <w:szCs w:val="24"/>
        </w:rPr>
        <w:t xml:space="preserve"> that forensic accounting techniques can facilitate effective and efficient financial resources in Nigerian Federal Universities, by way of risk management, quality control, cost savings and improved efficiency.</w:t>
      </w:r>
    </w:p>
    <w:p w14:paraId="087DDB32" w14:textId="77777777" w:rsidR="002C15CD" w:rsidRPr="008B1465" w:rsidRDefault="002C15CD" w:rsidP="002C15CD">
      <w:pPr>
        <w:pStyle w:val="Heading2"/>
      </w:pPr>
      <w:bookmarkStart w:id="151" w:name="_Toc145951142"/>
      <w:r w:rsidRPr="008B1465">
        <w:t>Conclusion</w:t>
      </w:r>
      <w:bookmarkEnd w:id="151"/>
    </w:p>
    <w:p w14:paraId="723E685E" w14:textId="3DE5B74C" w:rsidR="00D23881" w:rsidRPr="009A61A7" w:rsidRDefault="00D23881" w:rsidP="00D23881">
      <w:pPr>
        <w:spacing w:line="360" w:lineRule="auto"/>
        <w:jc w:val="both"/>
        <w:rPr>
          <w:rFonts w:ascii="Times New Roman" w:hAnsi="Times New Roman"/>
          <w:sz w:val="24"/>
          <w:szCs w:val="24"/>
        </w:rPr>
      </w:pPr>
      <w:r>
        <w:rPr>
          <w:rFonts w:ascii="Times New Roman" w:hAnsi="Times New Roman"/>
          <w:sz w:val="24"/>
          <w:szCs w:val="24"/>
        </w:rPr>
        <w:t>T</w:t>
      </w:r>
      <w:r w:rsidRPr="009A61A7">
        <w:rPr>
          <w:rFonts w:ascii="Times New Roman" w:hAnsi="Times New Roman"/>
          <w:sz w:val="24"/>
          <w:szCs w:val="24"/>
        </w:rPr>
        <w:t>he examination of forensic accounting techniques applied to the context of financial misconduct among Federal Universities in Southwest Nigeria has revealed several critical insights. Firstly, instances of fund misappropriation have been identified as a pervasive issue, undermining the integrity of financial management within these institutions. These misappropriations often stem from weaknesses in internal controls and oversight, necessitating a stronger commitment to transparency and accountability.</w:t>
      </w:r>
    </w:p>
    <w:p w14:paraId="5F36DECC" w14:textId="77777777" w:rsidR="00D23881" w:rsidRPr="009A61A7" w:rsidRDefault="00D23881" w:rsidP="00D23881">
      <w:pPr>
        <w:spacing w:line="360" w:lineRule="auto"/>
        <w:jc w:val="both"/>
        <w:rPr>
          <w:rFonts w:ascii="Times New Roman" w:hAnsi="Times New Roman"/>
          <w:sz w:val="24"/>
          <w:szCs w:val="24"/>
        </w:rPr>
      </w:pPr>
      <w:r w:rsidRPr="009A61A7">
        <w:rPr>
          <w:rFonts w:ascii="Times New Roman" w:hAnsi="Times New Roman"/>
          <w:sz w:val="24"/>
          <w:szCs w:val="24"/>
        </w:rPr>
        <w:t>Secondly, the assessment of value for money practices highlights the importance of optimizing resource allocation. Federal Universities should strive for efficiency and effectiveness in their spending, ensuring that funds are utilized judiciously to achieve educational goals and enhance institutional development.</w:t>
      </w:r>
    </w:p>
    <w:p w14:paraId="570E33AA" w14:textId="77777777" w:rsidR="00D23881" w:rsidRPr="009A61A7" w:rsidRDefault="00D23881" w:rsidP="00D23881">
      <w:pPr>
        <w:spacing w:line="360" w:lineRule="auto"/>
        <w:jc w:val="both"/>
        <w:rPr>
          <w:rFonts w:ascii="Times New Roman" w:hAnsi="Times New Roman"/>
          <w:sz w:val="24"/>
          <w:szCs w:val="24"/>
        </w:rPr>
      </w:pPr>
      <w:r w:rsidRPr="009A61A7">
        <w:rPr>
          <w:rFonts w:ascii="Times New Roman" w:hAnsi="Times New Roman"/>
          <w:sz w:val="24"/>
          <w:szCs w:val="24"/>
        </w:rPr>
        <w:t>Moreover, creative accounting practices have been observed as a potential threat to financial integrity. The deliberate manipulation of financial records to present a more favorable financial position can erode public trust and hinder accurate decision-making. Detecting and preventing such practices require rigorous scrutiny and robust internal audit systems.</w:t>
      </w:r>
    </w:p>
    <w:p w14:paraId="56E0EEC0" w14:textId="77777777" w:rsidR="00D23881" w:rsidRPr="009A61A7" w:rsidRDefault="00D23881" w:rsidP="00D23881">
      <w:pPr>
        <w:spacing w:line="360" w:lineRule="auto"/>
        <w:jc w:val="both"/>
        <w:rPr>
          <w:rFonts w:ascii="Times New Roman" w:hAnsi="Times New Roman"/>
          <w:sz w:val="24"/>
          <w:szCs w:val="24"/>
        </w:rPr>
      </w:pPr>
      <w:r w:rsidRPr="009A61A7">
        <w:rPr>
          <w:rFonts w:ascii="Times New Roman" w:hAnsi="Times New Roman"/>
          <w:sz w:val="24"/>
          <w:szCs w:val="24"/>
        </w:rPr>
        <w:t>Lastly, procurement practices have emerged as a critical area where financial misconduct can occur. Ensuring fair, transparent, and competitive procurement processes is essential to mitigate corrupt practices and promote fiscal responsibility.</w:t>
      </w:r>
    </w:p>
    <w:p w14:paraId="63D80B82" w14:textId="7BF592EC" w:rsidR="00D23881" w:rsidRPr="00CC415C" w:rsidRDefault="00D23881" w:rsidP="00CC415C">
      <w:pPr>
        <w:spacing w:line="360" w:lineRule="auto"/>
        <w:jc w:val="both"/>
        <w:rPr>
          <w:rFonts w:ascii="Times New Roman" w:hAnsi="Times New Roman"/>
          <w:sz w:val="24"/>
          <w:szCs w:val="24"/>
        </w:rPr>
      </w:pPr>
      <w:r w:rsidRPr="009A61A7">
        <w:rPr>
          <w:rFonts w:ascii="Times New Roman" w:hAnsi="Times New Roman"/>
          <w:sz w:val="24"/>
          <w:szCs w:val="24"/>
        </w:rPr>
        <w:t>In light of these findings, it is imperative for Federal Universities in Southwest Nigeria to adopt proactive measures. Strengthening internal controls, promoting ethical behavior, and investing in forensic accounting expertise can go a long way in preventing financial misconduct. Additionally, fostering a culture of transparency and accountability will help restore public trust and ensure that funds are allocated efficiently to enhance the quality of education within these institutions.</w:t>
      </w:r>
    </w:p>
    <w:p w14:paraId="66B312D4" w14:textId="4252BE0F" w:rsidR="002C15CD" w:rsidRPr="008B1465" w:rsidRDefault="002C15CD" w:rsidP="002C15CD">
      <w:pPr>
        <w:pStyle w:val="Heading2"/>
      </w:pPr>
      <w:bookmarkStart w:id="152" w:name="_Toc145951143"/>
      <w:r w:rsidRPr="008B1465">
        <w:t>Recommendations</w:t>
      </w:r>
      <w:bookmarkEnd w:id="152"/>
    </w:p>
    <w:p w14:paraId="5BA8534F" w14:textId="50CA1508" w:rsidR="00FE1004" w:rsidRPr="009A61A7" w:rsidRDefault="00FE1004" w:rsidP="00FE1004">
      <w:pPr>
        <w:spacing w:line="360" w:lineRule="auto"/>
        <w:jc w:val="both"/>
        <w:rPr>
          <w:rFonts w:ascii="Times New Roman" w:hAnsi="Times New Roman"/>
          <w:sz w:val="24"/>
          <w:szCs w:val="24"/>
        </w:rPr>
      </w:pPr>
      <w:r w:rsidRPr="009A61A7">
        <w:rPr>
          <w:rFonts w:ascii="Times New Roman" w:hAnsi="Times New Roman"/>
          <w:sz w:val="24"/>
          <w:szCs w:val="24"/>
        </w:rPr>
        <w:t xml:space="preserve">Forensic accounting techniques have proven instrumental in uncovering instances of financial misconduct among Federal Universities in Southwest Nigeria. Through meticulous examination of financial records, these techniques have identified various irregularities, such as misappropriation of funds, </w:t>
      </w:r>
      <w:r w:rsidR="00C25CFF">
        <w:rPr>
          <w:rFonts w:ascii="Times New Roman" w:hAnsi="Times New Roman"/>
          <w:sz w:val="24"/>
          <w:szCs w:val="24"/>
        </w:rPr>
        <w:t>creative accounting practices</w:t>
      </w:r>
      <w:r w:rsidRPr="009A61A7">
        <w:rPr>
          <w:rFonts w:ascii="Times New Roman" w:hAnsi="Times New Roman"/>
          <w:sz w:val="24"/>
          <w:szCs w:val="24"/>
        </w:rPr>
        <w:t xml:space="preserve">, and unauthorized expenditures. The use of data analysis tools, such as </w:t>
      </w:r>
      <w:r w:rsidR="006A30DB">
        <w:rPr>
          <w:rFonts w:ascii="Times New Roman" w:hAnsi="Times New Roman"/>
          <w:sz w:val="24"/>
          <w:szCs w:val="24"/>
        </w:rPr>
        <w:t>regression</w:t>
      </w:r>
      <w:r w:rsidRPr="009A61A7">
        <w:rPr>
          <w:rFonts w:ascii="Times New Roman" w:hAnsi="Times New Roman"/>
          <w:sz w:val="24"/>
          <w:szCs w:val="24"/>
        </w:rPr>
        <w:t xml:space="preserve"> analysis and anomaly detection, has helped pinpoint areas of concern within university finances. Furthermore, </w:t>
      </w:r>
      <w:r w:rsidR="00C25CFF">
        <w:rPr>
          <w:rFonts w:ascii="Times New Roman" w:hAnsi="Times New Roman"/>
          <w:sz w:val="24"/>
          <w:szCs w:val="24"/>
        </w:rPr>
        <w:t>research instrument</w:t>
      </w:r>
      <w:r w:rsidRPr="009A61A7">
        <w:rPr>
          <w:rFonts w:ascii="Times New Roman" w:hAnsi="Times New Roman"/>
          <w:sz w:val="24"/>
          <w:szCs w:val="24"/>
        </w:rPr>
        <w:t xml:space="preserve"> and document reviews have provided valuable insights into the modus operandi of those involved in financial misconduct. Overall, the findings from forensic accounting techniques underline the need for enhanced transparency and accountability in the financial management of these universities.</w:t>
      </w:r>
    </w:p>
    <w:p w14:paraId="6390EEC4" w14:textId="77777777" w:rsidR="00FE1004" w:rsidRDefault="00FE1004" w:rsidP="00FE1004">
      <w:pPr>
        <w:spacing w:line="360" w:lineRule="auto"/>
        <w:jc w:val="both"/>
        <w:rPr>
          <w:rFonts w:ascii="Times New Roman" w:hAnsi="Times New Roman"/>
          <w:sz w:val="24"/>
          <w:szCs w:val="24"/>
        </w:rPr>
      </w:pPr>
      <w:r w:rsidRPr="009A61A7">
        <w:rPr>
          <w:rFonts w:ascii="Times New Roman" w:hAnsi="Times New Roman"/>
          <w:sz w:val="24"/>
          <w:szCs w:val="24"/>
        </w:rPr>
        <w:t>The application of forensic accounting techniques has allowed for the rigorous testing of several hypotheses related to financial misconduct in Federal Universities in Southwest Nigeria. Hypotheses that alleged embezzlement, corruption, or financial mismanagement have been put to the test. The results have corroborated suspicions in many cases, revealing that financial misconduct is a genuine concern within these institutions. Additionally, hypotheses regarding the effectiveness of internal controls and oversight mechanisms have been examined. The findings suggest that weaknesses in these areas contribute significantly to the prevalence of financial misconduct. As such, it is imperative for Federal Universities in the region to strengthen their internal controls and invest in proactive fraud prevention measures to mitigate the risks associated with financial misconduct.</w:t>
      </w:r>
    </w:p>
    <w:p w14:paraId="4A24B2B7" w14:textId="77777777" w:rsidR="00FE1004" w:rsidRPr="009A61A7" w:rsidRDefault="00FE1004" w:rsidP="00FE1004">
      <w:pPr>
        <w:spacing w:line="360" w:lineRule="auto"/>
        <w:jc w:val="both"/>
        <w:rPr>
          <w:rFonts w:ascii="Times New Roman" w:hAnsi="Times New Roman"/>
          <w:sz w:val="24"/>
          <w:szCs w:val="24"/>
        </w:rPr>
      </w:pPr>
      <w:r w:rsidRPr="009A61A7">
        <w:rPr>
          <w:rFonts w:ascii="Times New Roman" w:hAnsi="Times New Roman"/>
          <w:sz w:val="24"/>
          <w:szCs w:val="24"/>
        </w:rPr>
        <w:t xml:space="preserve">In light of the compelling findings, </w:t>
      </w:r>
      <w:r>
        <w:rPr>
          <w:rFonts w:ascii="Times New Roman" w:hAnsi="Times New Roman"/>
          <w:sz w:val="24"/>
          <w:szCs w:val="24"/>
        </w:rPr>
        <w:t>the study</w:t>
      </w:r>
      <w:r w:rsidRPr="009A61A7">
        <w:rPr>
          <w:rFonts w:ascii="Times New Roman" w:hAnsi="Times New Roman"/>
          <w:sz w:val="24"/>
          <w:szCs w:val="24"/>
        </w:rPr>
        <w:t xml:space="preserve"> emphatically recommends the immediate implementation of forensic accounting techniques to combat financial misconduct among Federal Universities in Southwest Nigeria. It is imperative that the Vice-Chancellors and Chief Finance Officers of these universities take a proactive stance in adopting these techniques. you both play pivotal roles in this endeavor. Collaborate closely with experienced forensic accountants and auditors to scrutinize financial records rigorously. By doing so, you can ensure that financial misconduct is swiftly detected, investigated, and addressed, thereby safeguarding the institutions' financial integrity.</w:t>
      </w:r>
    </w:p>
    <w:p w14:paraId="44C52EFC" w14:textId="324CA514" w:rsidR="00FE1004" w:rsidRDefault="00FE1004" w:rsidP="0045474C">
      <w:pPr>
        <w:spacing w:line="360" w:lineRule="auto"/>
        <w:jc w:val="both"/>
        <w:rPr>
          <w:rFonts w:ascii="Times New Roman" w:hAnsi="Times New Roman"/>
          <w:sz w:val="24"/>
          <w:szCs w:val="24"/>
        </w:rPr>
      </w:pPr>
      <w:r w:rsidRPr="009A61A7">
        <w:rPr>
          <w:rFonts w:ascii="Times New Roman" w:hAnsi="Times New Roman"/>
          <w:sz w:val="24"/>
          <w:szCs w:val="24"/>
        </w:rPr>
        <w:t xml:space="preserve">Having rigorously tested the hypotheses related to financial misconduct, </w:t>
      </w:r>
      <w:r>
        <w:rPr>
          <w:rFonts w:ascii="Times New Roman" w:hAnsi="Times New Roman"/>
          <w:sz w:val="24"/>
          <w:szCs w:val="24"/>
        </w:rPr>
        <w:t>the study</w:t>
      </w:r>
      <w:r w:rsidRPr="009A61A7">
        <w:rPr>
          <w:rFonts w:ascii="Times New Roman" w:hAnsi="Times New Roman"/>
          <w:sz w:val="24"/>
          <w:szCs w:val="24"/>
        </w:rPr>
        <w:t xml:space="preserve"> unequivocally recommends the integration of forensic accounting techniques into the financial management systems of Federal Universities in Southwest Nigeria. This initiative should be spearheaded by the Board of Trustees and Internal Audit Committee, with the full support of the Vice-Chancellors</w:t>
      </w:r>
      <w:r>
        <w:rPr>
          <w:rFonts w:ascii="Times New Roman" w:hAnsi="Times New Roman"/>
          <w:sz w:val="24"/>
          <w:szCs w:val="24"/>
        </w:rPr>
        <w:t xml:space="preserve"> of various universities under study.</w:t>
      </w:r>
      <w:r w:rsidRPr="009A61A7">
        <w:rPr>
          <w:rFonts w:ascii="Times New Roman" w:hAnsi="Times New Roman"/>
          <w:sz w:val="24"/>
          <w:szCs w:val="24"/>
        </w:rPr>
        <w:t xml:space="preserve"> </w:t>
      </w:r>
      <w:r>
        <w:rPr>
          <w:rFonts w:ascii="Times New Roman" w:hAnsi="Times New Roman"/>
          <w:sz w:val="24"/>
          <w:szCs w:val="24"/>
        </w:rPr>
        <w:t>Moreover, there is need to imbibe/</w:t>
      </w:r>
      <w:r w:rsidRPr="009A61A7">
        <w:rPr>
          <w:rFonts w:ascii="Times New Roman" w:hAnsi="Times New Roman"/>
          <w:sz w:val="24"/>
          <w:szCs w:val="24"/>
        </w:rPr>
        <w:t xml:space="preserve">enforce a culture of transparency and accountability within the universities. Implement robust internal controls, conduct regular forensic audits, and hold individuals accountable for any financial misconduct. By doing so, </w:t>
      </w:r>
      <w:r>
        <w:rPr>
          <w:rFonts w:ascii="Times New Roman" w:hAnsi="Times New Roman"/>
          <w:sz w:val="24"/>
          <w:szCs w:val="24"/>
        </w:rPr>
        <w:t>the management</w:t>
      </w:r>
      <w:r w:rsidRPr="009A61A7">
        <w:rPr>
          <w:rFonts w:ascii="Times New Roman" w:hAnsi="Times New Roman"/>
          <w:sz w:val="24"/>
          <w:szCs w:val="24"/>
        </w:rPr>
        <w:t xml:space="preserve"> can collectively fortify the financial stability of these institutions and ensure that they remain beacons of academic excellence.</w:t>
      </w:r>
    </w:p>
    <w:p w14:paraId="0ED494A9" w14:textId="50668FB0" w:rsidR="002C15CD" w:rsidRDefault="002C15CD" w:rsidP="002C15CD">
      <w:pPr>
        <w:pStyle w:val="Heading2"/>
      </w:pPr>
      <w:bookmarkStart w:id="153" w:name="_Toc145951144"/>
      <w:r w:rsidRPr="008B1465">
        <w:t>Contribution</w:t>
      </w:r>
      <w:r w:rsidR="00BD674B" w:rsidRPr="008B1465">
        <w:t>s</w:t>
      </w:r>
      <w:r w:rsidRPr="008B1465">
        <w:t xml:space="preserve"> to Knowledge</w:t>
      </w:r>
      <w:bookmarkEnd w:id="153"/>
    </w:p>
    <w:p w14:paraId="0F28CC7E" w14:textId="77777777" w:rsidR="00422239" w:rsidRPr="009A61A7" w:rsidRDefault="00422239" w:rsidP="00E01CAC">
      <w:pPr>
        <w:spacing w:line="360" w:lineRule="auto"/>
        <w:jc w:val="both"/>
        <w:rPr>
          <w:rFonts w:ascii="Times New Roman" w:hAnsi="Times New Roman"/>
          <w:sz w:val="24"/>
          <w:szCs w:val="24"/>
        </w:rPr>
      </w:pPr>
      <w:r w:rsidRPr="009A61A7">
        <w:rPr>
          <w:rFonts w:ascii="Times New Roman" w:hAnsi="Times New Roman"/>
          <w:sz w:val="24"/>
          <w:szCs w:val="24"/>
        </w:rPr>
        <w:t>The study on forensic accounting techniques and financial misconduct among Federal Universities in Southwest Nigeria contributes to the development of sound financial policies for these institutions. By uncovering instances of misconduct and proposing preventive measures, it underscores the need for the implementation of policies that promote transparency, accountability, and ethical financial practices within the university system.</w:t>
      </w:r>
    </w:p>
    <w:p w14:paraId="2B39B30D" w14:textId="77777777" w:rsidR="00422239" w:rsidRPr="009A61A7" w:rsidRDefault="00422239" w:rsidP="00E01CAC">
      <w:pPr>
        <w:spacing w:line="360" w:lineRule="auto"/>
        <w:jc w:val="both"/>
        <w:rPr>
          <w:rFonts w:ascii="Times New Roman" w:hAnsi="Times New Roman"/>
          <w:sz w:val="24"/>
          <w:szCs w:val="24"/>
        </w:rPr>
      </w:pPr>
      <w:r w:rsidRPr="009A61A7">
        <w:rPr>
          <w:rFonts w:ascii="Times New Roman" w:hAnsi="Times New Roman"/>
          <w:sz w:val="24"/>
          <w:szCs w:val="24"/>
        </w:rPr>
        <w:t>This research extends the theoretical understanding of financial misconduct by applying forensic accounting techniques in a unique context. It delves into the theoretical underpinnings of financial fraud and provides insights into how these concepts manifest within the higher education sector, offering a valuable contribution to the broader field of forensic accounting theory.</w:t>
      </w:r>
    </w:p>
    <w:p w14:paraId="5F96B2D1" w14:textId="77777777" w:rsidR="00422239" w:rsidRPr="009A61A7" w:rsidRDefault="00422239" w:rsidP="00E01CAC">
      <w:pPr>
        <w:spacing w:line="360" w:lineRule="auto"/>
        <w:jc w:val="both"/>
        <w:rPr>
          <w:rFonts w:ascii="Times New Roman" w:hAnsi="Times New Roman"/>
          <w:sz w:val="24"/>
          <w:szCs w:val="24"/>
        </w:rPr>
      </w:pPr>
      <w:r w:rsidRPr="009A61A7">
        <w:rPr>
          <w:rFonts w:ascii="Times New Roman" w:hAnsi="Times New Roman"/>
          <w:sz w:val="24"/>
          <w:szCs w:val="24"/>
        </w:rPr>
        <w:t>The study adds to the empirical literature on financial misconduct by providing concrete evidence of its existence within Federal Universities in Southwest Nigeria. It offers real-world examples of fraudulent activities, which can serve as case studies for future research and contribute to a more comprehensive understanding of financial misconduct in academic institutions.</w:t>
      </w:r>
    </w:p>
    <w:p w14:paraId="3356E580" w14:textId="77777777" w:rsidR="00422239" w:rsidRPr="009A61A7" w:rsidRDefault="00422239" w:rsidP="00E01CAC">
      <w:pPr>
        <w:spacing w:line="360" w:lineRule="auto"/>
        <w:jc w:val="both"/>
        <w:rPr>
          <w:rFonts w:ascii="Times New Roman" w:hAnsi="Times New Roman"/>
          <w:sz w:val="24"/>
          <w:szCs w:val="24"/>
        </w:rPr>
      </w:pPr>
      <w:r w:rsidRPr="009A61A7">
        <w:rPr>
          <w:rFonts w:ascii="Times New Roman" w:hAnsi="Times New Roman"/>
          <w:sz w:val="24"/>
          <w:szCs w:val="24"/>
        </w:rPr>
        <w:t>From a practical standpoint, this research underscores the importance of incorporating forensic accounting techniques into the standard accounting practices of universities. It demonstrates that proactive measures, such as forensic audits and fraud prevention strategies, are essential in maintaining the financial integrity of educational institutions. These findings can guide accounting practitioners in universities across Nigeria and beyond.</w:t>
      </w:r>
    </w:p>
    <w:p w14:paraId="09A332C6" w14:textId="4165C84E" w:rsidR="00DD1846" w:rsidRPr="0045474C" w:rsidRDefault="00422239" w:rsidP="0045474C">
      <w:pPr>
        <w:spacing w:line="360" w:lineRule="auto"/>
        <w:jc w:val="both"/>
        <w:rPr>
          <w:rFonts w:ascii="Times New Roman" w:hAnsi="Times New Roman"/>
          <w:sz w:val="24"/>
          <w:szCs w:val="24"/>
        </w:rPr>
      </w:pPr>
      <w:r w:rsidRPr="009A61A7">
        <w:rPr>
          <w:rFonts w:ascii="Times New Roman" w:hAnsi="Times New Roman"/>
          <w:sz w:val="24"/>
          <w:szCs w:val="24"/>
        </w:rPr>
        <w:t>For academics, this research enriches the academic discourse surrounding forensic accounting and financial misconduct. It provides a foundation for further scholarly inquiry into the application of forensic accounting techniques in different organizational settings, highlighting their relevance in academia and encouraging more research in this area. It also underscores the importance of integrating real-world issues like financial misconduct into academic curricula to better prepare future accountants and auditors to address these challenges effectively.</w:t>
      </w:r>
    </w:p>
    <w:p w14:paraId="7F87829E" w14:textId="77777777" w:rsidR="002C15CD" w:rsidRPr="008B1465" w:rsidRDefault="002C15CD" w:rsidP="002C15CD">
      <w:pPr>
        <w:pStyle w:val="Heading2"/>
      </w:pPr>
      <w:bookmarkStart w:id="154" w:name="_Toc145951145"/>
      <w:r w:rsidRPr="008B1465">
        <w:t>Suggestions for Further Study</w:t>
      </w:r>
      <w:bookmarkEnd w:id="154"/>
    </w:p>
    <w:p w14:paraId="0CAAE701" w14:textId="77777777" w:rsidR="002C15CD" w:rsidRPr="008B1465" w:rsidRDefault="002C15CD" w:rsidP="002C15CD">
      <w:pPr>
        <w:spacing w:after="100" w:afterAutospacing="1" w:line="360" w:lineRule="auto"/>
        <w:jc w:val="both"/>
        <w:rPr>
          <w:rFonts w:ascii="Times New Roman" w:hAnsi="Times New Roman"/>
          <w:sz w:val="24"/>
          <w:szCs w:val="24"/>
        </w:rPr>
      </w:pPr>
      <w:r w:rsidRPr="008B1465">
        <w:rPr>
          <w:rFonts w:ascii="Times New Roman" w:hAnsi="Times New Roman"/>
          <w:sz w:val="24"/>
          <w:szCs w:val="24"/>
        </w:rPr>
        <w:t>To advance the understanding of financial misconduct and the effectiveness of forensic accounting techniques in the academic sector, the following areas warrant further investigation:</w:t>
      </w:r>
    </w:p>
    <w:p w14:paraId="136CD1BB" w14:textId="77777777" w:rsidR="002C15CD" w:rsidRPr="008B1465" w:rsidRDefault="002C15CD" w:rsidP="002C15CD">
      <w:pPr>
        <w:numPr>
          <w:ilvl w:val="0"/>
          <w:numId w:val="21"/>
        </w:numPr>
        <w:spacing w:after="100" w:afterAutospacing="1" w:line="360" w:lineRule="auto"/>
        <w:jc w:val="both"/>
        <w:rPr>
          <w:rFonts w:ascii="Times New Roman" w:hAnsi="Times New Roman"/>
          <w:sz w:val="24"/>
          <w:szCs w:val="24"/>
        </w:rPr>
      </w:pPr>
      <w:r w:rsidRPr="008B1465">
        <w:rPr>
          <w:rFonts w:ascii="Times New Roman" w:hAnsi="Times New Roman"/>
          <w:sz w:val="24"/>
          <w:szCs w:val="24"/>
        </w:rPr>
        <w:t>Comparative Analysis: Conduct a comparative study across different geo-political zones of Nigeria to determine variations in financial misconduct patterns and the utilization of forensic accounting techniques in federal universities.</w:t>
      </w:r>
    </w:p>
    <w:p w14:paraId="50B6A788" w14:textId="77777777" w:rsidR="002C15CD" w:rsidRPr="008B1465" w:rsidRDefault="002C15CD" w:rsidP="002C15CD">
      <w:pPr>
        <w:numPr>
          <w:ilvl w:val="0"/>
          <w:numId w:val="21"/>
        </w:numPr>
        <w:spacing w:after="100" w:afterAutospacing="1" w:line="360" w:lineRule="auto"/>
        <w:jc w:val="both"/>
        <w:rPr>
          <w:rFonts w:ascii="Times New Roman" w:hAnsi="Times New Roman"/>
          <w:sz w:val="24"/>
          <w:szCs w:val="24"/>
        </w:rPr>
      </w:pPr>
      <w:r w:rsidRPr="008B1465">
        <w:rPr>
          <w:rFonts w:ascii="Times New Roman" w:hAnsi="Times New Roman"/>
          <w:sz w:val="24"/>
          <w:szCs w:val="24"/>
        </w:rPr>
        <w:t>Longitudinal Study: Undertake a longitudinal study to assess the long-term impact of implementing forensic accounting techniques on reducing financial misconduct and improving financial accountability within federal universities.</w:t>
      </w:r>
    </w:p>
    <w:p w14:paraId="0A45F9E1" w14:textId="77777777" w:rsidR="002C15CD" w:rsidRPr="008B1465" w:rsidRDefault="002C15CD" w:rsidP="002C15CD">
      <w:pPr>
        <w:numPr>
          <w:ilvl w:val="0"/>
          <w:numId w:val="21"/>
        </w:numPr>
        <w:spacing w:after="100" w:afterAutospacing="1" w:line="360" w:lineRule="auto"/>
        <w:jc w:val="both"/>
        <w:rPr>
          <w:rFonts w:ascii="Times New Roman" w:hAnsi="Times New Roman"/>
          <w:sz w:val="24"/>
          <w:szCs w:val="24"/>
        </w:rPr>
      </w:pPr>
      <w:r w:rsidRPr="008B1465">
        <w:rPr>
          <w:rFonts w:ascii="Times New Roman" w:hAnsi="Times New Roman"/>
          <w:sz w:val="24"/>
          <w:szCs w:val="24"/>
        </w:rPr>
        <w:t>Cost-Benefit Analysis: Conduct a cost-benefit analysis to evaluate the economic feasibility and effectiveness of implementing forensic accounting techniques in federal universities, considering both short-term and long-term outcomes.</w:t>
      </w:r>
    </w:p>
    <w:p w14:paraId="398FEEAD" w14:textId="77777777" w:rsidR="002C15CD" w:rsidRPr="008B1465" w:rsidRDefault="002C15CD" w:rsidP="002C15CD">
      <w:pPr>
        <w:numPr>
          <w:ilvl w:val="0"/>
          <w:numId w:val="21"/>
        </w:numPr>
        <w:spacing w:after="100" w:afterAutospacing="1" w:line="360" w:lineRule="auto"/>
        <w:jc w:val="both"/>
        <w:rPr>
          <w:rFonts w:ascii="Times New Roman" w:hAnsi="Times New Roman"/>
          <w:sz w:val="24"/>
          <w:szCs w:val="24"/>
        </w:rPr>
      </w:pPr>
      <w:r w:rsidRPr="008B1465">
        <w:rPr>
          <w:rFonts w:ascii="Times New Roman" w:hAnsi="Times New Roman"/>
          <w:sz w:val="24"/>
          <w:szCs w:val="24"/>
        </w:rPr>
        <w:t>Stakeholder Perspectives: Investigate the perceptions and experiences of various stakeholders, such as students, faculty members, administrators, and government officials, regarding financial misconduct and the role of forensic accounting techniques in addressing it.</w:t>
      </w:r>
    </w:p>
    <w:p w14:paraId="4C447B6D" w14:textId="77777777" w:rsidR="002C15CD" w:rsidRPr="008B1465" w:rsidRDefault="002C15CD" w:rsidP="002C15CD">
      <w:pPr>
        <w:spacing w:after="100" w:afterAutospacing="1" w:line="360" w:lineRule="auto"/>
        <w:jc w:val="both"/>
        <w:rPr>
          <w:rFonts w:ascii="Times New Roman" w:hAnsi="Times New Roman"/>
          <w:b/>
          <w:bCs/>
          <w:sz w:val="24"/>
          <w:szCs w:val="24"/>
        </w:rPr>
      </w:pPr>
    </w:p>
    <w:p w14:paraId="39BFF2BE" w14:textId="75C46B9D" w:rsidR="007379D1" w:rsidRPr="008B1465" w:rsidRDefault="00C975B5" w:rsidP="00345412">
      <w:pPr>
        <w:pStyle w:val="Heading1"/>
        <w:pageBreakBefore/>
        <w:numPr>
          <w:ilvl w:val="0"/>
          <w:numId w:val="0"/>
        </w:numPr>
        <w:spacing w:before="100" w:line="274" w:lineRule="auto"/>
      </w:pPr>
      <w:bookmarkStart w:id="155" w:name="_Toc145951146"/>
      <w:r w:rsidRPr="008B1465">
        <w:t>REFERENCES</w:t>
      </w:r>
      <w:bookmarkEnd w:id="155"/>
    </w:p>
    <w:p w14:paraId="4EA89BD5" w14:textId="77777777" w:rsidR="001E3325" w:rsidRPr="008B1465" w:rsidRDefault="001E3325" w:rsidP="00604242">
      <w:pPr>
        <w:tabs>
          <w:tab w:val="left" w:pos="1440"/>
        </w:tabs>
        <w:spacing w:before="0" w:beforeAutospacing="0" w:after="0" w:line="360" w:lineRule="auto"/>
        <w:rPr>
          <w:rFonts w:ascii="Times New Roman" w:hAnsi="Times New Roman"/>
          <w:sz w:val="24"/>
          <w:szCs w:val="24"/>
        </w:rPr>
      </w:pPr>
    </w:p>
    <w:p w14:paraId="7764FDAD" w14:textId="77777777" w:rsidR="0083389C" w:rsidRPr="008B1465" w:rsidRDefault="0083389C" w:rsidP="00D44C13">
      <w:pPr>
        <w:pStyle w:val="NoSpacing"/>
        <w:spacing w:line="360" w:lineRule="auto"/>
        <w:ind w:left="990" w:hanging="900"/>
        <w:jc w:val="both"/>
        <w:rPr>
          <w:rFonts w:ascii="Times New Roman" w:hAnsi="Times New Roman"/>
          <w:color w:val="222222"/>
          <w:sz w:val="24"/>
          <w:szCs w:val="24"/>
          <w:shd w:val="clear" w:color="auto" w:fill="FFFFFF"/>
        </w:rPr>
      </w:pPr>
      <w:r w:rsidRPr="008B1465">
        <w:rPr>
          <w:rFonts w:ascii="Times New Roman" w:hAnsi="Times New Roman"/>
          <w:color w:val="222222"/>
          <w:sz w:val="24"/>
          <w:szCs w:val="24"/>
          <w:shd w:val="clear" w:color="auto" w:fill="FFFFFF"/>
        </w:rPr>
        <w:t>Abdullah, R., Ismail, Z., &amp; Smith, M. (2018). Audit committees' involvement and the effects of quality in the internal audit function on corporate governance. </w:t>
      </w:r>
      <w:r w:rsidRPr="008B1465">
        <w:rPr>
          <w:rFonts w:ascii="Times New Roman" w:hAnsi="Times New Roman"/>
          <w:i/>
          <w:iCs/>
          <w:color w:val="222222"/>
          <w:sz w:val="24"/>
          <w:szCs w:val="24"/>
          <w:shd w:val="clear" w:color="auto" w:fill="FFFFFF"/>
        </w:rPr>
        <w:t>International Journal of Auditing</w:t>
      </w:r>
      <w:r w:rsidRPr="008B1465">
        <w:rPr>
          <w:rFonts w:ascii="Times New Roman" w:hAnsi="Times New Roman"/>
          <w:color w:val="222222"/>
          <w:sz w:val="24"/>
          <w:szCs w:val="24"/>
          <w:shd w:val="clear" w:color="auto" w:fill="FFFFFF"/>
        </w:rPr>
        <w:t>, </w:t>
      </w:r>
      <w:r w:rsidRPr="008B1465">
        <w:rPr>
          <w:rFonts w:ascii="Times New Roman" w:hAnsi="Times New Roman"/>
          <w:i/>
          <w:iCs/>
          <w:color w:val="222222"/>
          <w:sz w:val="24"/>
          <w:szCs w:val="24"/>
          <w:shd w:val="clear" w:color="auto" w:fill="FFFFFF"/>
        </w:rPr>
        <w:t>22</w:t>
      </w:r>
      <w:r w:rsidRPr="008B1465">
        <w:rPr>
          <w:rFonts w:ascii="Times New Roman" w:hAnsi="Times New Roman"/>
          <w:color w:val="222222"/>
          <w:sz w:val="24"/>
          <w:szCs w:val="24"/>
          <w:shd w:val="clear" w:color="auto" w:fill="FFFFFF"/>
        </w:rPr>
        <w:t>(3), 385-403.</w:t>
      </w:r>
    </w:p>
    <w:p w14:paraId="7864C3D7" w14:textId="77777777" w:rsidR="0083389C" w:rsidRPr="008B1465" w:rsidRDefault="0083389C" w:rsidP="00D44C13">
      <w:pPr>
        <w:pStyle w:val="NoSpacing"/>
        <w:spacing w:line="360" w:lineRule="auto"/>
        <w:ind w:left="990" w:hanging="900"/>
        <w:jc w:val="both"/>
        <w:rPr>
          <w:rFonts w:ascii="Times New Roman" w:hAnsi="Times New Roman"/>
          <w:i/>
          <w:sz w:val="24"/>
          <w:szCs w:val="24"/>
        </w:rPr>
      </w:pPr>
      <w:r w:rsidRPr="008B1465">
        <w:rPr>
          <w:rFonts w:ascii="Times New Roman" w:hAnsi="Times New Roman"/>
          <w:sz w:val="24"/>
          <w:szCs w:val="24"/>
        </w:rPr>
        <w:t xml:space="preserve">Abdulrahman, M. H. A., Ab Yajid, M. S., Khatibi, A., &amp; Azam, S. F. (2020). The impact of forensic accounting on fraud detection in the UAE banking sector: An empirical study. </w:t>
      </w:r>
      <w:r w:rsidRPr="008B1465">
        <w:rPr>
          <w:rFonts w:ascii="Times New Roman" w:hAnsi="Times New Roman"/>
          <w:i/>
          <w:sz w:val="24"/>
          <w:szCs w:val="24"/>
        </w:rPr>
        <w:t>European Journal of Social Sciences Studies.</w:t>
      </w:r>
    </w:p>
    <w:p w14:paraId="4CBA01D2"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Abdulrahman, S. (2019). Forensic accounting and fraud prevention in Nigerian public sector: A conceptual paper. </w:t>
      </w:r>
      <w:r w:rsidRPr="008B1465">
        <w:rPr>
          <w:rFonts w:ascii="Times New Roman" w:hAnsi="Times New Roman"/>
          <w:i/>
          <w:sz w:val="24"/>
          <w:szCs w:val="24"/>
        </w:rPr>
        <w:t>International Journal of Accounting &amp; Finance Review</w:t>
      </w:r>
      <w:r w:rsidRPr="008B1465">
        <w:rPr>
          <w:rFonts w:ascii="Times New Roman" w:hAnsi="Times New Roman"/>
          <w:sz w:val="24"/>
          <w:szCs w:val="24"/>
        </w:rPr>
        <w:t>, 4(2), 13-21.</w:t>
      </w:r>
    </w:p>
    <w:p w14:paraId="16E4B2BA" w14:textId="77777777" w:rsidR="0083389C" w:rsidRDefault="0083389C" w:rsidP="005D3033">
      <w:pPr>
        <w:pStyle w:val="NoSpacing"/>
        <w:spacing w:line="360" w:lineRule="auto"/>
        <w:ind w:left="990" w:hanging="900"/>
        <w:jc w:val="both"/>
        <w:rPr>
          <w:rFonts w:ascii="Times New Roman" w:hAnsi="Times New Roman"/>
          <w:color w:val="222222"/>
          <w:sz w:val="24"/>
          <w:szCs w:val="24"/>
          <w:shd w:val="clear" w:color="auto" w:fill="FFFFFF"/>
        </w:rPr>
      </w:pPr>
      <w:r w:rsidRPr="005D3033">
        <w:rPr>
          <w:rFonts w:ascii="Times New Roman" w:hAnsi="Times New Roman"/>
          <w:color w:val="222222"/>
          <w:sz w:val="24"/>
          <w:szCs w:val="24"/>
          <w:shd w:val="clear" w:color="auto" w:fill="FFFFFF"/>
        </w:rPr>
        <w:t>Abu, S. O., &amp; Okpe, J. U. (2021). Can the teaching of forensic and investigative accounting in Nigerian Universities be a solution to financial fraud? A Case Study of Universities in Katsina State. </w:t>
      </w:r>
      <w:r w:rsidRPr="005D3033">
        <w:rPr>
          <w:rFonts w:ascii="Times New Roman" w:hAnsi="Times New Roman"/>
          <w:i/>
          <w:iCs/>
          <w:color w:val="222222"/>
          <w:sz w:val="24"/>
          <w:szCs w:val="24"/>
          <w:shd w:val="clear" w:color="auto" w:fill="FFFFFF"/>
        </w:rPr>
        <w:t>Global Research Journal of Accounting and Finance</w:t>
      </w:r>
      <w:r w:rsidRPr="005D3033">
        <w:rPr>
          <w:rFonts w:ascii="Times New Roman" w:hAnsi="Times New Roman"/>
          <w:color w:val="222222"/>
          <w:sz w:val="24"/>
          <w:szCs w:val="24"/>
          <w:shd w:val="clear" w:color="auto" w:fill="FFFFFF"/>
        </w:rPr>
        <w:t>, </w:t>
      </w:r>
      <w:r w:rsidRPr="005D3033">
        <w:rPr>
          <w:rFonts w:ascii="Times New Roman" w:hAnsi="Times New Roman"/>
          <w:i/>
          <w:iCs/>
          <w:color w:val="222222"/>
          <w:sz w:val="24"/>
          <w:szCs w:val="24"/>
          <w:shd w:val="clear" w:color="auto" w:fill="FFFFFF"/>
        </w:rPr>
        <w:t>1</w:t>
      </w:r>
      <w:r w:rsidRPr="005D3033">
        <w:rPr>
          <w:rFonts w:ascii="Times New Roman" w:hAnsi="Times New Roman"/>
          <w:color w:val="222222"/>
          <w:sz w:val="24"/>
          <w:szCs w:val="24"/>
          <w:shd w:val="clear" w:color="auto" w:fill="FFFFFF"/>
        </w:rPr>
        <w:t>(1), 81-91.</w:t>
      </w:r>
    </w:p>
    <w:p w14:paraId="5EA95073"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ACT, N. W. C. I. S. (2006). Federal Bureau of Investigation</w:t>
      </w:r>
    </w:p>
    <w:p w14:paraId="2080458A" w14:textId="77777777" w:rsidR="0083389C" w:rsidRPr="008B1465" w:rsidRDefault="0083389C" w:rsidP="00D44C13">
      <w:pPr>
        <w:pStyle w:val="NoSpacing"/>
        <w:spacing w:line="360" w:lineRule="auto"/>
        <w:ind w:left="990" w:hanging="900"/>
        <w:jc w:val="both"/>
        <w:rPr>
          <w:rFonts w:ascii="Times New Roman" w:hAnsi="Times New Roman"/>
          <w:sz w:val="24"/>
          <w:szCs w:val="24"/>
        </w:rPr>
      </w:pPr>
      <w:bookmarkStart w:id="156" w:name="_Hlk122772055"/>
      <w:r w:rsidRPr="008B1465">
        <w:rPr>
          <w:rFonts w:ascii="Times New Roman" w:hAnsi="Times New Roman"/>
          <w:sz w:val="24"/>
          <w:szCs w:val="24"/>
        </w:rPr>
        <w:t xml:space="preserve">Adebisi, J. (2013). </w:t>
      </w:r>
      <w:bookmarkEnd w:id="156"/>
      <w:r w:rsidRPr="008B1465">
        <w:rPr>
          <w:rFonts w:ascii="Times New Roman" w:hAnsi="Times New Roman"/>
          <w:sz w:val="24"/>
          <w:szCs w:val="24"/>
        </w:rPr>
        <w:t xml:space="preserve">The new fraud diamond model-how can it help forensic accountants in fraud investigation in Nigeria? </w:t>
      </w:r>
      <w:r w:rsidRPr="008B1465">
        <w:rPr>
          <w:rFonts w:ascii="Times New Roman" w:hAnsi="Times New Roman"/>
          <w:i/>
          <w:iCs/>
          <w:sz w:val="24"/>
          <w:szCs w:val="24"/>
        </w:rPr>
        <w:t>European Journal of Accounting Auditing and Finance Research</w:t>
      </w:r>
      <w:r w:rsidRPr="008B1465">
        <w:rPr>
          <w:rFonts w:ascii="Times New Roman" w:hAnsi="Times New Roman"/>
          <w:sz w:val="24"/>
          <w:szCs w:val="24"/>
        </w:rPr>
        <w:t xml:space="preserve">, </w:t>
      </w:r>
      <w:r w:rsidRPr="008B1465">
        <w:rPr>
          <w:rFonts w:ascii="Times New Roman" w:hAnsi="Times New Roman"/>
          <w:i/>
          <w:iCs/>
          <w:sz w:val="24"/>
          <w:szCs w:val="24"/>
        </w:rPr>
        <w:t>1</w:t>
      </w:r>
      <w:r w:rsidRPr="008B1465">
        <w:rPr>
          <w:rFonts w:ascii="Times New Roman" w:hAnsi="Times New Roman"/>
          <w:sz w:val="24"/>
          <w:szCs w:val="24"/>
        </w:rPr>
        <w:t>(4), 129-138</w:t>
      </w:r>
    </w:p>
    <w:p w14:paraId="73F878FA"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Adegbie, F. F., &amp; Fakile, A. S. (2012). Economic and financial crime in Nigeria: Forensic accounting as antidote. </w:t>
      </w:r>
      <w:r w:rsidRPr="008B1465">
        <w:rPr>
          <w:rFonts w:ascii="Times New Roman" w:hAnsi="Times New Roman"/>
          <w:i/>
          <w:sz w:val="24"/>
          <w:szCs w:val="24"/>
        </w:rPr>
        <w:t>British Journal of Arts and Social Sciences</w:t>
      </w:r>
      <w:r w:rsidRPr="008B1465">
        <w:rPr>
          <w:rFonts w:ascii="Times New Roman" w:hAnsi="Times New Roman"/>
          <w:sz w:val="24"/>
          <w:szCs w:val="24"/>
        </w:rPr>
        <w:t>, 6(1) 37-50.</w:t>
      </w:r>
    </w:p>
    <w:p w14:paraId="1E45F15A" w14:textId="77777777" w:rsidR="0083389C" w:rsidRDefault="0083389C" w:rsidP="005D3033">
      <w:pPr>
        <w:pStyle w:val="NoSpacing"/>
        <w:spacing w:line="360" w:lineRule="auto"/>
        <w:ind w:left="990" w:hanging="900"/>
        <w:jc w:val="both"/>
        <w:rPr>
          <w:rFonts w:ascii="Times New Roman" w:hAnsi="Times New Roman"/>
          <w:color w:val="222222"/>
          <w:sz w:val="24"/>
          <w:szCs w:val="24"/>
          <w:shd w:val="clear" w:color="auto" w:fill="FFFFFF"/>
        </w:rPr>
      </w:pPr>
      <w:r w:rsidRPr="005D3033">
        <w:rPr>
          <w:rFonts w:ascii="Times New Roman" w:hAnsi="Times New Roman"/>
          <w:color w:val="222222"/>
          <w:sz w:val="24"/>
          <w:szCs w:val="24"/>
          <w:shd w:val="clear" w:color="auto" w:fill="FFFFFF"/>
        </w:rPr>
        <w:t>Adegbie, F. F., Owoeye, K. T., &amp; Dada, O. S. (2019). Federal government budget implementation and application of forensic accounting techniques: antidote to fraud in federal public sector. </w:t>
      </w:r>
      <w:r w:rsidRPr="005D3033">
        <w:rPr>
          <w:rFonts w:ascii="Times New Roman" w:hAnsi="Times New Roman"/>
          <w:i/>
          <w:iCs/>
          <w:color w:val="222222"/>
          <w:sz w:val="24"/>
          <w:szCs w:val="24"/>
          <w:shd w:val="clear" w:color="auto" w:fill="FFFFFF"/>
        </w:rPr>
        <w:t>Editorial Advisory Board</w:t>
      </w:r>
      <w:r w:rsidRPr="005D3033">
        <w:rPr>
          <w:rFonts w:ascii="Times New Roman" w:hAnsi="Times New Roman"/>
          <w:color w:val="222222"/>
          <w:sz w:val="24"/>
          <w:szCs w:val="24"/>
          <w:shd w:val="clear" w:color="auto" w:fill="FFFFFF"/>
        </w:rPr>
        <w:t>, 1.</w:t>
      </w:r>
    </w:p>
    <w:p w14:paraId="7C48DE23"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Adesina, J. O. (2020). Policy Merchandising and Social Assistance in Africa: Don't Call Dog Monkey for Me. </w:t>
      </w:r>
      <w:r w:rsidRPr="008B1465">
        <w:rPr>
          <w:rFonts w:ascii="Times New Roman" w:hAnsi="Times New Roman"/>
          <w:i/>
          <w:iCs/>
          <w:sz w:val="24"/>
          <w:szCs w:val="24"/>
          <w:shd w:val="clear" w:color="auto" w:fill="FFFFFF"/>
        </w:rPr>
        <w:t>Development and Change</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51</w:t>
      </w:r>
      <w:r w:rsidRPr="008B1465">
        <w:rPr>
          <w:rFonts w:ascii="Times New Roman" w:hAnsi="Times New Roman"/>
          <w:sz w:val="24"/>
          <w:szCs w:val="24"/>
          <w:shd w:val="clear" w:color="auto" w:fill="FFFFFF"/>
        </w:rPr>
        <w:t xml:space="preserve">(2), 561-582. </w:t>
      </w:r>
    </w:p>
    <w:p w14:paraId="127ED9C2" w14:textId="77777777" w:rsidR="0083389C" w:rsidRDefault="0083389C" w:rsidP="005D3033">
      <w:pPr>
        <w:pStyle w:val="NoSpacing"/>
        <w:spacing w:line="360" w:lineRule="auto"/>
        <w:ind w:left="990" w:hanging="900"/>
        <w:jc w:val="both"/>
        <w:rPr>
          <w:rFonts w:ascii="Times New Roman" w:hAnsi="Times New Roman"/>
          <w:color w:val="222222"/>
          <w:sz w:val="24"/>
          <w:szCs w:val="24"/>
          <w:shd w:val="clear" w:color="auto" w:fill="FFFFFF"/>
        </w:rPr>
      </w:pPr>
      <w:r w:rsidRPr="005D3033">
        <w:rPr>
          <w:rFonts w:ascii="Times New Roman" w:hAnsi="Times New Roman"/>
          <w:color w:val="222222"/>
          <w:sz w:val="24"/>
          <w:szCs w:val="24"/>
          <w:shd w:val="clear" w:color="auto" w:fill="FFFFFF"/>
        </w:rPr>
        <w:t>Aghimien, D., Aigbavboa, C., Oke, A., &amp; Thwala, W. (2021). </w:t>
      </w:r>
      <w:r w:rsidRPr="005D3033">
        <w:rPr>
          <w:rFonts w:ascii="Times New Roman" w:hAnsi="Times New Roman"/>
          <w:i/>
          <w:iCs/>
          <w:color w:val="222222"/>
          <w:sz w:val="24"/>
          <w:szCs w:val="24"/>
          <w:shd w:val="clear" w:color="auto" w:fill="FFFFFF"/>
        </w:rPr>
        <w:t>Construction Digitalisation: A Capability Maturity Model for Construction Organisations</w:t>
      </w:r>
      <w:r w:rsidRPr="005D3033">
        <w:rPr>
          <w:rFonts w:ascii="Times New Roman" w:hAnsi="Times New Roman"/>
          <w:color w:val="222222"/>
          <w:sz w:val="24"/>
          <w:szCs w:val="24"/>
          <w:shd w:val="clear" w:color="auto" w:fill="FFFFFF"/>
        </w:rPr>
        <w:t>. Routledge.</w:t>
      </w:r>
    </w:p>
    <w:p w14:paraId="27749077"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bookmarkStart w:id="157" w:name="_Hlk122878938"/>
      <w:r w:rsidRPr="008B1465">
        <w:rPr>
          <w:rFonts w:ascii="Times New Roman" w:hAnsi="Times New Roman"/>
          <w:sz w:val="24"/>
          <w:szCs w:val="24"/>
          <w:shd w:val="clear" w:color="auto" w:fill="FFFFFF"/>
        </w:rPr>
        <w:t xml:space="preserve">Agu, S. I., &amp; Okoye, E. I. (2018). </w:t>
      </w:r>
      <w:bookmarkEnd w:id="157"/>
      <w:r w:rsidRPr="008B1465">
        <w:rPr>
          <w:rFonts w:ascii="Times New Roman" w:hAnsi="Times New Roman"/>
          <w:sz w:val="24"/>
          <w:szCs w:val="24"/>
          <w:shd w:val="clear" w:color="auto" w:fill="FFFFFF"/>
        </w:rPr>
        <w:t>Application of Forensic Accounting: A Bridge to Audit Expectation Gap in Nigerian Deposit Money Banks in Enugu State. </w:t>
      </w:r>
      <w:r w:rsidRPr="008B1465">
        <w:rPr>
          <w:rFonts w:ascii="Times New Roman" w:hAnsi="Times New Roman"/>
          <w:i/>
          <w:iCs/>
          <w:sz w:val="24"/>
          <w:szCs w:val="24"/>
          <w:shd w:val="clear" w:color="auto" w:fill="FFFFFF"/>
        </w:rPr>
        <w:t>International Journal of Science and Research</w:t>
      </w:r>
    </w:p>
    <w:p w14:paraId="3DD6E66B" w14:textId="77777777" w:rsidR="0083389C" w:rsidRDefault="0083389C" w:rsidP="005D3033">
      <w:pPr>
        <w:pStyle w:val="NoSpacing"/>
        <w:spacing w:line="360" w:lineRule="auto"/>
        <w:ind w:left="990" w:hanging="900"/>
        <w:jc w:val="both"/>
        <w:rPr>
          <w:rFonts w:ascii="Times New Roman" w:hAnsi="Times New Roman"/>
          <w:color w:val="222222"/>
          <w:sz w:val="24"/>
          <w:szCs w:val="24"/>
          <w:shd w:val="clear" w:color="auto" w:fill="FFFFFF"/>
        </w:rPr>
      </w:pPr>
      <w:r w:rsidRPr="005D3033">
        <w:rPr>
          <w:rFonts w:ascii="Times New Roman" w:hAnsi="Times New Roman"/>
          <w:color w:val="222222"/>
          <w:sz w:val="24"/>
          <w:szCs w:val="24"/>
          <w:shd w:val="clear" w:color="auto" w:fill="FFFFFF"/>
        </w:rPr>
        <w:t>Ahmed, I., Abubakar, N., Garba, H. A., &amp; Hamzah, M. A. (2023). Effect of detection and control of financial fraud on performance of Nigerian deposit money banks-a conceptual review. </w:t>
      </w:r>
      <w:r w:rsidRPr="005D3033">
        <w:rPr>
          <w:rFonts w:ascii="Times New Roman" w:hAnsi="Times New Roman"/>
          <w:i/>
          <w:iCs/>
          <w:color w:val="222222"/>
          <w:sz w:val="24"/>
          <w:szCs w:val="24"/>
          <w:shd w:val="clear" w:color="auto" w:fill="FFFFFF"/>
        </w:rPr>
        <w:t>Journal of Global Social Sciences</w:t>
      </w:r>
      <w:r w:rsidRPr="005D3033">
        <w:rPr>
          <w:rFonts w:ascii="Times New Roman" w:hAnsi="Times New Roman"/>
          <w:color w:val="222222"/>
          <w:sz w:val="24"/>
          <w:szCs w:val="24"/>
          <w:shd w:val="clear" w:color="auto" w:fill="FFFFFF"/>
        </w:rPr>
        <w:t>, </w:t>
      </w:r>
      <w:r w:rsidRPr="005D3033">
        <w:rPr>
          <w:rFonts w:ascii="Times New Roman" w:hAnsi="Times New Roman"/>
          <w:i/>
          <w:iCs/>
          <w:color w:val="222222"/>
          <w:sz w:val="24"/>
          <w:szCs w:val="24"/>
          <w:shd w:val="clear" w:color="auto" w:fill="FFFFFF"/>
        </w:rPr>
        <w:t>4</w:t>
      </w:r>
      <w:r w:rsidRPr="005D3033">
        <w:rPr>
          <w:rFonts w:ascii="Times New Roman" w:hAnsi="Times New Roman"/>
          <w:color w:val="222222"/>
          <w:sz w:val="24"/>
          <w:szCs w:val="24"/>
          <w:shd w:val="clear" w:color="auto" w:fill="FFFFFF"/>
        </w:rPr>
        <w:t>(13), 47-61.</w:t>
      </w:r>
    </w:p>
    <w:p w14:paraId="785271C2"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Ajekwe, C. C., &amp; Ibiamke, A. (2017). Accounting frauds: A review of literature. </w:t>
      </w:r>
      <w:r w:rsidRPr="008B1465">
        <w:rPr>
          <w:rFonts w:ascii="Times New Roman" w:hAnsi="Times New Roman"/>
          <w:i/>
          <w:iCs/>
          <w:sz w:val="24"/>
          <w:szCs w:val="24"/>
          <w:shd w:val="clear" w:color="auto" w:fill="FFFFFF"/>
        </w:rPr>
        <w:t>IOSR Journal of Humanities and Social Science</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22</w:t>
      </w:r>
      <w:r w:rsidRPr="008B1465">
        <w:rPr>
          <w:rFonts w:ascii="Times New Roman" w:hAnsi="Times New Roman"/>
          <w:sz w:val="24"/>
          <w:szCs w:val="24"/>
          <w:shd w:val="clear" w:color="auto" w:fill="FFFFFF"/>
        </w:rPr>
        <w:t>(4), 42-43.</w:t>
      </w:r>
    </w:p>
    <w:p w14:paraId="0DE305FB"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Akabom-Ita, A. (2012). Impact analysis of interest rate on the net assets of multinational businesses in Nigeria. </w:t>
      </w:r>
      <w:r w:rsidRPr="008B1465">
        <w:rPr>
          <w:rFonts w:ascii="Times New Roman" w:hAnsi="Times New Roman"/>
          <w:i/>
          <w:iCs/>
          <w:sz w:val="24"/>
          <w:szCs w:val="24"/>
          <w:shd w:val="clear" w:color="auto" w:fill="FFFFFF"/>
        </w:rPr>
        <w:t>Research Journal of Finance and Accounting</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3</w:t>
      </w:r>
      <w:r w:rsidRPr="008B1465">
        <w:rPr>
          <w:rFonts w:ascii="Times New Roman" w:hAnsi="Times New Roman"/>
          <w:sz w:val="24"/>
          <w:szCs w:val="24"/>
          <w:shd w:val="clear" w:color="auto" w:fill="FFFFFF"/>
        </w:rPr>
        <w:t>(7), 146-167.</w:t>
      </w:r>
    </w:p>
    <w:p w14:paraId="5969343E"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Akhidime, A. E., &amp; Uagbale-Ekatah, M. R. E. (2014). Financial Reports integrity and Codes of Corporate Governance compliance in Distressed Nigerian Banks</w:t>
      </w:r>
    </w:p>
    <w:p w14:paraId="340601FF"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Akhor, S. O., &amp; Oseghale, E. O. (2017). An empirical investigation of audit committee attributes and financial reporting lags in Nigeria banking sector. </w:t>
      </w:r>
      <w:r w:rsidRPr="008B1465">
        <w:rPr>
          <w:rFonts w:ascii="Times New Roman" w:hAnsi="Times New Roman"/>
          <w:i/>
          <w:iCs/>
          <w:sz w:val="24"/>
          <w:szCs w:val="24"/>
          <w:shd w:val="clear" w:color="auto" w:fill="FFFFFF"/>
        </w:rPr>
        <w:t>Journal of Accounting and Financial Management</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3</w:t>
      </w:r>
      <w:r w:rsidRPr="008B1465">
        <w:rPr>
          <w:rFonts w:ascii="Times New Roman" w:hAnsi="Times New Roman"/>
          <w:sz w:val="24"/>
          <w:szCs w:val="24"/>
          <w:shd w:val="clear" w:color="auto" w:fill="FFFFFF"/>
        </w:rPr>
        <w:t>(2), 25-38.</w:t>
      </w:r>
    </w:p>
    <w:p w14:paraId="65875473" w14:textId="77777777" w:rsidR="0083389C" w:rsidRPr="008B1465" w:rsidRDefault="0083389C" w:rsidP="002101D1">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Akinadewo, I. S., &amp; Akinkoye, E. Y. (2020). Application of forensic accounting and domestic debt management on government revenue in Nigeria. </w:t>
      </w:r>
      <w:r w:rsidRPr="008B1465">
        <w:rPr>
          <w:rFonts w:ascii="Times New Roman" w:hAnsi="Times New Roman"/>
          <w:i/>
          <w:iCs/>
          <w:sz w:val="24"/>
          <w:szCs w:val="24"/>
          <w:shd w:val="clear" w:color="auto" w:fill="FFFFFF"/>
        </w:rPr>
        <w:t xml:space="preserve">Issues in Business Management and Economics, </w:t>
      </w:r>
      <w:r w:rsidRPr="008544F5">
        <w:rPr>
          <w:rFonts w:ascii="Times New Roman" w:hAnsi="Times New Roman"/>
          <w:sz w:val="24"/>
          <w:szCs w:val="24"/>
          <w:shd w:val="clear" w:color="auto" w:fill="FFFFFF"/>
        </w:rPr>
        <w:t>4(3), 6-15.</w:t>
      </w:r>
    </w:p>
    <w:p w14:paraId="13BF9E31"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Akinadewo, I. S., &amp; Akinkoye, E. Y. (2020). Tax evasion detection in Nigeria: Analysis of the specific forensic accounting techniques used. In </w:t>
      </w:r>
      <w:r w:rsidRPr="008B1465">
        <w:rPr>
          <w:rFonts w:ascii="Times New Roman" w:hAnsi="Times New Roman"/>
          <w:i/>
          <w:iCs/>
          <w:sz w:val="24"/>
          <w:szCs w:val="24"/>
          <w:shd w:val="clear" w:color="auto" w:fill="FFFFFF"/>
        </w:rPr>
        <w:t>CBER-MEC 9th International Conference on Business &amp; Economic Development (ICBED)-A Virtual Conference</w:t>
      </w:r>
      <w:r w:rsidRPr="008B1465">
        <w:rPr>
          <w:rFonts w:ascii="Times New Roman" w:hAnsi="Times New Roman"/>
          <w:sz w:val="24"/>
          <w:szCs w:val="24"/>
          <w:shd w:val="clear" w:color="auto" w:fill="FFFFFF"/>
        </w:rPr>
        <w:t> 1(1); 131.</w:t>
      </w:r>
    </w:p>
    <w:p w14:paraId="39246C2F" w14:textId="77777777" w:rsidR="0083389C" w:rsidRDefault="0083389C" w:rsidP="005D3033">
      <w:pPr>
        <w:pStyle w:val="NoSpacing"/>
        <w:spacing w:line="360" w:lineRule="auto"/>
        <w:ind w:left="990" w:hanging="900"/>
        <w:jc w:val="both"/>
        <w:rPr>
          <w:rFonts w:ascii="Times New Roman" w:hAnsi="Times New Roman"/>
          <w:sz w:val="24"/>
          <w:szCs w:val="24"/>
        </w:rPr>
      </w:pPr>
      <w:r w:rsidRPr="005D3033">
        <w:rPr>
          <w:rFonts w:ascii="Times New Roman" w:hAnsi="Times New Roman"/>
          <w:sz w:val="24"/>
          <w:szCs w:val="24"/>
        </w:rPr>
        <w:t>Akinbowale, O. E., Mashigo, P., &amp; Zerihun, M. F. (2023). The integration of forensic accounting and big data technology frameworks for internal fraud mitigation in the banking industry. </w:t>
      </w:r>
      <w:r w:rsidRPr="005D3033">
        <w:rPr>
          <w:rFonts w:ascii="Times New Roman" w:hAnsi="Times New Roman"/>
          <w:i/>
          <w:iCs/>
          <w:sz w:val="24"/>
          <w:szCs w:val="24"/>
        </w:rPr>
        <w:t>Cogent Business &amp; Management</w:t>
      </w:r>
      <w:r w:rsidRPr="005D3033">
        <w:rPr>
          <w:rFonts w:ascii="Times New Roman" w:hAnsi="Times New Roman"/>
          <w:sz w:val="24"/>
          <w:szCs w:val="24"/>
        </w:rPr>
        <w:t>, </w:t>
      </w:r>
      <w:r w:rsidRPr="005D3033">
        <w:rPr>
          <w:rFonts w:ascii="Times New Roman" w:hAnsi="Times New Roman"/>
          <w:i/>
          <w:iCs/>
          <w:sz w:val="24"/>
          <w:szCs w:val="24"/>
        </w:rPr>
        <w:t>10</w:t>
      </w:r>
      <w:r w:rsidRPr="005D3033">
        <w:rPr>
          <w:rFonts w:ascii="Times New Roman" w:hAnsi="Times New Roman"/>
          <w:sz w:val="24"/>
          <w:szCs w:val="24"/>
        </w:rPr>
        <w:t>(1), 2163560.</w:t>
      </w:r>
    </w:p>
    <w:p w14:paraId="45570B42"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Akinbowale, O. E., Klingelhöfer, H. E., &amp; Zerihun, M. F. (2020). An innovative approach in combating economic crime using forensic accounting techniques", </w:t>
      </w:r>
      <w:r w:rsidRPr="008B1465">
        <w:rPr>
          <w:rFonts w:ascii="Times New Roman" w:hAnsi="Times New Roman"/>
          <w:i/>
          <w:iCs/>
          <w:sz w:val="24"/>
          <w:szCs w:val="24"/>
        </w:rPr>
        <w:t>Journal of Financial Crime</w:t>
      </w:r>
      <w:r w:rsidRPr="008B1465">
        <w:rPr>
          <w:rFonts w:ascii="Times New Roman" w:hAnsi="Times New Roman"/>
          <w:sz w:val="24"/>
          <w:szCs w:val="24"/>
          <w:shd w:val="clear" w:color="auto" w:fill="FFFFFF"/>
        </w:rPr>
        <w:t>, 27(4)</w:t>
      </w:r>
      <w:r>
        <w:rPr>
          <w:rFonts w:ascii="Times New Roman" w:hAnsi="Times New Roman"/>
          <w:sz w:val="24"/>
          <w:szCs w:val="24"/>
          <w:shd w:val="clear" w:color="auto" w:fill="FFFFFF"/>
        </w:rPr>
        <w:t>,</w:t>
      </w:r>
      <w:r w:rsidRPr="008B1465">
        <w:rPr>
          <w:rFonts w:ascii="Times New Roman" w:hAnsi="Times New Roman"/>
          <w:sz w:val="24"/>
          <w:szCs w:val="24"/>
          <w:shd w:val="clear" w:color="auto" w:fill="FFFFFF"/>
        </w:rPr>
        <w:t xml:space="preserve"> 1253-1271. </w:t>
      </w:r>
      <w:hyperlink r:id="rId17" w:history="1">
        <w:r w:rsidRPr="008B1465">
          <w:rPr>
            <w:rStyle w:val="Hyperlink"/>
            <w:rFonts w:ascii="Times New Roman" w:hAnsi="Times New Roman"/>
            <w:color w:val="auto"/>
            <w:sz w:val="24"/>
            <w:szCs w:val="24"/>
            <w:u w:val="none"/>
            <w:shd w:val="clear" w:color="auto" w:fill="FFFFFF"/>
          </w:rPr>
          <w:t>https://doi.org/10.1108/JFC-04-2020-0053</w:t>
        </w:r>
      </w:hyperlink>
    </w:p>
    <w:p w14:paraId="3757C80E"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Akintoye, I. (2008). Optimizing investment decisions through informative accounting.  </w:t>
      </w:r>
      <w:r>
        <w:rPr>
          <w:rFonts w:ascii="Times New Roman" w:hAnsi="Times New Roman"/>
          <w:sz w:val="24"/>
          <w:szCs w:val="24"/>
        </w:rPr>
        <w:t>(1)</w:t>
      </w:r>
      <w:r w:rsidRPr="008B1465">
        <w:rPr>
          <w:rFonts w:ascii="Times New Roman" w:hAnsi="Times New Roman"/>
          <w:sz w:val="24"/>
          <w:szCs w:val="24"/>
        </w:rPr>
        <w:t>, 178-191.</w:t>
      </w:r>
    </w:p>
    <w:p w14:paraId="3DA29C33"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Akyel, N. (2012). Forensic accounting training: A proposal for turkey. </w:t>
      </w:r>
      <w:r w:rsidRPr="008B1465">
        <w:rPr>
          <w:rFonts w:ascii="Times New Roman" w:hAnsi="Times New Roman"/>
          <w:i/>
          <w:iCs/>
          <w:sz w:val="24"/>
          <w:szCs w:val="24"/>
          <w:shd w:val="clear" w:color="auto" w:fill="FFFFFF"/>
        </w:rPr>
        <w:t>Procedia-social and behavioral sciences</w:t>
      </w:r>
      <w:r w:rsidRPr="008B1465">
        <w:rPr>
          <w:rFonts w:ascii="Times New Roman" w:hAnsi="Times New Roman"/>
          <w:sz w:val="24"/>
          <w:szCs w:val="24"/>
          <w:shd w:val="clear" w:color="auto" w:fill="FFFFFF"/>
        </w:rPr>
        <w:t>, </w:t>
      </w:r>
      <w:r>
        <w:rPr>
          <w:rFonts w:ascii="Times New Roman" w:hAnsi="Times New Roman"/>
          <w:sz w:val="24"/>
          <w:szCs w:val="24"/>
          <w:shd w:val="clear" w:color="auto" w:fill="FFFFFF"/>
        </w:rPr>
        <w:t>(</w:t>
      </w:r>
      <w:r w:rsidRPr="008B1465">
        <w:rPr>
          <w:rFonts w:ascii="Times New Roman" w:hAnsi="Times New Roman"/>
          <w:i/>
          <w:iCs/>
          <w:sz w:val="24"/>
          <w:szCs w:val="24"/>
          <w:shd w:val="clear" w:color="auto" w:fill="FFFFFF"/>
        </w:rPr>
        <w:t>55</w:t>
      </w:r>
      <w:r>
        <w:rPr>
          <w:rFonts w:ascii="Times New Roman" w:hAnsi="Times New Roman"/>
          <w:i/>
          <w:iCs/>
          <w:sz w:val="24"/>
          <w:szCs w:val="24"/>
          <w:shd w:val="clear" w:color="auto" w:fill="FFFFFF"/>
        </w:rPr>
        <w:t>)</w:t>
      </w:r>
      <w:r w:rsidRPr="008B1465">
        <w:rPr>
          <w:rFonts w:ascii="Times New Roman" w:hAnsi="Times New Roman"/>
          <w:sz w:val="24"/>
          <w:szCs w:val="24"/>
          <w:shd w:val="clear" w:color="auto" w:fill="FFFFFF"/>
        </w:rPr>
        <w:t>, 77-86.</w:t>
      </w:r>
    </w:p>
    <w:p w14:paraId="224F2593" w14:textId="77777777" w:rsidR="0083389C" w:rsidRDefault="0083389C" w:rsidP="005D3033">
      <w:pPr>
        <w:pStyle w:val="NoSpacing"/>
        <w:spacing w:line="360" w:lineRule="auto"/>
        <w:ind w:left="990" w:hanging="900"/>
        <w:jc w:val="both"/>
        <w:rPr>
          <w:rFonts w:ascii="Times New Roman" w:hAnsi="Times New Roman"/>
          <w:color w:val="222222"/>
          <w:sz w:val="24"/>
          <w:szCs w:val="24"/>
          <w:shd w:val="clear" w:color="auto" w:fill="FFFFFF"/>
        </w:rPr>
      </w:pPr>
      <w:r w:rsidRPr="005D3033">
        <w:rPr>
          <w:rFonts w:ascii="Times New Roman" w:hAnsi="Times New Roman"/>
          <w:color w:val="222222"/>
          <w:sz w:val="24"/>
          <w:szCs w:val="24"/>
          <w:shd w:val="clear" w:color="auto" w:fill="FFFFFF"/>
        </w:rPr>
        <w:t>Alam, S., Adnan, Z. H., Baten, M. A., &amp; Bag, S. (2022). Assessing vulnerability of informal floating workers in Bangladesh before and during COVID-19 pandemic: a multi-method analysis. </w:t>
      </w:r>
      <w:r w:rsidRPr="005D3033">
        <w:rPr>
          <w:rFonts w:ascii="Times New Roman" w:hAnsi="Times New Roman"/>
          <w:i/>
          <w:iCs/>
          <w:color w:val="222222"/>
          <w:sz w:val="24"/>
          <w:szCs w:val="24"/>
          <w:shd w:val="clear" w:color="auto" w:fill="FFFFFF"/>
        </w:rPr>
        <w:t>Benchmarking: An International Journal</w:t>
      </w:r>
      <w:r w:rsidRPr="005D3033">
        <w:rPr>
          <w:rFonts w:ascii="Times New Roman" w:hAnsi="Times New Roman"/>
          <w:color w:val="222222"/>
          <w:sz w:val="24"/>
          <w:szCs w:val="24"/>
          <w:shd w:val="clear" w:color="auto" w:fill="FFFFFF"/>
        </w:rPr>
        <w:t>, </w:t>
      </w:r>
      <w:r w:rsidRPr="005D3033">
        <w:rPr>
          <w:rFonts w:ascii="Times New Roman" w:hAnsi="Times New Roman"/>
          <w:i/>
          <w:iCs/>
          <w:color w:val="222222"/>
          <w:sz w:val="24"/>
          <w:szCs w:val="24"/>
          <w:shd w:val="clear" w:color="auto" w:fill="FFFFFF"/>
        </w:rPr>
        <w:t>29</w:t>
      </w:r>
      <w:r w:rsidRPr="005D3033">
        <w:rPr>
          <w:rFonts w:ascii="Times New Roman" w:hAnsi="Times New Roman"/>
          <w:color w:val="222222"/>
          <w:sz w:val="24"/>
          <w:szCs w:val="24"/>
          <w:shd w:val="clear" w:color="auto" w:fill="FFFFFF"/>
        </w:rPr>
        <w:t>(5), 1677-1702.</w:t>
      </w:r>
    </w:p>
    <w:p w14:paraId="51613219" w14:textId="77777777" w:rsidR="0083389C" w:rsidRPr="00243832"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Albrecht, S., Howe, K., &amp; Romney, M. (1984), Deterring Fraud: The Internal Auditor’s Perspective, Institute of Internal Auditors Research Foundation, Lake Mary, FL.</w:t>
      </w:r>
      <w:r w:rsidRPr="008B1465">
        <w:rPr>
          <w:rFonts w:ascii="Times New Roman" w:hAnsi="Times New Roman"/>
          <w:sz w:val="24"/>
          <w:szCs w:val="24"/>
          <w:shd w:val="clear" w:color="auto" w:fill="FFFFFF"/>
        </w:rPr>
        <w:t xml:space="preserve"> </w:t>
      </w:r>
      <w:r w:rsidRPr="00243832">
        <w:rPr>
          <w:rFonts w:ascii="Times New Roman" w:hAnsi="Times New Roman"/>
          <w:sz w:val="24"/>
          <w:szCs w:val="24"/>
          <w:shd w:val="clear" w:color="auto" w:fill="FFFFFF"/>
        </w:rPr>
        <w:t>4(3),</w:t>
      </w:r>
      <w:r>
        <w:rPr>
          <w:rFonts w:ascii="Times New Roman" w:hAnsi="Times New Roman"/>
          <w:sz w:val="24"/>
          <w:szCs w:val="24"/>
          <w:shd w:val="clear" w:color="auto" w:fill="FFFFFF"/>
        </w:rPr>
        <w:t xml:space="preserve"> </w:t>
      </w:r>
      <w:r w:rsidRPr="00243832">
        <w:rPr>
          <w:rFonts w:ascii="Times New Roman" w:hAnsi="Times New Roman"/>
          <w:sz w:val="24"/>
          <w:szCs w:val="24"/>
          <w:shd w:val="clear" w:color="auto" w:fill="FFFFFF"/>
        </w:rPr>
        <w:t>6-15.</w:t>
      </w:r>
    </w:p>
    <w:p w14:paraId="18CBBDAE"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Albrecht, W. S., Albrecht, C. C., Albrecht, C. O., &amp; Zimbelman, M. F. (2009). “Fraud Examination”, 3rd Edition, 2009(OH: South-Western Cengaga Learning.</w:t>
      </w:r>
    </w:p>
    <w:p w14:paraId="5B387275"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Alchian, A. A. &amp; Demsetz, H. (1972). Production, Information Costs, and Economic Organization. </w:t>
      </w:r>
      <w:r w:rsidRPr="008B1465">
        <w:rPr>
          <w:rFonts w:ascii="Times New Roman" w:hAnsi="Times New Roman"/>
          <w:i/>
          <w:iCs/>
          <w:sz w:val="24"/>
          <w:szCs w:val="24"/>
        </w:rPr>
        <w:t>The American Economic Review</w:t>
      </w:r>
      <w:r w:rsidRPr="008B1465">
        <w:rPr>
          <w:rFonts w:ascii="Times New Roman" w:hAnsi="Times New Roman"/>
          <w:sz w:val="24"/>
          <w:szCs w:val="24"/>
        </w:rPr>
        <w:t>, (62)</w:t>
      </w:r>
      <w:r>
        <w:rPr>
          <w:rFonts w:ascii="Times New Roman" w:hAnsi="Times New Roman"/>
          <w:sz w:val="24"/>
          <w:szCs w:val="24"/>
        </w:rPr>
        <w:t>,</w:t>
      </w:r>
      <w:r w:rsidRPr="008B1465">
        <w:rPr>
          <w:rFonts w:ascii="Times New Roman" w:hAnsi="Times New Roman"/>
          <w:sz w:val="24"/>
          <w:szCs w:val="24"/>
        </w:rPr>
        <w:t xml:space="preserve"> 777–795. </w:t>
      </w:r>
    </w:p>
    <w:p w14:paraId="1F8BDFD4"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Alhusban, A. A. A., Haloush, H. A., Alshurafat, H., Al-Msiedeen, J. M., Massadeh, A. A. M., &amp; Alhmoud, R.</w:t>
      </w:r>
      <w:r>
        <w:rPr>
          <w:rFonts w:ascii="Times New Roman" w:hAnsi="Times New Roman"/>
          <w:sz w:val="24"/>
          <w:szCs w:val="24"/>
        </w:rPr>
        <w:t xml:space="preserve"> </w:t>
      </w:r>
      <w:r w:rsidRPr="008B1465">
        <w:rPr>
          <w:rFonts w:ascii="Times New Roman" w:hAnsi="Times New Roman"/>
          <w:sz w:val="24"/>
          <w:szCs w:val="24"/>
        </w:rPr>
        <w:t xml:space="preserve">J. (2020). The regulatory structure and governance of forensic accountancy in the emerging market: Challenges and opportunities. </w:t>
      </w:r>
      <w:r w:rsidRPr="008B1465">
        <w:rPr>
          <w:rFonts w:ascii="Times New Roman" w:hAnsi="Times New Roman"/>
          <w:i/>
          <w:sz w:val="24"/>
          <w:szCs w:val="24"/>
        </w:rPr>
        <w:t>Journal of Governance and Regulation</w:t>
      </w:r>
      <w:r w:rsidRPr="008B1465">
        <w:rPr>
          <w:rFonts w:ascii="Times New Roman" w:hAnsi="Times New Roman"/>
          <w:sz w:val="24"/>
          <w:szCs w:val="24"/>
        </w:rPr>
        <w:t xml:space="preserve">, 9(4) </w:t>
      </w:r>
    </w:p>
    <w:p w14:paraId="54167C04"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Alhusban, A. A. A., Haloush, H. A., Alshurafat, H., Al-Msiedeen, J. M., Massadeh, A. A. M., &amp; Alhmoud, R. J. (2020). The regulatory structure and governance of forensic accountancy in the emerging market: Challenges and opportunities. </w:t>
      </w:r>
      <w:r w:rsidRPr="0068334F">
        <w:rPr>
          <w:rFonts w:ascii="Times New Roman" w:hAnsi="Times New Roman"/>
          <w:i/>
          <w:iCs/>
          <w:sz w:val="24"/>
          <w:szCs w:val="24"/>
        </w:rPr>
        <w:t>Journal of Governance and Regulation</w:t>
      </w:r>
      <w:r w:rsidRPr="008B1465">
        <w:rPr>
          <w:rFonts w:ascii="Times New Roman" w:hAnsi="Times New Roman"/>
          <w:sz w:val="24"/>
          <w:szCs w:val="24"/>
        </w:rPr>
        <w:t xml:space="preserve">, 9(4) </w:t>
      </w:r>
    </w:p>
    <w:p w14:paraId="7DA08189"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Alhusban, A. A. A., Haloush, H. A., Alshurafat, H., Al-Msiedeen, J. M., Massadeh, A. A. M., &amp; Alhmoud, R. J. (2020). The regulatory structure and governance of forensic accountancy in the emerging market: Challenges and opportunities. </w:t>
      </w:r>
      <w:r w:rsidRPr="008B1465">
        <w:rPr>
          <w:rFonts w:ascii="Times New Roman" w:hAnsi="Times New Roman"/>
          <w:i/>
          <w:iCs/>
          <w:sz w:val="24"/>
          <w:szCs w:val="24"/>
        </w:rPr>
        <w:t>Journal of Governance and Regulation</w:t>
      </w:r>
      <w:r w:rsidRPr="008B1465">
        <w:rPr>
          <w:rFonts w:ascii="Times New Roman" w:hAnsi="Times New Roman"/>
          <w:sz w:val="24"/>
          <w:szCs w:val="24"/>
        </w:rPr>
        <w:t xml:space="preserve">, 9(4) </w:t>
      </w:r>
    </w:p>
    <w:p w14:paraId="11966E0B"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Aliu, M. (2019). Political corruption, government legitimacy, and democracy in Nigeria, 1999–2015, European</w:t>
      </w:r>
      <w:r w:rsidRPr="008B1465">
        <w:rPr>
          <w:rFonts w:ascii="Times New Roman" w:hAnsi="Times New Roman"/>
          <w:i/>
          <w:sz w:val="24"/>
          <w:szCs w:val="24"/>
        </w:rPr>
        <w:t xml:space="preserve"> Scientific Journal,</w:t>
      </w:r>
      <w:r w:rsidRPr="008B1465">
        <w:rPr>
          <w:rFonts w:ascii="Times New Roman" w:hAnsi="Times New Roman"/>
          <w:sz w:val="24"/>
          <w:szCs w:val="24"/>
        </w:rPr>
        <w:t xml:space="preserve"> 15(26), 126-138.</w:t>
      </w:r>
    </w:p>
    <w:p w14:paraId="5308467B" w14:textId="77777777" w:rsidR="0083389C" w:rsidRDefault="0083389C" w:rsidP="0046229B">
      <w:pPr>
        <w:pStyle w:val="NoSpacing"/>
        <w:spacing w:line="360" w:lineRule="auto"/>
        <w:ind w:left="990" w:hanging="900"/>
        <w:jc w:val="both"/>
        <w:rPr>
          <w:rFonts w:ascii="Times New Roman" w:hAnsi="Times New Roman"/>
          <w:color w:val="222222"/>
          <w:sz w:val="24"/>
          <w:szCs w:val="24"/>
          <w:shd w:val="clear" w:color="auto" w:fill="FFFFFF"/>
        </w:rPr>
      </w:pPr>
      <w:r w:rsidRPr="005D3033">
        <w:rPr>
          <w:rFonts w:ascii="Times New Roman" w:hAnsi="Times New Roman"/>
          <w:color w:val="222222"/>
          <w:sz w:val="24"/>
          <w:szCs w:val="24"/>
          <w:shd w:val="clear" w:color="auto" w:fill="FFFFFF"/>
        </w:rPr>
        <w:t>Al-Kumaim, N. H., Alhazmi, A. K., Mohammed, F., Gazem, N. A., Shabbir, M. S., &amp; Fazea, Y. (2021). Exploring the impact of the COVID-19 pandemic on university students’ learning life: An integrated conceptual motivational model for sustainable and healthy online learning. </w:t>
      </w:r>
      <w:r w:rsidRPr="005D3033">
        <w:rPr>
          <w:rFonts w:ascii="Times New Roman" w:hAnsi="Times New Roman"/>
          <w:i/>
          <w:iCs/>
          <w:color w:val="222222"/>
          <w:sz w:val="24"/>
          <w:szCs w:val="24"/>
          <w:shd w:val="clear" w:color="auto" w:fill="FFFFFF"/>
        </w:rPr>
        <w:t>Sustainability</w:t>
      </w:r>
      <w:r w:rsidRPr="005D3033">
        <w:rPr>
          <w:rFonts w:ascii="Times New Roman" w:hAnsi="Times New Roman"/>
          <w:color w:val="222222"/>
          <w:sz w:val="24"/>
          <w:szCs w:val="24"/>
          <w:shd w:val="clear" w:color="auto" w:fill="FFFFFF"/>
        </w:rPr>
        <w:t>, </w:t>
      </w:r>
      <w:r w:rsidRPr="005D3033">
        <w:rPr>
          <w:rFonts w:ascii="Times New Roman" w:hAnsi="Times New Roman"/>
          <w:i/>
          <w:iCs/>
          <w:color w:val="222222"/>
          <w:sz w:val="24"/>
          <w:szCs w:val="24"/>
          <w:shd w:val="clear" w:color="auto" w:fill="FFFFFF"/>
        </w:rPr>
        <w:t>13</w:t>
      </w:r>
      <w:r w:rsidRPr="005D3033">
        <w:rPr>
          <w:rFonts w:ascii="Times New Roman" w:hAnsi="Times New Roman"/>
          <w:color w:val="222222"/>
          <w:sz w:val="24"/>
          <w:szCs w:val="24"/>
          <w:shd w:val="clear" w:color="auto" w:fill="FFFFFF"/>
        </w:rPr>
        <w:t>(5), 2546.</w:t>
      </w:r>
    </w:p>
    <w:p w14:paraId="7F84B625"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Allan, G. (2003). A critique of using grounded theory as a research method. </w:t>
      </w:r>
      <w:r w:rsidRPr="008B1465">
        <w:rPr>
          <w:rFonts w:ascii="Times New Roman" w:hAnsi="Times New Roman"/>
          <w:i/>
          <w:iCs/>
          <w:sz w:val="24"/>
          <w:szCs w:val="24"/>
        </w:rPr>
        <w:t>Electronic journal of business research methods</w:t>
      </w:r>
      <w:r w:rsidRPr="008B1465">
        <w:rPr>
          <w:rFonts w:ascii="Times New Roman" w:hAnsi="Times New Roman"/>
          <w:sz w:val="24"/>
          <w:szCs w:val="24"/>
        </w:rPr>
        <w:t xml:space="preserve">, </w:t>
      </w:r>
      <w:r w:rsidRPr="008B1465">
        <w:rPr>
          <w:rFonts w:ascii="Times New Roman" w:hAnsi="Times New Roman"/>
          <w:i/>
          <w:iCs/>
          <w:sz w:val="24"/>
          <w:szCs w:val="24"/>
        </w:rPr>
        <w:t>2</w:t>
      </w:r>
      <w:r w:rsidRPr="008B1465">
        <w:rPr>
          <w:rFonts w:ascii="Times New Roman" w:hAnsi="Times New Roman"/>
          <w:sz w:val="24"/>
          <w:szCs w:val="24"/>
        </w:rPr>
        <w:t>(1), 1-10</w:t>
      </w:r>
    </w:p>
    <w:p w14:paraId="214CA500" w14:textId="77777777" w:rsidR="0083389C" w:rsidRDefault="0083389C" w:rsidP="0046229B">
      <w:pPr>
        <w:pStyle w:val="NoSpacing"/>
        <w:spacing w:line="360" w:lineRule="auto"/>
        <w:ind w:left="990" w:hanging="900"/>
        <w:jc w:val="both"/>
        <w:rPr>
          <w:rFonts w:ascii="Times New Roman" w:hAnsi="Times New Roman"/>
          <w:sz w:val="24"/>
          <w:szCs w:val="24"/>
        </w:rPr>
      </w:pPr>
      <w:r w:rsidRPr="0046229B">
        <w:rPr>
          <w:rFonts w:ascii="Times New Roman" w:hAnsi="Times New Roman"/>
          <w:sz w:val="24"/>
          <w:szCs w:val="24"/>
        </w:rPr>
        <w:t>Al-Shaer, H., Malik, M. F., &amp; Zaman, M. (2021). What do audit committees do? Transparency and impression management. </w:t>
      </w:r>
      <w:r w:rsidRPr="0046229B">
        <w:rPr>
          <w:rFonts w:ascii="Times New Roman" w:hAnsi="Times New Roman"/>
          <w:i/>
          <w:iCs/>
          <w:sz w:val="24"/>
          <w:szCs w:val="24"/>
        </w:rPr>
        <w:t>Journal of Management and Governance</w:t>
      </w:r>
      <w:r w:rsidRPr="0046229B">
        <w:rPr>
          <w:rFonts w:ascii="Times New Roman" w:hAnsi="Times New Roman"/>
          <w:sz w:val="24"/>
          <w:szCs w:val="24"/>
        </w:rPr>
        <w:t>, 1-26.</w:t>
      </w:r>
    </w:p>
    <w:p w14:paraId="1462B8B6" w14:textId="77777777" w:rsidR="0083389C" w:rsidRDefault="0083389C" w:rsidP="0046229B">
      <w:pPr>
        <w:pStyle w:val="NoSpacing"/>
        <w:spacing w:line="360" w:lineRule="auto"/>
        <w:ind w:left="990" w:hanging="900"/>
        <w:jc w:val="both"/>
        <w:rPr>
          <w:rFonts w:ascii="Times New Roman" w:hAnsi="Times New Roman"/>
          <w:color w:val="222222"/>
          <w:sz w:val="24"/>
          <w:szCs w:val="24"/>
          <w:shd w:val="clear" w:color="auto" w:fill="FFFFFF"/>
        </w:rPr>
      </w:pPr>
      <w:r w:rsidRPr="0046229B">
        <w:rPr>
          <w:rFonts w:ascii="Times New Roman" w:hAnsi="Times New Roman"/>
          <w:color w:val="222222"/>
          <w:sz w:val="24"/>
          <w:szCs w:val="24"/>
          <w:shd w:val="clear" w:color="auto" w:fill="FFFFFF"/>
        </w:rPr>
        <w:t>Alshurafat, H. (2022). Forensic accounting as a profession in Australia? A sociological perspective. </w:t>
      </w:r>
      <w:r w:rsidRPr="0046229B">
        <w:rPr>
          <w:rFonts w:ascii="Times New Roman" w:hAnsi="Times New Roman"/>
          <w:i/>
          <w:iCs/>
          <w:color w:val="222222"/>
          <w:sz w:val="24"/>
          <w:szCs w:val="24"/>
          <w:shd w:val="clear" w:color="auto" w:fill="FFFFFF"/>
        </w:rPr>
        <w:t>Meditari Accountancy Research</w:t>
      </w:r>
      <w:r w:rsidRPr="0046229B">
        <w:rPr>
          <w:rFonts w:ascii="Times New Roman" w:hAnsi="Times New Roman"/>
          <w:color w:val="222222"/>
          <w:sz w:val="24"/>
          <w:szCs w:val="24"/>
          <w:shd w:val="clear" w:color="auto" w:fill="FFFFFF"/>
        </w:rPr>
        <w:t>, </w:t>
      </w:r>
      <w:r w:rsidRPr="0046229B">
        <w:rPr>
          <w:rFonts w:ascii="Times New Roman" w:hAnsi="Times New Roman"/>
          <w:i/>
          <w:iCs/>
          <w:color w:val="222222"/>
          <w:sz w:val="24"/>
          <w:szCs w:val="24"/>
          <w:shd w:val="clear" w:color="auto" w:fill="FFFFFF"/>
        </w:rPr>
        <w:t>30</w:t>
      </w:r>
      <w:r w:rsidRPr="0046229B">
        <w:rPr>
          <w:rFonts w:ascii="Times New Roman" w:hAnsi="Times New Roman"/>
          <w:color w:val="222222"/>
          <w:sz w:val="24"/>
          <w:szCs w:val="24"/>
          <w:shd w:val="clear" w:color="auto" w:fill="FFFFFF"/>
        </w:rPr>
        <w:t>(2), 395-423.</w:t>
      </w:r>
    </w:p>
    <w:p w14:paraId="2A54CB13"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Alshurafat, H., Al Shbail, M. O., &amp; Mansour, E. (2021). Strengths and weaknesses of forensic accounting: an implication on the socio-economic development. Journal of Business and Socio-Economic Development, 1(2), 135–148. </w:t>
      </w:r>
      <w:hyperlink r:id="rId18" w:history="1">
        <w:r w:rsidRPr="008B1465">
          <w:rPr>
            <w:rStyle w:val="Hyperlink"/>
            <w:rFonts w:ascii="Times New Roman" w:hAnsi="Times New Roman"/>
            <w:color w:val="auto"/>
            <w:sz w:val="24"/>
            <w:szCs w:val="24"/>
            <w:u w:val="none"/>
          </w:rPr>
          <w:t>https://doi.org/10.1108/jbsed-03-2021-0026</w:t>
        </w:r>
      </w:hyperlink>
    </w:p>
    <w:p w14:paraId="11FF7125"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Alshurafat, H., Beattie, C., Jones, G., &amp; Sands, J. (2019). Forensic accounting core and interdisciplinary curricula components in Australian universities: Analysis of websites. </w:t>
      </w:r>
      <w:r w:rsidRPr="008B1465">
        <w:rPr>
          <w:rFonts w:ascii="Times New Roman" w:hAnsi="Times New Roman"/>
          <w:i/>
          <w:sz w:val="24"/>
          <w:szCs w:val="24"/>
        </w:rPr>
        <w:t>Journal of Forensic and Investigative Accounting,</w:t>
      </w:r>
      <w:r w:rsidRPr="008B1465">
        <w:rPr>
          <w:rFonts w:ascii="Times New Roman" w:hAnsi="Times New Roman"/>
          <w:sz w:val="24"/>
          <w:szCs w:val="24"/>
        </w:rPr>
        <w:t xml:space="preserve"> 11(2), 353-365.</w:t>
      </w:r>
    </w:p>
    <w:p w14:paraId="0FA458BC"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Alshurafat, H., Beattie, C., Jones, G., &amp; Sands, J. (2020). Perceptions of the usefulness of various teaching methods in forensic accounting education, </w:t>
      </w:r>
      <w:r w:rsidRPr="008B1465">
        <w:rPr>
          <w:rFonts w:ascii="Times New Roman" w:hAnsi="Times New Roman"/>
          <w:i/>
          <w:sz w:val="24"/>
          <w:szCs w:val="24"/>
        </w:rPr>
        <w:t>Journal of Accounting Education</w:t>
      </w:r>
      <w:r w:rsidRPr="008B1465">
        <w:rPr>
          <w:rFonts w:ascii="Times New Roman" w:hAnsi="Times New Roman"/>
          <w:sz w:val="24"/>
          <w:szCs w:val="24"/>
        </w:rPr>
        <w:t>, 29(2), 177-204</w:t>
      </w:r>
    </w:p>
    <w:p w14:paraId="2EECD1EE" w14:textId="77777777" w:rsidR="0083389C" w:rsidRDefault="0083389C" w:rsidP="0046229B">
      <w:pPr>
        <w:pStyle w:val="NoSpacing"/>
        <w:spacing w:line="360" w:lineRule="auto"/>
        <w:ind w:left="990" w:hanging="900"/>
        <w:jc w:val="both"/>
        <w:rPr>
          <w:rFonts w:ascii="Times New Roman" w:hAnsi="Times New Roman"/>
          <w:color w:val="222222"/>
          <w:sz w:val="24"/>
          <w:szCs w:val="24"/>
          <w:shd w:val="clear" w:color="auto" w:fill="FFFFFF"/>
        </w:rPr>
      </w:pPr>
      <w:r w:rsidRPr="0046229B">
        <w:rPr>
          <w:rFonts w:ascii="Times New Roman" w:hAnsi="Times New Roman"/>
          <w:color w:val="222222"/>
          <w:sz w:val="24"/>
          <w:szCs w:val="24"/>
          <w:shd w:val="clear" w:color="auto" w:fill="FFFFFF"/>
        </w:rPr>
        <w:t>Amasiatu, K. M., &amp; Okoye, E. (2023). Forensic accountant skill and financial statements of money deposit banks in Nigeria, 64(1)</w:t>
      </w:r>
    </w:p>
    <w:p w14:paraId="4E3E62B0"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American Institute of Certified Public Accountants (AICPA). (2002). Exposure draft: Understanding the entity and its environment and assessing the risks of material misstatement (assessing risks). New York: AICPA.</w:t>
      </w:r>
    </w:p>
    <w:p w14:paraId="4A5CE1DD"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American Institute of Certified Public Accountants, Statement on Auditing Standards (SAS) No 99, Consideration of Fraud in the Financial Statement Audit (Codified in AICPA Professional Standards -U. S Auditing Standards--AU,316) (NewYork: AICPA,2002). </w:t>
      </w:r>
    </w:p>
    <w:p w14:paraId="6851B2A6" w14:textId="77777777" w:rsidR="0083389C" w:rsidRDefault="0083389C" w:rsidP="00B743CD">
      <w:pPr>
        <w:pStyle w:val="NoSpacing"/>
        <w:spacing w:line="360" w:lineRule="auto"/>
        <w:ind w:left="990" w:hanging="900"/>
        <w:jc w:val="both"/>
        <w:rPr>
          <w:rFonts w:ascii="Times New Roman" w:hAnsi="Times New Roman"/>
          <w:color w:val="222222"/>
          <w:sz w:val="24"/>
          <w:szCs w:val="24"/>
          <w:shd w:val="clear" w:color="auto" w:fill="FFFFFF"/>
        </w:rPr>
      </w:pPr>
      <w:r w:rsidRPr="0046229B">
        <w:rPr>
          <w:rFonts w:ascii="Times New Roman" w:hAnsi="Times New Roman"/>
          <w:color w:val="222222"/>
          <w:sz w:val="24"/>
          <w:szCs w:val="24"/>
          <w:shd w:val="clear" w:color="auto" w:fill="FFFFFF"/>
        </w:rPr>
        <w:t>Ang, Y. Y. (2020). </w:t>
      </w:r>
      <w:r w:rsidRPr="0046229B">
        <w:rPr>
          <w:rFonts w:ascii="Times New Roman" w:hAnsi="Times New Roman"/>
          <w:i/>
          <w:iCs/>
          <w:color w:val="222222"/>
          <w:sz w:val="24"/>
          <w:szCs w:val="24"/>
          <w:shd w:val="clear" w:color="auto" w:fill="FFFFFF"/>
        </w:rPr>
        <w:t>China's gilded age: The paradox of economic boom and vast corruption</w:t>
      </w:r>
      <w:r w:rsidRPr="0046229B">
        <w:rPr>
          <w:rFonts w:ascii="Times New Roman" w:hAnsi="Times New Roman"/>
          <w:color w:val="222222"/>
          <w:sz w:val="24"/>
          <w:szCs w:val="24"/>
          <w:shd w:val="clear" w:color="auto" w:fill="FFFFFF"/>
        </w:rPr>
        <w:t>. Cambridge University Press.</w:t>
      </w:r>
    </w:p>
    <w:p w14:paraId="213F8291" w14:textId="77777777" w:rsidR="0083389C" w:rsidRDefault="0083389C" w:rsidP="00B743CD">
      <w:pPr>
        <w:pStyle w:val="NoSpacing"/>
        <w:spacing w:line="360" w:lineRule="auto"/>
        <w:ind w:left="990" w:hanging="900"/>
        <w:jc w:val="both"/>
        <w:rPr>
          <w:rFonts w:ascii="Times New Roman" w:hAnsi="Times New Roman"/>
          <w:sz w:val="24"/>
          <w:szCs w:val="24"/>
        </w:rPr>
      </w:pPr>
      <w:r w:rsidRPr="00B743CD">
        <w:rPr>
          <w:rFonts w:ascii="Times New Roman" w:hAnsi="Times New Roman"/>
          <w:sz w:val="24"/>
          <w:szCs w:val="24"/>
        </w:rPr>
        <w:t>Anggiriawan, I. P. B., Yadnyana, I. K., Wirakusuma, M. G., &amp; Putra, I. N. W. A. (2023). Mitigating Fraud in Accounting: A Comprehensive Literature Review of Prevention Strategies. </w:t>
      </w:r>
      <w:r w:rsidRPr="00B743CD">
        <w:rPr>
          <w:rFonts w:ascii="Times New Roman" w:hAnsi="Times New Roman"/>
          <w:i/>
          <w:iCs/>
          <w:sz w:val="24"/>
          <w:szCs w:val="24"/>
        </w:rPr>
        <w:t>Tec Empresarial</w:t>
      </w:r>
      <w:r w:rsidRPr="00B743CD">
        <w:rPr>
          <w:rFonts w:ascii="Times New Roman" w:hAnsi="Times New Roman"/>
          <w:sz w:val="24"/>
          <w:szCs w:val="24"/>
        </w:rPr>
        <w:t>, </w:t>
      </w:r>
      <w:r w:rsidRPr="00B743CD">
        <w:rPr>
          <w:rFonts w:ascii="Times New Roman" w:hAnsi="Times New Roman"/>
          <w:i/>
          <w:iCs/>
          <w:sz w:val="24"/>
          <w:szCs w:val="24"/>
        </w:rPr>
        <w:t>18</w:t>
      </w:r>
      <w:r w:rsidRPr="00B743CD">
        <w:rPr>
          <w:rFonts w:ascii="Times New Roman" w:hAnsi="Times New Roman"/>
          <w:sz w:val="24"/>
          <w:szCs w:val="24"/>
        </w:rPr>
        <w:t>(2), 288-305.</w:t>
      </w:r>
    </w:p>
    <w:p w14:paraId="1C80BC9C"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Annan, K. A. (2004a). The causes of conflict and the promotion of durable peace and sustainable development in Africa. </w:t>
      </w:r>
      <w:r w:rsidRPr="008B1465">
        <w:rPr>
          <w:rFonts w:ascii="Times New Roman" w:hAnsi="Times New Roman"/>
          <w:i/>
          <w:sz w:val="24"/>
          <w:szCs w:val="24"/>
        </w:rPr>
        <w:t>African Renaissance</w:t>
      </w:r>
      <w:r w:rsidRPr="008B1465">
        <w:rPr>
          <w:rFonts w:ascii="Times New Roman" w:hAnsi="Times New Roman"/>
          <w:sz w:val="24"/>
          <w:szCs w:val="24"/>
        </w:rPr>
        <w:t>, 1(3) 9-42.</w:t>
      </w:r>
    </w:p>
    <w:p w14:paraId="11D06E89"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Annan, K. A. (2004b). United Nations Convention Against Corruption, General Assembly Resolution 58/4 of 31 October 2003, Vienna, Austria: United Nations Office on Drugs and Crime</w:t>
      </w:r>
    </w:p>
    <w:p w14:paraId="042D4AA6"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Anuolam, O. M., Onyema, T. E., &amp; Ekeke, U. (2017). Forensic accounting and financial crisis in Nigeria, West</w:t>
      </w:r>
      <w:r w:rsidRPr="008B1465">
        <w:rPr>
          <w:rFonts w:ascii="Times New Roman" w:hAnsi="Times New Roman"/>
          <w:i/>
          <w:iCs/>
          <w:sz w:val="24"/>
          <w:szCs w:val="24"/>
          <w:shd w:val="clear" w:color="auto" w:fill="FFFFFF"/>
        </w:rPr>
        <w:t xml:space="preserve"> African Journal of Industrial and Academic Research</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17</w:t>
      </w:r>
      <w:r w:rsidRPr="008B1465">
        <w:rPr>
          <w:rFonts w:ascii="Times New Roman" w:hAnsi="Times New Roman"/>
          <w:sz w:val="24"/>
          <w:szCs w:val="24"/>
          <w:shd w:val="clear" w:color="auto" w:fill="FFFFFF"/>
        </w:rPr>
        <w:t>(1), 120-125.</w:t>
      </w:r>
    </w:p>
    <w:p w14:paraId="589583B7"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Anyanwu, J. C. (2012). Accounting for poverty in Africa: Illustrations with survey data from Nigeria (No. 149). African Development Bank</w:t>
      </w:r>
      <w:r w:rsidRPr="008B1465">
        <w:rPr>
          <w:rFonts w:ascii="Times New Roman" w:hAnsi="Times New Roman"/>
          <w:sz w:val="24"/>
          <w:szCs w:val="24"/>
          <w:shd w:val="clear" w:color="auto" w:fill="FFFFFF"/>
        </w:rPr>
        <w:t xml:space="preserve"> </w:t>
      </w:r>
      <w:r w:rsidRPr="00003F56">
        <w:rPr>
          <w:rFonts w:ascii="Times New Roman" w:hAnsi="Times New Roman"/>
          <w:sz w:val="24"/>
          <w:szCs w:val="24"/>
          <w:shd w:val="clear" w:color="auto" w:fill="FFFFFF"/>
        </w:rPr>
        <w:t>4(3), 6-15.</w:t>
      </w:r>
    </w:p>
    <w:p w14:paraId="7AEAF345"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Appah, E., &amp; Inini, W. (2021). Forensic investigation and mitigation of occupational fraud in the Nigerian public sector. </w:t>
      </w:r>
      <w:r w:rsidRPr="008B1465">
        <w:rPr>
          <w:rFonts w:ascii="Times New Roman" w:hAnsi="Times New Roman"/>
          <w:i/>
          <w:iCs/>
          <w:sz w:val="24"/>
          <w:szCs w:val="24"/>
        </w:rPr>
        <w:t>Journal of Accounting and Financial Management</w:t>
      </w:r>
      <w:r w:rsidRPr="008B1465">
        <w:rPr>
          <w:rFonts w:ascii="Times New Roman" w:hAnsi="Times New Roman"/>
          <w:sz w:val="24"/>
          <w:szCs w:val="24"/>
        </w:rPr>
        <w:t xml:space="preserve">, </w:t>
      </w:r>
      <w:r w:rsidRPr="008B1465">
        <w:rPr>
          <w:rFonts w:ascii="Times New Roman" w:hAnsi="Times New Roman"/>
          <w:i/>
          <w:iCs/>
          <w:sz w:val="24"/>
          <w:szCs w:val="24"/>
        </w:rPr>
        <w:t>7</w:t>
      </w:r>
      <w:r w:rsidRPr="008B1465">
        <w:rPr>
          <w:rFonts w:ascii="Times New Roman" w:hAnsi="Times New Roman"/>
          <w:sz w:val="24"/>
          <w:szCs w:val="24"/>
        </w:rPr>
        <w:t>(1), 26-44.</w:t>
      </w:r>
    </w:p>
    <w:p w14:paraId="22839E92"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Arokia</w:t>
      </w:r>
      <w:r>
        <w:rPr>
          <w:rFonts w:ascii="Times New Roman" w:hAnsi="Times New Roman"/>
          <w:sz w:val="24"/>
          <w:szCs w:val="24"/>
        </w:rPr>
        <w:t>-</w:t>
      </w:r>
      <w:r w:rsidRPr="008B1465">
        <w:rPr>
          <w:rFonts w:ascii="Times New Roman" w:hAnsi="Times New Roman"/>
          <w:sz w:val="24"/>
          <w:szCs w:val="24"/>
        </w:rPr>
        <w:t xml:space="preserve">Samy, L., &amp; Cristal-Lee, S. (2009). Forensic Accounting: Public acceptance towards occurrence of fraud detection. </w:t>
      </w:r>
      <w:r w:rsidRPr="008B1465">
        <w:rPr>
          <w:rFonts w:ascii="Times New Roman" w:hAnsi="Times New Roman"/>
          <w:i/>
          <w:iCs/>
          <w:sz w:val="24"/>
          <w:szCs w:val="24"/>
        </w:rPr>
        <w:t>International journal of business and management</w:t>
      </w:r>
      <w:r w:rsidRPr="008B1465">
        <w:rPr>
          <w:rFonts w:ascii="Times New Roman" w:hAnsi="Times New Roman"/>
          <w:sz w:val="24"/>
          <w:szCs w:val="24"/>
        </w:rPr>
        <w:t xml:space="preserve">, 4(11), 145-149. </w:t>
      </w:r>
    </w:p>
    <w:p w14:paraId="2E670E4C" w14:textId="77777777" w:rsidR="0083389C" w:rsidRDefault="0083389C" w:rsidP="00D44C13">
      <w:pPr>
        <w:pStyle w:val="NoSpacing"/>
        <w:spacing w:line="360" w:lineRule="auto"/>
        <w:ind w:left="990" w:hanging="900"/>
        <w:jc w:val="both"/>
        <w:rPr>
          <w:rStyle w:val="Hyperlink"/>
          <w:rFonts w:ascii="Times New Roman" w:hAnsi="Times New Roman"/>
          <w:color w:val="auto"/>
          <w:sz w:val="24"/>
          <w:szCs w:val="24"/>
          <w:u w:val="none"/>
          <w:shd w:val="clear" w:color="auto" w:fill="FFFFFF"/>
        </w:rPr>
      </w:pPr>
      <w:r w:rsidRPr="00EB7655">
        <w:rPr>
          <w:rFonts w:ascii="Times New Roman" w:hAnsi="Times New Roman"/>
          <w:sz w:val="24"/>
          <w:szCs w:val="24"/>
          <w:shd w:val="clear" w:color="auto" w:fill="FFFFFF"/>
        </w:rPr>
        <w:t>Arrieta, A. B., Díaz-Rodríguez, N., Del Ser, J., Bennetot, A., Tabik, S., Barbado, A., ... &amp; Herrera, F. (2020). Explainable Artificial Intelligence (XAI): Concepts, taxonomies, opportunities and challenges toward responsible AI. </w:t>
      </w:r>
      <w:r w:rsidRPr="00EB7655">
        <w:rPr>
          <w:rFonts w:ascii="Times New Roman" w:hAnsi="Times New Roman"/>
          <w:i/>
          <w:iCs/>
          <w:sz w:val="24"/>
          <w:szCs w:val="24"/>
          <w:shd w:val="clear" w:color="auto" w:fill="FFFFFF"/>
        </w:rPr>
        <w:t>Information fusion</w:t>
      </w:r>
      <w:r w:rsidRPr="00EB7655">
        <w:rPr>
          <w:rFonts w:ascii="Times New Roman" w:hAnsi="Times New Roman"/>
          <w:sz w:val="24"/>
          <w:szCs w:val="24"/>
          <w:shd w:val="clear" w:color="auto" w:fill="FFFFFF"/>
        </w:rPr>
        <w:t>, </w:t>
      </w:r>
      <w:r w:rsidRPr="00EB7655">
        <w:rPr>
          <w:rFonts w:ascii="Times New Roman" w:hAnsi="Times New Roman"/>
          <w:i/>
          <w:iCs/>
          <w:sz w:val="24"/>
          <w:szCs w:val="24"/>
          <w:shd w:val="clear" w:color="auto" w:fill="FFFFFF"/>
        </w:rPr>
        <w:t>58</w:t>
      </w:r>
      <w:r w:rsidRPr="00EB7655">
        <w:rPr>
          <w:rFonts w:ascii="Times New Roman" w:hAnsi="Times New Roman"/>
          <w:sz w:val="24"/>
          <w:szCs w:val="24"/>
          <w:shd w:val="clear" w:color="auto" w:fill="FFFFFF"/>
        </w:rPr>
        <w:t>, 82-115.</w:t>
      </w:r>
    </w:p>
    <w:p w14:paraId="429C497C"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Arrowsmith, S. (2011). Public Procurement: Basic Concepts and the Coverage of Procurement Rules. Chapter in Public Procurement Regulation: An Introduction (Arrowsmith, S. ed.), 1-32. [Online] Available: http://www.nottingham.ac. </w:t>
      </w:r>
      <w:r w:rsidRPr="00666768">
        <w:rPr>
          <w:rFonts w:ascii="Times New Roman" w:hAnsi="Times New Roman"/>
          <w:sz w:val="24"/>
          <w:szCs w:val="24"/>
        </w:rPr>
        <w:t>uk</w:t>
      </w:r>
      <w:r w:rsidRPr="008B1465">
        <w:rPr>
          <w:rFonts w:ascii="Times New Roman" w:hAnsi="Times New Roman"/>
          <w:sz w:val="24"/>
          <w:szCs w:val="24"/>
        </w:rPr>
        <w:t>.</w:t>
      </w:r>
    </w:p>
    <w:p w14:paraId="00BBE5A7"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Arrowsmith, S., &amp; Quinot, G. (2013). Public Procurement Regulation in Africa. Cambridge, UK: Cambridge University Press. </w:t>
      </w:r>
    </w:p>
    <w:p w14:paraId="4365F5B5"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Asare, E. N., &amp; Prempeh, K. B. (2016). Measures of ensuring value for money in public procurement: a case of selected polytechnics in Ghana. </w:t>
      </w:r>
      <w:r w:rsidRPr="008B1465">
        <w:rPr>
          <w:rFonts w:ascii="Times New Roman" w:hAnsi="Times New Roman"/>
          <w:i/>
          <w:iCs/>
          <w:sz w:val="24"/>
          <w:szCs w:val="24"/>
          <w:shd w:val="clear" w:color="auto" w:fill="FFFFFF"/>
        </w:rPr>
        <w:t>Journal of Logistics Management</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5</w:t>
      </w:r>
      <w:r w:rsidRPr="008B1465">
        <w:rPr>
          <w:rFonts w:ascii="Times New Roman" w:hAnsi="Times New Roman"/>
          <w:sz w:val="24"/>
          <w:szCs w:val="24"/>
          <w:shd w:val="clear" w:color="auto" w:fill="FFFFFF"/>
        </w:rPr>
        <w:t>(1), 22-3.</w:t>
      </w:r>
    </w:p>
    <w:p w14:paraId="399009E1" w14:textId="77777777" w:rsidR="0083389C" w:rsidRDefault="0083389C" w:rsidP="00B743CD">
      <w:pPr>
        <w:pStyle w:val="NoSpacing"/>
        <w:spacing w:line="360" w:lineRule="auto"/>
        <w:ind w:left="990" w:hanging="900"/>
        <w:jc w:val="both"/>
        <w:rPr>
          <w:rFonts w:ascii="Times New Roman" w:hAnsi="Times New Roman"/>
          <w:sz w:val="24"/>
          <w:szCs w:val="24"/>
        </w:rPr>
      </w:pPr>
      <w:r w:rsidRPr="00B743CD">
        <w:rPr>
          <w:rFonts w:ascii="Times New Roman" w:hAnsi="Times New Roman"/>
          <w:sz w:val="24"/>
          <w:szCs w:val="24"/>
        </w:rPr>
        <w:t>Asheela-Shikalepo, N. (2021). Corruption and corporate governance in Namibia: An analysis of the strategic approaches in the 4th Industrial Revolution. </w:t>
      </w:r>
      <w:r w:rsidRPr="00B743CD">
        <w:rPr>
          <w:rFonts w:ascii="Times New Roman" w:hAnsi="Times New Roman"/>
          <w:i/>
          <w:iCs/>
          <w:sz w:val="24"/>
          <w:szCs w:val="24"/>
        </w:rPr>
        <w:t>Potchefstroom Electronic Law Journal/Potchefstroomse Elektroniese Regsblad</w:t>
      </w:r>
      <w:r w:rsidRPr="00B743CD">
        <w:rPr>
          <w:rFonts w:ascii="Times New Roman" w:hAnsi="Times New Roman"/>
          <w:sz w:val="24"/>
          <w:szCs w:val="24"/>
        </w:rPr>
        <w:t>, </w:t>
      </w:r>
      <w:r w:rsidRPr="00B743CD">
        <w:rPr>
          <w:rFonts w:ascii="Times New Roman" w:hAnsi="Times New Roman"/>
          <w:i/>
          <w:iCs/>
          <w:sz w:val="24"/>
          <w:szCs w:val="24"/>
        </w:rPr>
        <w:t>24</w:t>
      </w:r>
      <w:r w:rsidRPr="00B743CD">
        <w:rPr>
          <w:rFonts w:ascii="Times New Roman" w:hAnsi="Times New Roman"/>
          <w:sz w:val="24"/>
          <w:szCs w:val="24"/>
        </w:rPr>
        <w:t>(1).</w:t>
      </w:r>
    </w:p>
    <w:p w14:paraId="65D7DBF8"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Association of Certified Fraud Examiners (2018). Report to the Nation on Occupational Fraud and Abuse. Austin, TX.</w:t>
      </w:r>
    </w:p>
    <w:p w14:paraId="251EB421"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Association of Certified Fraud Examiners (acfe.com), 2014.</w:t>
      </w:r>
    </w:p>
    <w:p w14:paraId="25F11335"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Atabay, E., &amp; Dinç, E. (2020). Financial Information Manipulation and Its Effects on Investor Demands: The Case of BIST Bank. February 2020, 41–56. </w:t>
      </w:r>
      <w:hyperlink r:id="rId19" w:history="1">
        <w:r w:rsidRPr="008B1465">
          <w:rPr>
            <w:rStyle w:val="Hyperlink"/>
            <w:rFonts w:ascii="Times New Roman" w:hAnsi="Times New Roman"/>
            <w:color w:val="auto"/>
            <w:sz w:val="24"/>
            <w:szCs w:val="24"/>
            <w:u w:val="none"/>
          </w:rPr>
          <w:t>https://doi.org/10.1108/s1569-375920200000102007</w:t>
        </w:r>
      </w:hyperlink>
    </w:p>
    <w:p w14:paraId="2C7A9B17"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Atabey, N. A., &amp; Yılmaz, B. (2013). An Evaluation of Electronic Commerce in Terms of Accounting Information System in the Global Competitive Environment, In International Conference on Eurasian Economies</w:t>
      </w:r>
    </w:p>
    <w:p w14:paraId="769C9C17" w14:textId="77777777" w:rsidR="0083389C" w:rsidRDefault="0083389C" w:rsidP="00B743CD">
      <w:pPr>
        <w:pStyle w:val="NoSpacing"/>
        <w:spacing w:line="360" w:lineRule="auto"/>
        <w:ind w:left="990" w:hanging="900"/>
        <w:jc w:val="both"/>
        <w:rPr>
          <w:rFonts w:ascii="Times New Roman" w:hAnsi="Times New Roman"/>
          <w:color w:val="222222"/>
          <w:sz w:val="24"/>
          <w:szCs w:val="24"/>
          <w:shd w:val="clear" w:color="auto" w:fill="FFFFFF"/>
        </w:rPr>
      </w:pPr>
      <w:r w:rsidRPr="00B743CD">
        <w:rPr>
          <w:rFonts w:ascii="Times New Roman" w:hAnsi="Times New Roman"/>
          <w:color w:val="222222"/>
          <w:sz w:val="24"/>
          <w:szCs w:val="24"/>
          <w:shd w:val="clear" w:color="auto" w:fill="FFFFFF"/>
        </w:rPr>
        <w:t>Autor, D., Cho, D., Crane, L. D., Goldar, M., Lutz, B., Montes, J., ... &amp; Yildirmaz, A. (2022). The $800 billion paycheck protection program: where did the money go and why did it go there? </w:t>
      </w:r>
      <w:r w:rsidRPr="00B743CD">
        <w:rPr>
          <w:rFonts w:ascii="Times New Roman" w:hAnsi="Times New Roman"/>
          <w:i/>
          <w:iCs/>
          <w:color w:val="222222"/>
          <w:sz w:val="24"/>
          <w:szCs w:val="24"/>
          <w:shd w:val="clear" w:color="auto" w:fill="FFFFFF"/>
        </w:rPr>
        <w:t>Journal of Economic Perspectives</w:t>
      </w:r>
      <w:r w:rsidRPr="00B743CD">
        <w:rPr>
          <w:rFonts w:ascii="Times New Roman" w:hAnsi="Times New Roman"/>
          <w:color w:val="222222"/>
          <w:sz w:val="24"/>
          <w:szCs w:val="24"/>
          <w:shd w:val="clear" w:color="auto" w:fill="FFFFFF"/>
        </w:rPr>
        <w:t>, </w:t>
      </w:r>
      <w:r w:rsidRPr="00B743CD">
        <w:rPr>
          <w:rFonts w:ascii="Times New Roman" w:hAnsi="Times New Roman"/>
          <w:i/>
          <w:iCs/>
          <w:color w:val="222222"/>
          <w:sz w:val="24"/>
          <w:szCs w:val="24"/>
          <w:shd w:val="clear" w:color="auto" w:fill="FFFFFF"/>
        </w:rPr>
        <w:t>36</w:t>
      </w:r>
      <w:r w:rsidRPr="00B743CD">
        <w:rPr>
          <w:rFonts w:ascii="Times New Roman" w:hAnsi="Times New Roman"/>
          <w:color w:val="222222"/>
          <w:sz w:val="24"/>
          <w:szCs w:val="24"/>
          <w:shd w:val="clear" w:color="auto" w:fill="FFFFFF"/>
        </w:rPr>
        <w:t>(2), 55-80.</w:t>
      </w:r>
    </w:p>
    <w:p w14:paraId="711D1D48"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Awolowo, D. I. F. (2019). A Sheffield Hallam University thesis Financial Statement Fraud: The Need for a Paradigm Shift to Forensic Accounting Ifedapo Francis Awolowo A thesis submitted in partial fulfilment of the requirements of Sheffield Hallam University For the degree of Doc. Sheffield Hallam University Research Archive.</w:t>
      </w:r>
    </w:p>
    <w:p w14:paraId="04F947F9" w14:textId="77777777" w:rsidR="0083389C" w:rsidRDefault="0083389C" w:rsidP="00B743CD">
      <w:pPr>
        <w:pStyle w:val="NoSpacing"/>
        <w:spacing w:line="360" w:lineRule="auto"/>
        <w:ind w:left="990" w:hanging="900"/>
        <w:jc w:val="both"/>
        <w:rPr>
          <w:rFonts w:ascii="Times New Roman" w:hAnsi="Times New Roman"/>
          <w:color w:val="222222"/>
          <w:sz w:val="24"/>
          <w:szCs w:val="24"/>
          <w:shd w:val="clear" w:color="auto" w:fill="FFFFFF"/>
        </w:rPr>
      </w:pPr>
      <w:r w:rsidRPr="00B743CD">
        <w:rPr>
          <w:rFonts w:ascii="Times New Roman" w:hAnsi="Times New Roman"/>
          <w:color w:val="222222"/>
          <w:sz w:val="24"/>
          <w:szCs w:val="24"/>
          <w:shd w:val="clear" w:color="auto" w:fill="FFFFFF"/>
        </w:rPr>
        <w:t>Azar, N., &amp; Sahar, E. (2022). Reliable Financial Statements: External Auditing System or Financial Statement Insurance? </w:t>
      </w:r>
      <w:r w:rsidRPr="00B743CD">
        <w:rPr>
          <w:rFonts w:ascii="Times New Roman" w:hAnsi="Times New Roman"/>
          <w:i/>
          <w:iCs/>
          <w:color w:val="222222"/>
          <w:sz w:val="24"/>
          <w:szCs w:val="24"/>
          <w:shd w:val="clear" w:color="auto" w:fill="FFFFFF"/>
        </w:rPr>
        <w:t>Asian Journal of Accounting Perspectives</w:t>
      </w:r>
      <w:r w:rsidRPr="00B743CD">
        <w:rPr>
          <w:rFonts w:ascii="Times New Roman" w:hAnsi="Times New Roman"/>
          <w:color w:val="222222"/>
          <w:sz w:val="24"/>
          <w:szCs w:val="24"/>
          <w:shd w:val="clear" w:color="auto" w:fill="FFFFFF"/>
        </w:rPr>
        <w:t>, </w:t>
      </w:r>
      <w:r w:rsidRPr="00B743CD">
        <w:rPr>
          <w:rFonts w:ascii="Times New Roman" w:hAnsi="Times New Roman"/>
          <w:i/>
          <w:iCs/>
          <w:color w:val="222222"/>
          <w:sz w:val="24"/>
          <w:szCs w:val="24"/>
          <w:shd w:val="clear" w:color="auto" w:fill="FFFFFF"/>
        </w:rPr>
        <w:t>15</w:t>
      </w:r>
      <w:r w:rsidRPr="00B743CD">
        <w:rPr>
          <w:rFonts w:ascii="Times New Roman" w:hAnsi="Times New Roman"/>
          <w:color w:val="222222"/>
          <w:sz w:val="24"/>
          <w:szCs w:val="24"/>
          <w:shd w:val="clear" w:color="auto" w:fill="FFFFFF"/>
        </w:rPr>
        <w:t>(1), 29-48.</w:t>
      </w:r>
    </w:p>
    <w:p w14:paraId="6A4AD5D3"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Azih, N., &amp; Okoli, B. E. (2015). Forensic accounting as a veritable tool for efficient management of state-owned public sectors in Ebonyi state: The accountants’ perspective. </w:t>
      </w:r>
      <w:r w:rsidRPr="008B1465">
        <w:rPr>
          <w:rFonts w:ascii="Times New Roman" w:hAnsi="Times New Roman"/>
          <w:i/>
          <w:iCs/>
          <w:sz w:val="24"/>
          <w:szCs w:val="24"/>
          <w:shd w:val="clear" w:color="auto" w:fill="FFFFFF"/>
        </w:rPr>
        <w:t>British Journal of Education</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3</w:t>
      </w:r>
      <w:r w:rsidRPr="008B1465">
        <w:rPr>
          <w:rFonts w:ascii="Times New Roman" w:hAnsi="Times New Roman"/>
          <w:sz w:val="24"/>
          <w:szCs w:val="24"/>
          <w:shd w:val="clear" w:color="auto" w:fill="FFFFFF"/>
        </w:rPr>
        <w:t>(8), 55-62.</w:t>
      </w:r>
    </w:p>
    <w:p w14:paraId="53F9EC99"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Azman, N. L. A., &amp; Vaicondam, Y. (2020). Behavioral intention in forensic accounting services. </w:t>
      </w:r>
      <w:r w:rsidRPr="008B1465">
        <w:rPr>
          <w:rFonts w:ascii="Times New Roman" w:hAnsi="Times New Roman"/>
          <w:i/>
          <w:iCs/>
          <w:sz w:val="24"/>
          <w:szCs w:val="24"/>
          <w:shd w:val="clear" w:color="auto" w:fill="FFFFFF"/>
        </w:rPr>
        <w:t>International Journal of Psychosocial Rehabilitation</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24</w:t>
      </w:r>
      <w:r w:rsidRPr="008B1465">
        <w:rPr>
          <w:rFonts w:ascii="Times New Roman" w:hAnsi="Times New Roman"/>
          <w:sz w:val="24"/>
          <w:szCs w:val="24"/>
          <w:shd w:val="clear" w:color="auto" w:fill="FFFFFF"/>
        </w:rPr>
        <w:t>(02), 1837-1846.</w:t>
      </w:r>
    </w:p>
    <w:p w14:paraId="35F68778" w14:textId="77777777" w:rsidR="0083389C" w:rsidRDefault="0083389C" w:rsidP="00B743CD">
      <w:pPr>
        <w:pStyle w:val="NoSpacing"/>
        <w:spacing w:line="360" w:lineRule="auto"/>
        <w:ind w:left="990" w:hanging="900"/>
        <w:jc w:val="both"/>
        <w:rPr>
          <w:rFonts w:ascii="Times New Roman" w:hAnsi="Times New Roman"/>
          <w:sz w:val="24"/>
          <w:szCs w:val="24"/>
        </w:rPr>
      </w:pPr>
      <w:r w:rsidRPr="00B743CD">
        <w:rPr>
          <w:rFonts w:ascii="Times New Roman" w:hAnsi="Times New Roman"/>
          <w:sz w:val="24"/>
          <w:szCs w:val="24"/>
        </w:rPr>
        <w:t>Bachev, I. (2021). Definition and Classification of Financial Statement Fraud. </w:t>
      </w:r>
      <w:r w:rsidRPr="00B743CD">
        <w:rPr>
          <w:rFonts w:ascii="Times New Roman" w:hAnsi="Times New Roman"/>
          <w:i/>
          <w:iCs/>
          <w:sz w:val="24"/>
          <w:szCs w:val="24"/>
        </w:rPr>
        <w:t>Ethics and Sustainability in Accounting and Finance, 2</w:t>
      </w:r>
      <w:r w:rsidRPr="00B743CD">
        <w:rPr>
          <w:rFonts w:ascii="Times New Roman" w:hAnsi="Times New Roman"/>
          <w:sz w:val="24"/>
          <w:szCs w:val="24"/>
        </w:rPr>
        <w:t>, 173-196.</w:t>
      </w:r>
    </w:p>
    <w:p w14:paraId="4DB7D0EC" w14:textId="77777777" w:rsidR="0083389C" w:rsidRDefault="0083389C" w:rsidP="00B743CD">
      <w:pPr>
        <w:pStyle w:val="NoSpacing"/>
        <w:spacing w:line="360" w:lineRule="auto"/>
        <w:ind w:left="990" w:hanging="900"/>
        <w:jc w:val="both"/>
        <w:rPr>
          <w:rFonts w:ascii="Times New Roman" w:hAnsi="Times New Roman"/>
          <w:color w:val="222222"/>
          <w:sz w:val="24"/>
          <w:szCs w:val="24"/>
          <w:shd w:val="clear" w:color="auto" w:fill="FFFFFF"/>
        </w:rPr>
      </w:pPr>
      <w:r w:rsidRPr="00B743CD">
        <w:rPr>
          <w:rFonts w:ascii="Times New Roman" w:hAnsi="Times New Roman"/>
          <w:color w:val="222222"/>
          <w:sz w:val="24"/>
          <w:szCs w:val="24"/>
          <w:shd w:val="clear" w:color="auto" w:fill="FFFFFF"/>
        </w:rPr>
        <w:t>Bali, A. S., Edmond, G., Ballantyne, K. N., Kemp, R. I., &amp; Martire, K. A. (2020). Communicating forensic science opinion: An examination of expert reporting practices. </w:t>
      </w:r>
      <w:r w:rsidRPr="00B743CD">
        <w:rPr>
          <w:rFonts w:ascii="Times New Roman" w:hAnsi="Times New Roman"/>
          <w:i/>
          <w:iCs/>
          <w:color w:val="222222"/>
          <w:sz w:val="24"/>
          <w:szCs w:val="24"/>
          <w:shd w:val="clear" w:color="auto" w:fill="FFFFFF"/>
        </w:rPr>
        <w:t>Science &amp; Justice</w:t>
      </w:r>
      <w:r w:rsidRPr="00B743CD">
        <w:rPr>
          <w:rFonts w:ascii="Times New Roman" w:hAnsi="Times New Roman"/>
          <w:color w:val="222222"/>
          <w:sz w:val="24"/>
          <w:szCs w:val="24"/>
          <w:shd w:val="clear" w:color="auto" w:fill="FFFFFF"/>
        </w:rPr>
        <w:t>, </w:t>
      </w:r>
      <w:r w:rsidRPr="00B743CD">
        <w:rPr>
          <w:rFonts w:ascii="Times New Roman" w:hAnsi="Times New Roman"/>
          <w:i/>
          <w:iCs/>
          <w:color w:val="222222"/>
          <w:sz w:val="24"/>
          <w:szCs w:val="24"/>
          <w:shd w:val="clear" w:color="auto" w:fill="FFFFFF"/>
        </w:rPr>
        <w:t>60</w:t>
      </w:r>
      <w:r w:rsidRPr="00B743CD">
        <w:rPr>
          <w:rFonts w:ascii="Times New Roman" w:hAnsi="Times New Roman"/>
          <w:color w:val="222222"/>
          <w:sz w:val="24"/>
          <w:szCs w:val="24"/>
          <w:shd w:val="clear" w:color="auto" w:fill="FFFFFF"/>
        </w:rPr>
        <w:t>(3), 216-224.</w:t>
      </w:r>
    </w:p>
    <w:p w14:paraId="1FD6CEC5"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Bardhan, P. 1997. Corruption and Development: </w:t>
      </w:r>
      <w:r w:rsidRPr="008B1465">
        <w:rPr>
          <w:rFonts w:ascii="Times New Roman" w:hAnsi="Times New Roman"/>
          <w:i/>
          <w:sz w:val="24"/>
          <w:szCs w:val="24"/>
        </w:rPr>
        <w:t>A Review of Issues. Journal of Economic Literature</w:t>
      </w:r>
      <w:r w:rsidRPr="008B1465">
        <w:rPr>
          <w:rFonts w:ascii="Times New Roman" w:hAnsi="Times New Roman"/>
          <w:sz w:val="24"/>
          <w:szCs w:val="24"/>
        </w:rPr>
        <w:t xml:space="preserve"> 35(3)</w:t>
      </w:r>
      <w:r>
        <w:rPr>
          <w:rFonts w:ascii="Times New Roman" w:hAnsi="Times New Roman"/>
          <w:sz w:val="24"/>
          <w:szCs w:val="24"/>
        </w:rPr>
        <w:t>,</w:t>
      </w:r>
      <w:r w:rsidRPr="008B1465">
        <w:rPr>
          <w:rFonts w:ascii="Times New Roman" w:hAnsi="Times New Roman"/>
          <w:sz w:val="24"/>
          <w:szCs w:val="24"/>
        </w:rPr>
        <w:t xml:space="preserve"> 1320–1346.</w:t>
      </w:r>
    </w:p>
    <w:p w14:paraId="0EC717AA"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Bassey, B. E., &amp; Ahonkhai, O. E. (2017). Effect of forensic accounting and litigation support on fraud detection of banks in Nigeria, </w:t>
      </w:r>
      <w:r w:rsidRPr="008B1465">
        <w:rPr>
          <w:rFonts w:ascii="Times New Roman" w:hAnsi="Times New Roman"/>
          <w:i/>
          <w:iCs/>
          <w:sz w:val="24"/>
          <w:szCs w:val="24"/>
          <w:shd w:val="clear" w:color="auto" w:fill="FFFFFF"/>
        </w:rPr>
        <w:t>IOSR Journal of Business and Management</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19</w:t>
      </w:r>
      <w:r w:rsidRPr="008B1465">
        <w:rPr>
          <w:rFonts w:ascii="Times New Roman" w:hAnsi="Times New Roman"/>
          <w:sz w:val="24"/>
          <w:szCs w:val="24"/>
          <w:shd w:val="clear" w:color="auto" w:fill="FFFFFF"/>
        </w:rPr>
        <w:t>(6), 56-60.</w:t>
      </w:r>
    </w:p>
    <w:p w14:paraId="06E37BCD"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Bassey, E. B. (2018). Effect of forensic accounting on the management of fraud in microfinance institutions in Cross River State. Journal of Economics and Finance, 9(4), 79-8</w:t>
      </w:r>
    </w:p>
    <w:p w14:paraId="60110CEF"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Becker, G. S. (1965). A Theory of the Allocation of Time. </w:t>
      </w:r>
      <w:r w:rsidRPr="008B1465">
        <w:rPr>
          <w:rFonts w:ascii="Times New Roman" w:hAnsi="Times New Roman"/>
          <w:i/>
          <w:iCs/>
          <w:sz w:val="24"/>
          <w:szCs w:val="24"/>
        </w:rPr>
        <w:t>The economic journal</w:t>
      </w:r>
      <w:r w:rsidRPr="008B1465">
        <w:rPr>
          <w:rFonts w:ascii="Times New Roman" w:hAnsi="Times New Roman"/>
          <w:sz w:val="24"/>
          <w:szCs w:val="24"/>
        </w:rPr>
        <w:t xml:space="preserve">, </w:t>
      </w:r>
      <w:r w:rsidRPr="008B1465">
        <w:rPr>
          <w:rFonts w:ascii="Times New Roman" w:hAnsi="Times New Roman"/>
          <w:i/>
          <w:iCs/>
          <w:sz w:val="24"/>
          <w:szCs w:val="24"/>
        </w:rPr>
        <w:t>75</w:t>
      </w:r>
      <w:r w:rsidRPr="008B1465">
        <w:rPr>
          <w:rFonts w:ascii="Times New Roman" w:hAnsi="Times New Roman"/>
          <w:sz w:val="24"/>
          <w:szCs w:val="24"/>
        </w:rPr>
        <w:t>(299), 493-517.</w:t>
      </w:r>
    </w:p>
    <w:p w14:paraId="092A2623"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Bekiaris, M., &amp; Papachristou, G. (2017). Corporate and accounting fraud: Types, causes and fraudster’s business profile. Corporate Ownership and Control, 15(1), 467-475.</w:t>
      </w:r>
    </w:p>
    <w:p w14:paraId="3105C31D"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Bennett, W. W., Hess, K. M., &amp; Orthmann, C. M. (2004). Management and supervision in law enforcement, Belmont, CA: Wadsworth/Thomson Learning.</w:t>
      </w:r>
    </w:p>
    <w:p w14:paraId="451B046E"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Bhagwati, J.</w:t>
      </w:r>
      <w:r>
        <w:rPr>
          <w:rFonts w:ascii="Times New Roman" w:hAnsi="Times New Roman"/>
          <w:sz w:val="24"/>
          <w:szCs w:val="24"/>
        </w:rPr>
        <w:t xml:space="preserve"> </w:t>
      </w:r>
      <w:r w:rsidRPr="008B1465">
        <w:rPr>
          <w:rFonts w:ascii="Times New Roman" w:hAnsi="Times New Roman"/>
          <w:sz w:val="24"/>
          <w:szCs w:val="24"/>
        </w:rPr>
        <w:t xml:space="preserve">N. 1982. Directly Unproductive, Profit-Seeking (DUP) activities. </w:t>
      </w:r>
      <w:r w:rsidRPr="008B1465">
        <w:rPr>
          <w:rFonts w:ascii="Times New Roman" w:hAnsi="Times New Roman"/>
          <w:i/>
          <w:sz w:val="24"/>
          <w:szCs w:val="24"/>
        </w:rPr>
        <w:t>Journal of Political Economy</w:t>
      </w:r>
      <w:r w:rsidRPr="008B1465">
        <w:rPr>
          <w:rFonts w:ascii="Times New Roman" w:hAnsi="Times New Roman"/>
          <w:sz w:val="24"/>
          <w:szCs w:val="24"/>
        </w:rPr>
        <w:t xml:space="preserve"> (90)</w:t>
      </w:r>
      <w:r>
        <w:rPr>
          <w:rFonts w:ascii="Times New Roman" w:hAnsi="Times New Roman"/>
          <w:sz w:val="24"/>
          <w:szCs w:val="24"/>
        </w:rPr>
        <w:t>,</w:t>
      </w:r>
      <w:r w:rsidRPr="008B1465">
        <w:rPr>
          <w:rFonts w:ascii="Times New Roman" w:hAnsi="Times New Roman"/>
          <w:sz w:val="24"/>
          <w:szCs w:val="24"/>
        </w:rPr>
        <w:t xml:space="preserve"> 988–1002.</w:t>
      </w:r>
    </w:p>
    <w:p w14:paraId="3885C215"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Bhasin, M. (2007). Forensic accounting: a new paradigm for Niche Consulting. </w:t>
      </w:r>
      <w:r w:rsidRPr="008B1465">
        <w:rPr>
          <w:rFonts w:ascii="Times New Roman" w:hAnsi="Times New Roman"/>
          <w:i/>
          <w:iCs/>
          <w:sz w:val="24"/>
          <w:szCs w:val="24"/>
        </w:rPr>
        <w:t>The chartered accountant</w:t>
      </w:r>
      <w:r w:rsidRPr="008B1465">
        <w:rPr>
          <w:rFonts w:ascii="Times New Roman" w:hAnsi="Times New Roman"/>
          <w:sz w:val="24"/>
          <w:szCs w:val="24"/>
        </w:rPr>
        <w:t>, 1000-1010.</w:t>
      </w:r>
    </w:p>
    <w:p w14:paraId="7E737C76"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Bhasin, M. (2015). Creative Accounting Practices in the Indian Corporate Sector: An Empirical Study. </w:t>
      </w:r>
      <w:r w:rsidRPr="008B1465">
        <w:rPr>
          <w:rFonts w:ascii="Times New Roman" w:hAnsi="Times New Roman"/>
          <w:i/>
          <w:iCs/>
          <w:sz w:val="24"/>
          <w:szCs w:val="24"/>
        </w:rPr>
        <w:t>British Journal of Education</w:t>
      </w:r>
      <w:r w:rsidRPr="008B1465">
        <w:rPr>
          <w:rFonts w:ascii="Times New Roman" w:hAnsi="Times New Roman"/>
          <w:sz w:val="24"/>
          <w:szCs w:val="24"/>
        </w:rPr>
        <w:t>, 3(8), 55-62.</w:t>
      </w:r>
    </w:p>
    <w:p w14:paraId="2F7ABD18"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Bhasin, M. (2016a). Forensic Accounting in Asia: Perspectives and Prospects. </w:t>
      </w:r>
      <w:r w:rsidRPr="008B1465">
        <w:rPr>
          <w:rFonts w:ascii="Times New Roman" w:hAnsi="Times New Roman"/>
          <w:i/>
          <w:sz w:val="24"/>
          <w:szCs w:val="24"/>
        </w:rPr>
        <w:t xml:space="preserve">International </w:t>
      </w:r>
      <w:r w:rsidRPr="008B1465">
        <w:rPr>
          <w:rFonts w:ascii="Times New Roman" w:hAnsi="Times New Roman"/>
          <w:i/>
          <w:iCs/>
          <w:sz w:val="24"/>
          <w:szCs w:val="24"/>
        </w:rPr>
        <w:t>Journal of Management and Social</w:t>
      </w:r>
      <w:r w:rsidRPr="008B1465">
        <w:rPr>
          <w:rFonts w:ascii="Times New Roman" w:hAnsi="Times New Roman"/>
          <w:i/>
          <w:sz w:val="24"/>
          <w:szCs w:val="24"/>
        </w:rPr>
        <w:t>,</w:t>
      </w:r>
      <w:r w:rsidRPr="008B1465">
        <w:rPr>
          <w:rFonts w:ascii="Times New Roman" w:hAnsi="Times New Roman"/>
          <w:sz w:val="24"/>
          <w:szCs w:val="24"/>
        </w:rPr>
        <w:t xml:space="preserve"> 5(7)</w:t>
      </w:r>
    </w:p>
    <w:p w14:paraId="12B50FDF"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Bhasin, M. L. (2016b). Survey of creative accounting practices: an empirical study. Wulfenia </w:t>
      </w:r>
      <w:r w:rsidRPr="008B1465">
        <w:rPr>
          <w:rFonts w:ascii="Times New Roman" w:hAnsi="Times New Roman"/>
          <w:i/>
          <w:iCs/>
          <w:sz w:val="24"/>
          <w:szCs w:val="24"/>
        </w:rPr>
        <w:t>Journal Klagenfurt,</w:t>
      </w:r>
      <w:r w:rsidRPr="008B1465">
        <w:rPr>
          <w:rFonts w:ascii="Times New Roman" w:hAnsi="Times New Roman"/>
          <w:sz w:val="24"/>
          <w:szCs w:val="24"/>
        </w:rPr>
        <w:t xml:space="preserve"> 23(1), 143-162.</w:t>
      </w:r>
    </w:p>
    <w:p w14:paraId="472EA2CC"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Biçer, A. A., &amp; Issa, M. (2017). Perception of Forensic Accounting Education as a Tool for Anti-Fraud in Libya. </w:t>
      </w:r>
      <w:r w:rsidRPr="008B1465">
        <w:rPr>
          <w:rFonts w:ascii="Times New Roman" w:hAnsi="Times New Roman"/>
          <w:i/>
          <w:iCs/>
          <w:sz w:val="24"/>
          <w:szCs w:val="24"/>
          <w:shd w:val="clear" w:color="auto" w:fill="FFFFFF"/>
        </w:rPr>
        <w:t>International Journal of Managerial Studies Research</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5</w:t>
      </w:r>
      <w:r w:rsidRPr="008B1465">
        <w:rPr>
          <w:rFonts w:ascii="Times New Roman" w:hAnsi="Times New Roman"/>
          <w:sz w:val="24"/>
          <w:szCs w:val="24"/>
          <w:shd w:val="clear" w:color="auto" w:fill="FFFFFF"/>
        </w:rPr>
        <w:t>(11), 83-89.</w:t>
      </w:r>
    </w:p>
    <w:p w14:paraId="63283C35"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Bloomfield, R. (2008). Discussion of “annual report readability, current earnings, and earnings persistence”. </w:t>
      </w:r>
      <w:r w:rsidRPr="008B1465">
        <w:rPr>
          <w:rFonts w:ascii="Times New Roman" w:hAnsi="Times New Roman"/>
          <w:i/>
          <w:iCs/>
          <w:sz w:val="24"/>
          <w:szCs w:val="24"/>
        </w:rPr>
        <w:t>Journal of Accounting and Economics</w:t>
      </w:r>
      <w:r w:rsidRPr="008B1465">
        <w:rPr>
          <w:rFonts w:ascii="Times New Roman" w:hAnsi="Times New Roman"/>
          <w:sz w:val="24"/>
          <w:szCs w:val="24"/>
        </w:rPr>
        <w:t>, 45(2-3), 248-252.</w:t>
      </w:r>
    </w:p>
    <w:p w14:paraId="199A9DC4"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Bologna, G. J., &amp; Lindquist, R. J. (1995). Fraud auditing and forensic accounting: New tools and techniques. </w:t>
      </w:r>
      <w:r w:rsidRPr="008B1465">
        <w:rPr>
          <w:rFonts w:ascii="Times New Roman" w:hAnsi="Times New Roman"/>
          <w:i/>
          <w:iCs/>
          <w:sz w:val="24"/>
          <w:szCs w:val="24"/>
        </w:rPr>
        <w:t>Language</w:t>
      </w:r>
      <w:r w:rsidRPr="008B1465">
        <w:rPr>
          <w:rFonts w:ascii="Times New Roman" w:hAnsi="Times New Roman"/>
          <w:sz w:val="24"/>
          <w:szCs w:val="24"/>
        </w:rPr>
        <w:t>, 15(249), 24.</w:t>
      </w:r>
    </w:p>
    <w:p w14:paraId="5BA319E1"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Bonsing, S., &amp; Langsted, L. (2013). “Undue” gifts for public employees: An administrative and criminal law analysis. </w:t>
      </w:r>
      <w:r w:rsidRPr="008B1465">
        <w:rPr>
          <w:rFonts w:ascii="Times New Roman" w:hAnsi="Times New Roman"/>
          <w:i/>
          <w:iCs/>
          <w:sz w:val="24"/>
          <w:szCs w:val="24"/>
        </w:rPr>
        <w:t>European Journal of Crime, Law and Criminal Justice</w:t>
      </w:r>
      <w:r w:rsidRPr="008B1465">
        <w:rPr>
          <w:rFonts w:ascii="Times New Roman" w:hAnsi="Times New Roman"/>
          <w:sz w:val="24"/>
          <w:szCs w:val="24"/>
        </w:rPr>
        <w:t>, 163-184.</w:t>
      </w:r>
    </w:p>
    <w:p w14:paraId="1B24B6FD"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Botes, V., &amp; Saadeh, A. (2018). Exploring Evidence to Develop a Nomenclature for Forensic Accounting. </w:t>
      </w:r>
      <w:r w:rsidRPr="008B1465">
        <w:rPr>
          <w:rFonts w:ascii="Times New Roman" w:hAnsi="Times New Roman"/>
          <w:i/>
          <w:iCs/>
          <w:sz w:val="24"/>
          <w:szCs w:val="24"/>
        </w:rPr>
        <w:t>Pacific Accounting Review</w:t>
      </w:r>
      <w:r w:rsidRPr="008B1465">
        <w:rPr>
          <w:rFonts w:ascii="Times New Roman" w:hAnsi="Times New Roman"/>
          <w:sz w:val="24"/>
          <w:szCs w:val="24"/>
        </w:rPr>
        <w:t>, 30 (2), 135–154.</w:t>
      </w:r>
    </w:p>
    <w:p w14:paraId="6A8CD11D"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Bozkurt, N. (2000). A new field in accounting and audit profession “forensic accounting”. </w:t>
      </w:r>
      <w:r w:rsidRPr="008B1465">
        <w:rPr>
          <w:rFonts w:ascii="Times New Roman" w:hAnsi="Times New Roman"/>
          <w:i/>
          <w:iCs/>
          <w:sz w:val="24"/>
          <w:szCs w:val="24"/>
          <w:shd w:val="clear" w:color="auto" w:fill="FFFFFF"/>
        </w:rPr>
        <w:t>Yakla~ im Journal</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8</w:t>
      </w:r>
      <w:r w:rsidRPr="008B1465">
        <w:rPr>
          <w:rFonts w:ascii="Times New Roman" w:hAnsi="Times New Roman"/>
          <w:sz w:val="24"/>
          <w:szCs w:val="24"/>
          <w:shd w:val="clear" w:color="auto" w:fill="FFFFFF"/>
        </w:rPr>
        <w:t>(94), 56-61.</w:t>
      </w:r>
    </w:p>
    <w:p w14:paraId="373F3122"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Brady, P. J. (2010). Measuring retirement resource adequacy. </w:t>
      </w:r>
      <w:r w:rsidRPr="008B1465">
        <w:rPr>
          <w:rFonts w:ascii="Times New Roman" w:hAnsi="Times New Roman"/>
          <w:i/>
          <w:iCs/>
          <w:sz w:val="24"/>
          <w:szCs w:val="24"/>
        </w:rPr>
        <w:t>Journal of Pension Economics &amp; Finance</w:t>
      </w:r>
      <w:r w:rsidRPr="008B1465">
        <w:rPr>
          <w:rFonts w:ascii="Times New Roman" w:hAnsi="Times New Roman"/>
          <w:sz w:val="24"/>
          <w:szCs w:val="24"/>
        </w:rPr>
        <w:t>, 9(2), 235-262.</w:t>
      </w:r>
    </w:p>
    <w:p w14:paraId="0E4CB8E6"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Braithwaite, J. (2009). White Collar Crime Source. Annual Review of Sociology. </w:t>
      </w:r>
      <w:r w:rsidRPr="008B1465">
        <w:rPr>
          <w:rFonts w:ascii="Times New Roman" w:hAnsi="Times New Roman"/>
          <w:i/>
          <w:iCs/>
          <w:sz w:val="24"/>
          <w:szCs w:val="24"/>
        </w:rPr>
        <w:t>Annual Reviews</w:t>
      </w:r>
      <w:r w:rsidRPr="008B1465">
        <w:rPr>
          <w:rFonts w:ascii="Times New Roman" w:hAnsi="Times New Roman"/>
          <w:sz w:val="24"/>
          <w:szCs w:val="24"/>
        </w:rPr>
        <w:t>, 11, 1–25.</w:t>
      </w:r>
    </w:p>
    <w:p w14:paraId="305E1756" w14:textId="77777777" w:rsidR="0083389C" w:rsidRDefault="0083389C" w:rsidP="00B743CD">
      <w:pPr>
        <w:pStyle w:val="NoSpacing"/>
        <w:spacing w:line="360" w:lineRule="auto"/>
        <w:ind w:left="990" w:hanging="900"/>
        <w:jc w:val="both"/>
        <w:rPr>
          <w:rFonts w:ascii="Times New Roman" w:hAnsi="Times New Roman"/>
          <w:color w:val="222222"/>
          <w:sz w:val="24"/>
          <w:szCs w:val="24"/>
          <w:shd w:val="clear" w:color="auto" w:fill="FFFFFF"/>
        </w:rPr>
      </w:pPr>
      <w:r w:rsidRPr="00B743CD">
        <w:rPr>
          <w:rFonts w:ascii="Times New Roman" w:hAnsi="Times New Roman"/>
          <w:color w:val="222222"/>
          <w:sz w:val="24"/>
          <w:szCs w:val="24"/>
          <w:shd w:val="clear" w:color="auto" w:fill="FFFFFF"/>
        </w:rPr>
        <w:t>Bremner, R. P., &amp; Eisenhardt, K. M. (2022). Organizing form, experimentation, and performance: Innovation in the nascent civilian drone industry. </w:t>
      </w:r>
      <w:r w:rsidRPr="00B743CD">
        <w:rPr>
          <w:rFonts w:ascii="Times New Roman" w:hAnsi="Times New Roman"/>
          <w:i/>
          <w:iCs/>
          <w:color w:val="222222"/>
          <w:sz w:val="24"/>
          <w:szCs w:val="24"/>
          <w:shd w:val="clear" w:color="auto" w:fill="FFFFFF"/>
        </w:rPr>
        <w:t>Organization Science</w:t>
      </w:r>
      <w:r w:rsidRPr="00B743CD">
        <w:rPr>
          <w:rFonts w:ascii="Times New Roman" w:hAnsi="Times New Roman"/>
          <w:color w:val="222222"/>
          <w:sz w:val="24"/>
          <w:szCs w:val="24"/>
          <w:shd w:val="clear" w:color="auto" w:fill="FFFFFF"/>
        </w:rPr>
        <w:t>, </w:t>
      </w:r>
      <w:r w:rsidRPr="00B743CD">
        <w:rPr>
          <w:rFonts w:ascii="Times New Roman" w:hAnsi="Times New Roman"/>
          <w:i/>
          <w:iCs/>
          <w:color w:val="222222"/>
          <w:sz w:val="24"/>
          <w:szCs w:val="24"/>
          <w:shd w:val="clear" w:color="auto" w:fill="FFFFFF"/>
        </w:rPr>
        <w:t>33</w:t>
      </w:r>
      <w:r w:rsidRPr="00B743CD">
        <w:rPr>
          <w:rFonts w:ascii="Times New Roman" w:hAnsi="Times New Roman"/>
          <w:color w:val="222222"/>
          <w:sz w:val="24"/>
          <w:szCs w:val="24"/>
          <w:shd w:val="clear" w:color="auto" w:fill="FFFFFF"/>
        </w:rPr>
        <w:t>(4), 1645-1674.</w:t>
      </w:r>
    </w:p>
    <w:p w14:paraId="24B21888"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Brenner, S. W. (2001). Is there such a thing as' Virtual Crime'?. California Criminal Law Review, 4(1)</w:t>
      </w:r>
    </w:p>
    <w:p w14:paraId="5F63EE86"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Budsaratragoon, P., &amp; Jitmaneeroj, B. (2020). A critique on the corruption perceptions index: an interdisciplinary approach. </w:t>
      </w:r>
      <w:r w:rsidRPr="008B1465">
        <w:rPr>
          <w:rFonts w:ascii="Times New Roman" w:hAnsi="Times New Roman"/>
          <w:i/>
          <w:iCs/>
          <w:sz w:val="24"/>
          <w:szCs w:val="24"/>
        </w:rPr>
        <w:t>Socio-Economic Planning Sciences</w:t>
      </w:r>
      <w:r w:rsidRPr="008B1465">
        <w:rPr>
          <w:rFonts w:ascii="Times New Roman" w:hAnsi="Times New Roman"/>
          <w:sz w:val="24"/>
          <w:szCs w:val="24"/>
        </w:rPr>
        <w:t>, 70, 100768</w:t>
      </w:r>
    </w:p>
    <w:p w14:paraId="17C271B5"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Burcham, J. 2014. Business Ethics from the Top Down Can Prevent Fraud. Business Protection, EZShield Inc.</w:t>
      </w:r>
    </w:p>
    <w:p w14:paraId="1990FD3B" w14:textId="77777777" w:rsidR="0083389C" w:rsidRDefault="0083389C" w:rsidP="00B743CD">
      <w:pPr>
        <w:pStyle w:val="NoSpacing"/>
        <w:spacing w:line="360" w:lineRule="auto"/>
        <w:ind w:left="990" w:hanging="900"/>
        <w:jc w:val="both"/>
        <w:rPr>
          <w:rFonts w:ascii="Times New Roman" w:hAnsi="Times New Roman"/>
          <w:color w:val="222222"/>
          <w:sz w:val="24"/>
          <w:szCs w:val="24"/>
          <w:shd w:val="clear" w:color="auto" w:fill="FFFFFF"/>
        </w:rPr>
      </w:pPr>
      <w:r w:rsidRPr="00B743CD">
        <w:rPr>
          <w:rFonts w:ascii="Times New Roman" w:hAnsi="Times New Roman"/>
          <w:color w:val="222222"/>
          <w:sz w:val="24"/>
          <w:szCs w:val="24"/>
          <w:shd w:val="clear" w:color="auto" w:fill="FFFFFF"/>
        </w:rPr>
        <w:t>Capraș, I. L., &amp; Achim, M. V. (2023). An overview of forensic accounting and its effectiveness in the detection and prevention of fraud. </w:t>
      </w:r>
      <w:r w:rsidRPr="00B743CD">
        <w:rPr>
          <w:rFonts w:ascii="Times New Roman" w:hAnsi="Times New Roman"/>
          <w:i/>
          <w:iCs/>
          <w:color w:val="222222"/>
          <w:sz w:val="24"/>
          <w:szCs w:val="24"/>
          <w:shd w:val="clear" w:color="auto" w:fill="FFFFFF"/>
        </w:rPr>
        <w:t>Economic and Financial Crime, Sustainability and Good Governance</w:t>
      </w:r>
      <w:r w:rsidRPr="00B743CD">
        <w:rPr>
          <w:rFonts w:ascii="Times New Roman" w:hAnsi="Times New Roman"/>
          <w:color w:val="222222"/>
          <w:sz w:val="24"/>
          <w:szCs w:val="24"/>
          <w:shd w:val="clear" w:color="auto" w:fill="FFFFFF"/>
        </w:rPr>
        <w:t>, 319-346.</w:t>
      </w:r>
    </w:p>
    <w:p w14:paraId="6A4F770E" w14:textId="77777777" w:rsidR="0083389C" w:rsidRDefault="0083389C" w:rsidP="005A752C">
      <w:pPr>
        <w:pStyle w:val="NoSpacing"/>
        <w:spacing w:line="360" w:lineRule="auto"/>
        <w:ind w:left="990" w:hanging="900"/>
        <w:jc w:val="both"/>
        <w:rPr>
          <w:rFonts w:ascii="Times New Roman" w:hAnsi="Times New Roman"/>
          <w:color w:val="222222"/>
          <w:sz w:val="24"/>
          <w:szCs w:val="24"/>
          <w:shd w:val="clear" w:color="auto" w:fill="FFFFFF"/>
        </w:rPr>
      </w:pPr>
      <w:r w:rsidRPr="00B743CD">
        <w:rPr>
          <w:rFonts w:ascii="Times New Roman" w:hAnsi="Times New Roman"/>
          <w:color w:val="222222"/>
          <w:sz w:val="24"/>
          <w:szCs w:val="24"/>
          <w:shd w:val="clear" w:color="auto" w:fill="FFFFFF"/>
        </w:rPr>
        <w:t>Casallas, J. A. T., Lovelle, J. M. C., &amp; Molano, J. I. R. (2020). Smart contracts with blockchain in the public sector. </w:t>
      </w:r>
      <w:r w:rsidRPr="00B743CD">
        <w:rPr>
          <w:rFonts w:ascii="Times New Roman" w:hAnsi="Times New Roman"/>
          <w:i/>
          <w:iCs/>
          <w:color w:val="222222"/>
          <w:sz w:val="24"/>
          <w:szCs w:val="24"/>
          <w:shd w:val="clear" w:color="auto" w:fill="FFFFFF"/>
        </w:rPr>
        <w:t>IJIMAI</w:t>
      </w:r>
      <w:r w:rsidRPr="00B743CD">
        <w:rPr>
          <w:rFonts w:ascii="Times New Roman" w:hAnsi="Times New Roman"/>
          <w:color w:val="222222"/>
          <w:sz w:val="24"/>
          <w:szCs w:val="24"/>
          <w:shd w:val="clear" w:color="auto" w:fill="FFFFFF"/>
        </w:rPr>
        <w:t>, </w:t>
      </w:r>
      <w:r w:rsidRPr="00B743CD">
        <w:rPr>
          <w:rFonts w:ascii="Times New Roman" w:hAnsi="Times New Roman"/>
          <w:i/>
          <w:iCs/>
          <w:color w:val="222222"/>
          <w:sz w:val="24"/>
          <w:szCs w:val="24"/>
          <w:shd w:val="clear" w:color="auto" w:fill="FFFFFF"/>
        </w:rPr>
        <w:t>6</w:t>
      </w:r>
      <w:r w:rsidRPr="00B743CD">
        <w:rPr>
          <w:rFonts w:ascii="Times New Roman" w:hAnsi="Times New Roman"/>
          <w:color w:val="222222"/>
          <w:sz w:val="24"/>
          <w:szCs w:val="24"/>
          <w:shd w:val="clear" w:color="auto" w:fill="FFFFFF"/>
        </w:rPr>
        <w:t>(3), 63-72.</w:t>
      </w:r>
    </w:p>
    <w:p w14:paraId="05973DE3" w14:textId="77777777" w:rsidR="0083389C" w:rsidRDefault="0083389C" w:rsidP="005A752C">
      <w:pPr>
        <w:pStyle w:val="NoSpacing"/>
        <w:spacing w:line="360" w:lineRule="auto"/>
        <w:ind w:left="990" w:hanging="900"/>
        <w:jc w:val="both"/>
        <w:rPr>
          <w:rFonts w:ascii="Times New Roman" w:hAnsi="Times New Roman"/>
          <w:color w:val="222222"/>
          <w:sz w:val="24"/>
          <w:szCs w:val="24"/>
          <w:shd w:val="clear" w:color="auto" w:fill="FFFFFF"/>
        </w:rPr>
      </w:pPr>
      <w:r w:rsidRPr="005A752C">
        <w:rPr>
          <w:rFonts w:ascii="Times New Roman" w:hAnsi="Times New Roman"/>
          <w:color w:val="222222"/>
          <w:sz w:val="24"/>
          <w:szCs w:val="24"/>
          <w:shd w:val="clear" w:color="auto" w:fill="FFFFFF"/>
        </w:rPr>
        <w:t>Cazenave, B., &amp; Morales, J. (2021). NGO responses to financial evaluation: auditability, purification and performance. </w:t>
      </w:r>
      <w:r w:rsidRPr="005A752C">
        <w:rPr>
          <w:rFonts w:ascii="Times New Roman" w:hAnsi="Times New Roman"/>
          <w:i/>
          <w:iCs/>
          <w:color w:val="222222"/>
          <w:sz w:val="24"/>
          <w:szCs w:val="24"/>
          <w:shd w:val="clear" w:color="auto" w:fill="FFFFFF"/>
        </w:rPr>
        <w:t>Accounting, Auditing &amp; Accountability Journal</w:t>
      </w:r>
      <w:r w:rsidRPr="005A752C">
        <w:rPr>
          <w:rFonts w:ascii="Times New Roman" w:hAnsi="Times New Roman"/>
          <w:color w:val="222222"/>
          <w:sz w:val="24"/>
          <w:szCs w:val="24"/>
          <w:shd w:val="clear" w:color="auto" w:fill="FFFFFF"/>
        </w:rPr>
        <w:t>, </w:t>
      </w:r>
      <w:r w:rsidRPr="005A752C">
        <w:rPr>
          <w:rFonts w:ascii="Times New Roman" w:hAnsi="Times New Roman"/>
          <w:i/>
          <w:iCs/>
          <w:color w:val="222222"/>
          <w:sz w:val="24"/>
          <w:szCs w:val="24"/>
          <w:shd w:val="clear" w:color="auto" w:fill="FFFFFF"/>
        </w:rPr>
        <w:t>34</w:t>
      </w:r>
      <w:r w:rsidRPr="005A752C">
        <w:rPr>
          <w:rFonts w:ascii="Times New Roman" w:hAnsi="Times New Roman"/>
          <w:color w:val="222222"/>
          <w:sz w:val="24"/>
          <w:szCs w:val="24"/>
          <w:shd w:val="clear" w:color="auto" w:fill="FFFFFF"/>
        </w:rPr>
        <w:t>(4), 731-756.</w:t>
      </w:r>
    </w:p>
    <w:p w14:paraId="162DF33A"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Chowdhury, A., &amp; Kirkpatrick, C. (2003). Development policy and planning: an introduction to models and techniques. Routledge.</w:t>
      </w:r>
    </w:p>
    <w:p w14:paraId="7BD8AFAA"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Chung, J., Farrar, J., Puri, P., &amp; Thorne, L. (2010). Auditor liability to third parties after Sarbanes-Oxley: An international comparison of regulatory and legal reforms. </w:t>
      </w:r>
      <w:r w:rsidRPr="008B1465">
        <w:rPr>
          <w:rFonts w:ascii="Times New Roman" w:hAnsi="Times New Roman"/>
          <w:i/>
          <w:iCs/>
          <w:sz w:val="24"/>
          <w:szCs w:val="24"/>
        </w:rPr>
        <w:t>Journal of International Accounting, Auditing and Taxation</w:t>
      </w:r>
      <w:r w:rsidRPr="008B1465">
        <w:rPr>
          <w:rFonts w:ascii="Times New Roman" w:hAnsi="Times New Roman"/>
          <w:sz w:val="24"/>
          <w:szCs w:val="24"/>
        </w:rPr>
        <w:t>, 19(1), 66-78.</w:t>
      </w:r>
    </w:p>
    <w:p w14:paraId="42D8046B"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Civil Service College (2010), Value for Money in Singapore’s Government Procurement Regime. Singapore, Wellern International Pte Ltd.</w:t>
      </w:r>
    </w:p>
    <w:p w14:paraId="742E59DB"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Coenen, T. (2005). Fraud in Government. Wiscons in Law Journal Article Posted by Casafamar Sundip.</w:t>
      </w:r>
    </w:p>
    <w:p w14:paraId="313A105C"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Coke, E. (1797). Institutes of the Laws of England: Contains the Exposition of Many Ancient and Other Statutes. (4). E. &amp; R. Brooke. </w:t>
      </w:r>
    </w:p>
    <w:p w14:paraId="1B925F2F"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Comer, M. J. (2017). Investigating corporate fraud. Routledge (1), 264 https://doi.org/10.4324/9781315589732</w:t>
      </w:r>
    </w:p>
    <w:p w14:paraId="595A45AB"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Cooper, D. J., &amp; Sherer, M. J. (1984). The value of corporate accounting reports: arguments for a political economy of accounting. </w:t>
      </w:r>
      <w:r w:rsidRPr="008B1465">
        <w:rPr>
          <w:rFonts w:ascii="Times New Roman" w:hAnsi="Times New Roman"/>
          <w:i/>
          <w:iCs/>
          <w:sz w:val="24"/>
          <w:szCs w:val="24"/>
        </w:rPr>
        <w:t>Accounting, Organizations and Society</w:t>
      </w:r>
      <w:r w:rsidRPr="008B1465">
        <w:rPr>
          <w:rFonts w:ascii="Times New Roman" w:hAnsi="Times New Roman"/>
          <w:sz w:val="24"/>
          <w:szCs w:val="24"/>
        </w:rPr>
        <w:t>, 9(3-4), 207-232.</w:t>
      </w:r>
    </w:p>
    <w:p w14:paraId="772FA8C7" w14:textId="77777777" w:rsidR="0083389C" w:rsidRPr="00465786" w:rsidRDefault="0083389C" w:rsidP="003D289F">
      <w:pPr>
        <w:pStyle w:val="NoSpacing"/>
        <w:spacing w:line="360" w:lineRule="auto"/>
        <w:ind w:left="990" w:hanging="900"/>
        <w:jc w:val="both"/>
        <w:rPr>
          <w:rFonts w:ascii="Times New Roman" w:hAnsi="Times New Roman"/>
          <w:sz w:val="24"/>
          <w:szCs w:val="24"/>
          <w:shd w:val="clear" w:color="auto" w:fill="FFFFFF"/>
        </w:rPr>
      </w:pPr>
      <w:r w:rsidRPr="00465786">
        <w:rPr>
          <w:rFonts w:ascii="Times New Roman" w:hAnsi="Times New Roman"/>
          <w:sz w:val="24"/>
          <w:szCs w:val="24"/>
          <w:shd w:val="clear" w:color="auto" w:fill="FFFFFF"/>
        </w:rPr>
        <w:t>Cox, E., &amp; Edwards, N. R. (2019). Beyond carbon pricing: policy levers for negative emissions technologies. </w:t>
      </w:r>
      <w:r w:rsidRPr="00465786">
        <w:rPr>
          <w:rFonts w:ascii="Times New Roman" w:hAnsi="Times New Roman"/>
          <w:i/>
          <w:iCs/>
          <w:sz w:val="24"/>
          <w:szCs w:val="24"/>
          <w:shd w:val="clear" w:color="auto" w:fill="FFFFFF"/>
        </w:rPr>
        <w:t>Climate policy</w:t>
      </w:r>
      <w:r w:rsidRPr="00465786">
        <w:rPr>
          <w:rFonts w:ascii="Times New Roman" w:hAnsi="Times New Roman"/>
          <w:sz w:val="24"/>
          <w:szCs w:val="24"/>
          <w:shd w:val="clear" w:color="auto" w:fill="FFFFFF"/>
        </w:rPr>
        <w:t>, </w:t>
      </w:r>
      <w:r w:rsidRPr="00465786">
        <w:rPr>
          <w:rFonts w:ascii="Times New Roman" w:hAnsi="Times New Roman"/>
          <w:i/>
          <w:iCs/>
          <w:sz w:val="24"/>
          <w:szCs w:val="24"/>
          <w:shd w:val="clear" w:color="auto" w:fill="FFFFFF"/>
        </w:rPr>
        <w:t>19</w:t>
      </w:r>
      <w:r w:rsidRPr="00465786">
        <w:rPr>
          <w:rFonts w:ascii="Times New Roman" w:hAnsi="Times New Roman"/>
          <w:sz w:val="24"/>
          <w:szCs w:val="24"/>
          <w:shd w:val="clear" w:color="auto" w:fill="FFFFFF"/>
        </w:rPr>
        <w:t>(9), 1144-1156.</w:t>
      </w:r>
    </w:p>
    <w:p w14:paraId="7A6ADD90"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Cressey, D.</w:t>
      </w:r>
      <w:r>
        <w:rPr>
          <w:rFonts w:ascii="Times New Roman" w:hAnsi="Times New Roman"/>
          <w:sz w:val="24"/>
          <w:szCs w:val="24"/>
        </w:rPr>
        <w:t xml:space="preserve"> </w:t>
      </w:r>
      <w:r w:rsidRPr="008B1465">
        <w:rPr>
          <w:rFonts w:ascii="Times New Roman" w:hAnsi="Times New Roman"/>
          <w:sz w:val="24"/>
          <w:szCs w:val="24"/>
        </w:rPr>
        <w:t xml:space="preserve">R. </w:t>
      </w:r>
      <w:r>
        <w:rPr>
          <w:rFonts w:ascii="Times New Roman" w:hAnsi="Times New Roman"/>
          <w:sz w:val="24"/>
          <w:szCs w:val="24"/>
        </w:rPr>
        <w:t>(</w:t>
      </w:r>
      <w:r w:rsidRPr="008B1465">
        <w:rPr>
          <w:rFonts w:ascii="Times New Roman" w:hAnsi="Times New Roman"/>
          <w:sz w:val="24"/>
          <w:szCs w:val="24"/>
        </w:rPr>
        <w:t>1953</w:t>
      </w:r>
      <w:r>
        <w:rPr>
          <w:rFonts w:ascii="Times New Roman" w:hAnsi="Times New Roman"/>
          <w:sz w:val="24"/>
          <w:szCs w:val="24"/>
        </w:rPr>
        <w:t>)</w:t>
      </w:r>
      <w:r w:rsidRPr="008B1465">
        <w:rPr>
          <w:rFonts w:ascii="Times New Roman" w:hAnsi="Times New Roman"/>
          <w:sz w:val="24"/>
          <w:szCs w:val="24"/>
        </w:rPr>
        <w:t>. Other People’s Money: A Study in the Social Psychology of Embezzlement. Glencoe, IL: The Free Press.</w:t>
      </w:r>
    </w:p>
    <w:p w14:paraId="70C2E681"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Crumbley, D. L. (2001). Forensic Accounting: Older than You Think. </w:t>
      </w:r>
      <w:r w:rsidRPr="008B1465">
        <w:rPr>
          <w:rFonts w:ascii="Times New Roman" w:hAnsi="Times New Roman"/>
          <w:i/>
          <w:iCs/>
          <w:sz w:val="24"/>
          <w:szCs w:val="24"/>
        </w:rPr>
        <w:t>Journal of Forensic Accounting</w:t>
      </w:r>
      <w:r w:rsidRPr="008B1465">
        <w:rPr>
          <w:rFonts w:ascii="Times New Roman" w:hAnsi="Times New Roman"/>
          <w:sz w:val="24"/>
          <w:szCs w:val="24"/>
        </w:rPr>
        <w:t>, 11(2), 181-202.</w:t>
      </w:r>
    </w:p>
    <w:p w14:paraId="0011D32F"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Crumbley, D. L., Heitger, L. E., &amp; Smith, G. S. (2007). Forensic and Investigative Accounting, 3rd edition, CCH: Chicago.</w:t>
      </w:r>
    </w:p>
    <w:p w14:paraId="46DF7057"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Crumbley, D.</w:t>
      </w:r>
      <w:r>
        <w:rPr>
          <w:rFonts w:ascii="Times New Roman" w:hAnsi="Times New Roman"/>
          <w:sz w:val="24"/>
          <w:szCs w:val="24"/>
        </w:rPr>
        <w:t xml:space="preserve"> </w:t>
      </w:r>
      <w:r w:rsidRPr="008B1465">
        <w:rPr>
          <w:rFonts w:ascii="Times New Roman" w:hAnsi="Times New Roman"/>
          <w:sz w:val="24"/>
          <w:szCs w:val="24"/>
        </w:rPr>
        <w:t xml:space="preserve">L., Smith, G. S., &amp; Apostolou, N. G.  (2007). A Broad Approach to Forensic Accounting is Needed, </w:t>
      </w:r>
      <w:r w:rsidRPr="008B1465">
        <w:rPr>
          <w:rFonts w:ascii="Times New Roman" w:hAnsi="Times New Roman"/>
          <w:i/>
          <w:iCs/>
          <w:sz w:val="24"/>
          <w:szCs w:val="24"/>
        </w:rPr>
        <w:t>The Value Examiner</w:t>
      </w:r>
      <w:r w:rsidRPr="008B1465">
        <w:rPr>
          <w:rFonts w:ascii="Times New Roman" w:hAnsi="Times New Roman"/>
          <w:sz w:val="24"/>
          <w:szCs w:val="24"/>
        </w:rPr>
        <w:t xml:space="preserve">, March/ April:13-19. </w:t>
      </w:r>
    </w:p>
    <w:p w14:paraId="04E59147"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Cullinan, C. P., &amp; Roush, P. B. (2011). Has the likelihood of appointing a CEO with an accounting/finance background changed in the post-Sarbanes Oxley era? </w:t>
      </w:r>
      <w:r w:rsidRPr="008B1465">
        <w:rPr>
          <w:rFonts w:ascii="Times New Roman" w:hAnsi="Times New Roman"/>
          <w:i/>
          <w:iCs/>
          <w:sz w:val="24"/>
          <w:szCs w:val="24"/>
        </w:rPr>
        <w:t>Research in Accounting Regulation</w:t>
      </w:r>
      <w:r w:rsidRPr="008B1465">
        <w:rPr>
          <w:rFonts w:ascii="Times New Roman" w:hAnsi="Times New Roman"/>
          <w:sz w:val="24"/>
          <w:szCs w:val="24"/>
        </w:rPr>
        <w:t>, 23(1), 71-77.</w:t>
      </w:r>
    </w:p>
    <w:p w14:paraId="7602FF78" w14:textId="77777777" w:rsidR="0083389C" w:rsidRDefault="0083389C" w:rsidP="005A752C">
      <w:pPr>
        <w:pStyle w:val="NoSpacing"/>
        <w:spacing w:line="360" w:lineRule="auto"/>
        <w:ind w:left="990" w:hanging="900"/>
        <w:jc w:val="both"/>
        <w:rPr>
          <w:rFonts w:ascii="Times New Roman" w:hAnsi="Times New Roman"/>
          <w:color w:val="222222"/>
          <w:sz w:val="24"/>
          <w:szCs w:val="24"/>
          <w:shd w:val="clear" w:color="auto" w:fill="FFFFFF"/>
        </w:rPr>
      </w:pPr>
      <w:r w:rsidRPr="005A752C">
        <w:rPr>
          <w:rFonts w:ascii="Times New Roman" w:hAnsi="Times New Roman"/>
          <w:color w:val="222222"/>
          <w:sz w:val="24"/>
          <w:szCs w:val="24"/>
          <w:shd w:val="clear" w:color="auto" w:fill="FFFFFF"/>
        </w:rPr>
        <w:t>D AL-TAYYAR, R. S., Abdullah, A. R. B., Abd Rahman, A., &amp; Ali, M. H. (2021). Challenges and obstacles facing SMEs in the adoption of e-commerce in developing countries; A case of Saudi Arabia. </w:t>
      </w:r>
      <w:r w:rsidRPr="005A752C">
        <w:rPr>
          <w:rFonts w:ascii="Times New Roman" w:hAnsi="Times New Roman"/>
          <w:i/>
          <w:iCs/>
          <w:color w:val="222222"/>
          <w:sz w:val="24"/>
          <w:szCs w:val="24"/>
          <w:shd w:val="clear" w:color="auto" w:fill="FFFFFF"/>
        </w:rPr>
        <w:t>Studies of Applied Economics</w:t>
      </w:r>
      <w:r w:rsidRPr="005A752C">
        <w:rPr>
          <w:rFonts w:ascii="Times New Roman" w:hAnsi="Times New Roman"/>
          <w:color w:val="222222"/>
          <w:sz w:val="24"/>
          <w:szCs w:val="24"/>
          <w:shd w:val="clear" w:color="auto" w:fill="FFFFFF"/>
        </w:rPr>
        <w:t>, </w:t>
      </w:r>
      <w:r w:rsidRPr="005A752C">
        <w:rPr>
          <w:rFonts w:ascii="Times New Roman" w:hAnsi="Times New Roman"/>
          <w:i/>
          <w:iCs/>
          <w:color w:val="222222"/>
          <w:sz w:val="24"/>
          <w:szCs w:val="24"/>
          <w:shd w:val="clear" w:color="auto" w:fill="FFFFFF"/>
        </w:rPr>
        <w:t>39</w:t>
      </w:r>
      <w:r w:rsidRPr="005A752C">
        <w:rPr>
          <w:rFonts w:ascii="Times New Roman" w:hAnsi="Times New Roman"/>
          <w:color w:val="222222"/>
          <w:sz w:val="24"/>
          <w:szCs w:val="24"/>
          <w:shd w:val="clear" w:color="auto" w:fill="FFFFFF"/>
        </w:rPr>
        <w:t>(4).</w:t>
      </w:r>
    </w:p>
    <w:p w14:paraId="6C0FA503"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Dada, S. O., &amp; Jimoh, F. B. (2020). Forensic accounting and financial crimes in Nigerian public sector. </w:t>
      </w:r>
      <w:r w:rsidRPr="008B1465">
        <w:rPr>
          <w:rFonts w:ascii="Times New Roman" w:hAnsi="Times New Roman"/>
          <w:i/>
          <w:iCs/>
          <w:sz w:val="24"/>
          <w:szCs w:val="24"/>
        </w:rPr>
        <w:t>Journal of Accounting and Taxation</w:t>
      </w:r>
      <w:r w:rsidRPr="008B1465">
        <w:rPr>
          <w:rFonts w:ascii="Times New Roman" w:hAnsi="Times New Roman"/>
          <w:sz w:val="24"/>
          <w:szCs w:val="24"/>
        </w:rPr>
        <w:t>, 12(4), 118-125.</w:t>
      </w:r>
    </w:p>
    <w:p w14:paraId="2F3A5F33"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Dada, S. O., Owolabi, S. A., &amp; Okwu, A. T. (2013). Forensic accounting a panacea to alleviation of fraudulent practices in Nigeria, </w:t>
      </w:r>
      <w:r w:rsidRPr="008B1465">
        <w:rPr>
          <w:rFonts w:ascii="Times New Roman" w:hAnsi="Times New Roman"/>
          <w:i/>
          <w:iCs/>
          <w:sz w:val="24"/>
          <w:szCs w:val="24"/>
          <w:shd w:val="clear" w:color="auto" w:fill="FFFFFF"/>
        </w:rPr>
        <w:t>International Journal of business management and economic research</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4</w:t>
      </w:r>
      <w:r w:rsidRPr="008B1465">
        <w:rPr>
          <w:rFonts w:ascii="Times New Roman" w:hAnsi="Times New Roman"/>
          <w:sz w:val="24"/>
          <w:szCs w:val="24"/>
          <w:shd w:val="clear" w:color="auto" w:fill="FFFFFF"/>
        </w:rPr>
        <w:t>(5), 787-792.</w:t>
      </w:r>
    </w:p>
    <w:p w14:paraId="6D62EBC9" w14:textId="77777777" w:rsidR="0083389C" w:rsidRPr="00465786" w:rsidRDefault="0083389C" w:rsidP="003D289F">
      <w:pPr>
        <w:pStyle w:val="NoSpacing"/>
        <w:spacing w:line="360" w:lineRule="auto"/>
        <w:ind w:left="990" w:hanging="900"/>
        <w:jc w:val="both"/>
        <w:rPr>
          <w:rFonts w:ascii="Times New Roman" w:hAnsi="Times New Roman"/>
          <w:sz w:val="24"/>
          <w:szCs w:val="24"/>
          <w:shd w:val="clear" w:color="auto" w:fill="FFFFFF"/>
        </w:rPr>
      </w:pPr>
      <w:r w:rsidRPr="00465786">
        <w:rPr>
          <w:rFonts w:ascii="Times New Roman" w:hAnsi="Times New Roman"/>
          <w:sz w:val="24"/>
          <w:szCs w:val="24"/>
          <w:shd w:val="clear" w:color="auto" w:fill="FFFFFF"/>
        </w:rPr>
        <w:t>Dadanlar, H. H., &amp; Abebe, M. A. (2020). Female CEO leadership and the likelihood of corporate diversity misconduct: Evidence from S&amp;P 500 firms. </w:t>
      </w:r>
      <w:r w:rsidRPr="00465786">
        <w:rPr>
          <w:rFonts w:ascii="Times New Roman" w:hAnsi="Times New Roman"/>
          <w:i/>
          <w:iCs/>
          <w:sz w:val="24"/>
          <w:szCs w:val="24"/>
          <w:shd w:val="clear" w:color="auto" w:fill="FFFFFF"/>
        </w:rPr>
        <w:t>Journal of Business Research</w:t>
      </w:r>
      <w:r w:rsidRPr="00465786">
        <w:rPr>
          <w:rFonts w:ascii="Times New Roman" w:hAnsi="Times New Roman"/>
          <w:sz w:val="24"/>
          <w:szCs w:val="24"/>
          <w:shd w:val="clear" w:color="auto" w:fill="FFFFFF"/>
        </w:rPr>
        <w:t>, </w:t>
      </w:r>
      <w:r w:rsidRPr="00465786">
        <w:rPr>
          <w:rFonts w:ascii="Times New Roman" w:hAnsi="Times New Roman"/>
          <w:i/>
          <w:iCs/>
          <w:sz w:val="24"/>
          <w:szCs w:val="24"/>
          <w:shd w:val="clear" w:color="auto" w:fill="FFFFFF"/>
        </w:rPr>
        <w:t>118</w:t>
      </w:r>
      <w:r w:rsidRPr="00465786">
        <w:rPr>
          <w:rFonts w:ascii="Times New Roman" w:hAnsi="Times New Roman"/>
          <w:sz w:val="24"/>
          <w:szCs w:val="24"/>
          <w:shd w:val="clear" w:color="auto" w:fill="FFFFFF"/>
        </w:rPr>
        <w:t>, 398-405.</w:t>
      </w:r>
    </w:p>
    <w:p w14:paraId="06FC6A12"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Dagba, G., Opoku, P., Amankwa, M. O., &amp; Nyadera, I. N. (2022). Investigative journalism and anti-corruption: Public perception on Anas's approach in Ghana. </w:t>
      </w:r>
      <w:r w:rsidRPr="008B1465">
        <w:rPr>
          <w:rFonts w:ascii="Times New Roman" w:hAnsi="Times New Roman"/>
          <w:i/>
          <w:iCs/>
          <w:sz w:val="24"/>
          <w:szCs w:val="24"/>
        </w:rPr>
        <w:t>Journal of African Media Studies</w:t>
      </w:r>
      <w:r w:rsidRPr="008B1465">
        <w:rPr>
          <w:rFonts w:ascii="Times New Roman" w:hAnsi="Times New Roman"/>
          <w:sz w:val="24"/>
          <w:szCs w:val="24"/>
        </w:rPr>
        <w:t>, 14(3)</w:t>
      </w:r>
    </w:p>
    <w:p w14:paraId="1C7DE552" w14:textId="77777777" w:rsidR="0083389C" w:rsidRDefault="0083389C" w:rsidP="005A752C">
      <w:pPr>
        <w:pStyle w:val="NoSpacing"/>
        <w:spacing w:line="360" w:lineRule="auto"/>
        <w:ind w:left="990" w:hanging="900"/>
        <w:jc w:val="both"/>
        <w:rPr>
          <w:rFonts w:ascii="Times New Roman" w:hAnsi="Times New Roman"/>
          <w:color w:val="222222"/>
          <w:sz w:val="24"/>
          <w:szCs w:val="24"/>
          <w:shd w:val="clear" w:color="auto" w:fill="FFFFFF"/>
        </w:rPr>
      </w:pPr>
      <w:r w:rsidRPr="005A752C">
        <w:rPr>
          <w:rFonts w:ascii="Times New Roman" w:hAnsi="Times New Roman"/>
          <w:color w:val="222222"/>
          <w:sz w:val="24"/>
          <w:szCs w:val="24"/>
          <w:shd w:val="clear" w:color="auto" w:fill="FFFFFF"/>
        </w:rPr>
        <w:t>Dandison, J. (2021). Evaluation of political corruption and strategies for its reduction in Nigeria (Doctoral dissertation, University of Portsmouth).</w:t>
      </w:r>
    </w:p>
    <w:p w14:paraId="24D337C8"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Davis, C., Farrell, R., &amp; Ogilby, S. (2010). Characteristics and skills of the Forensic Accountant. </w:t>
      </w:r>
      <w:r w:rsidRPr="008B1465">
        <w:rPr>
          <w:rFonts w:ascii="Times New Roman" w:hAnsi="Times New Roman"/>
          <w:i/>
          <w:iCs/>
          <w:sz w:val="24"/>
          <w:szCs w:val="24"/>
        </w:rPr>
        <w:t>American Institute of Certified Public Accountants</w:t>
      </w:r>
      <w:r w:rsidRPr="008B1465">
        <w:rPr>
          <w:rFonts w:ascii="Times New Roman" w:hAnsi="Times New Roman"/>
          <w:sz w:val="24"/>
          <w:szCs w:val="24"/>
        </w:rPr>
        <w:t>, 2010, 11-26.</w:t>
      </w:r>
    </w:p>
    <w:p w14:paraId="560FC7F3"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Dayi, F. (2019). Katılım Bankacılığının Tercih Nedenlerinin Sadakat ve Güven Üzerindeki Etkisi: Türkiye Örneği. </w:t>
      </w:r>
      <w:r w:rsidRPr="008B1465">
        <w:rPr>
          <w:rFonts w:ascii="Times New Roman" w:hAnsi="Times New Roman"/>
          <w:i/>
          <w:iCs/>
          <w:sz w:val="24"/>
          <w:szCs w:val="24"/>
          <w:shd w:val="clear" w:color="auto" w:fill="FFFFFF"/>
        </w:rPr>
        <w:t>Third Sector Social Economic Review</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54</w:t>
      </w:r>
      <w:r w:rsidRPr="008B1465">
        <w:rPr>
          <w:rFonts w:ascii="Times New Roman" w:hAnsi="Times New Roman"/>
          <w:sz w:val="24"/>
          <w:szCs w:val="24"/>
          <w:shd w:val="clear" w:color="auto" w:fill="FFFFFF"/>
        </w:rPr>
        <w:t>(4), 1788-1806.</w:t>
      </w:r>
    </w:p>
    <w:p w14:paraId="36769C61"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Degboro, D. &amp; Olofinsola, J. (2007). Forensic accountants and the litigation support engagement. </w:t>
      </w:r>
      <w:r w:rsidRPr="008B1465">
        <w:rPr>
          <w:rFonts w:ascii="Times New Roman" w:hAnsi="Times New Roman"/>
          <w:i/>
          <w:iCs/>
          <w:sz w:val="24"/>
          <w:szCs w:val="24"/>
        </w:rPr>
        <w:t>Nigeria. Account</w:t>
      </w:r>
      <w:r w:rsidRPr="008B1465">
        <w:rPr>
          <w:rFonts w:ascii="Times New Roman" w:hAnsi="Times New Roman"/>
          <w:sz w:val="24"/>
          <w:szCs w:val="24"/>
        </w:rPr>
        <w:t>., 40(2)</w:t>
      </w:r>
      <w:r>
        <w:rPr>
          <w:rFonts w:ascii="Times New Roman" w:hAnsi="Times New Roman"/>
          <w:sz w:val="24"/>
          <w:szCs w:val="24"/>
        </w:rPr>
        <w:t>,</w:t>
      </w:r>
      <w:r w:rsidRPr="008B1465">
        <w:rPr>
          <w:rFonts w:ascii="Times New Roman" w:hAnsi="Times New Roman"/>
          <w:sz w:val="24"/>
          <w:szCs w:val="24"/>
        </w:rPr>
        <w:t xml:space="preserve"> 49-52.</w:t>
      </w:r>
    </w:p>
    <w:p w14:paraId="7F5A0CAD" w14:textId="77777777" w:rsidR="0083389C" w:rsidRDefault="0083389C" w:rsidP="005A752C">
      <w:pPr>
        <w:pStyle w:val="NoSpacing"/>
        <w:spacing w:line="360" w:lineRule="auto"/>
        <w:ind w:left="990" w:hanging="900"/>
        <w:jc w:val="both"/>
        <w:rPr>
          <w:rFonts w:ascii="Times New Roman" w:hAnsi="Times New Roman"/>
          <w:color w:val="222222"/>
          <w:sz w:val="24"/>
          <w:szCs w:val="24"/>
          <w:shd w:val="clear" w:color="auto" w:fill="FFFFFF"/>
        </w:rPr>
      </w:pPr>
      <w:r w:rsidRPr="005A752C">
        <w:rPr>
          <w:rFonts w:ascii="Times New Roman" w:hAnsi="Times New Roman"/>
          <w:color w:val="222222"/>
          <w:sz w:val="24"/>
          <w:szCs w:val="24"/>
          <w:shd w:val="clear" w:color="auto" w:fill="FFFFFF"/>
        </w:rPr>
        <w:t>Desta, Y. (2019). Manifestations and causes of civil service corruption in developing countries. </w:t>
      </w:r>
      <w:r w:rsidRPr="005A752C">
        <w:rPr>
          <w:rFonts w:ascii="Times New Roman" w:hAnsi="Times New Roman"/>
          <w:i/>
          <w:iCs/>
          <w:color w:val="222222"/>
          <w:sz w:val="24"/>
          <w:szCs w:val="24"/>
          <w:shd w:val="clear" w:color="auto" w:fill="FFFFFF"/>
        </w:rPr>
        <w:t>Journal of Public Administration and Governance</w:t>
      </w:r>
      <w:r w:rsidRPr="005A752C">
        <w:rPr>
          <w:rFonts w:ascii="Times New Roman" w:hAnsi="Times New Roman"/>
          <w:color w:val="222222"/>
          <w:sz w:val="24"/>
          <w:szCs w:val="24"/>
          <w:shd w:val="clear" w:color="auto" w:fill="FFFFFF"/>
        </w:rPr>
        <w:t>, </w:t>
      </w:r>
      <w:r w:rsidRPr="005A752C">
        <w:rPr>
          <w:rFonts w:ascii="Times New Roman" w:hAnsi="Times New Roman"/>
          <w:i/>
          <w:iCs/>
          <w:color w:val="222222"/>
          <w:sz w:val="24"/>
          <w:szCs w:val="24"/>
          <w:shd w:val="clear" w:color="auto" w:fill="FFFFFF"/>
        </w:rPr>
        <w:t>9</w:t>
      </w:r>
      <w:r w:rsidRPr="005A752C">
        <w:rPr>
          <w:rFonts w:ascii="Times New Roman" w:hAnsi="Times New Roman"/>
          <w:color w:val="222222"/>
          <w:sz w:val="24"/>
          <w:szCs w:val="24"/>
          <w:shd w:val="clear" w:color="auto" w:fill="FFFFFF"/>
        </w:rPr>
        <w:t>(3), 23-35.</w:t>
      </w:r>
    </w:p>
    <w:p w14:paraId="3CA54814" w14:textId="77777777" w:rsidR="0083389C" w:rsidRDefault="0083389C" w:rsidP="005A752C">
      <w:pPr>
        <w:pStyle w:val="NoSpacing"/>
        <w:spacing w:line="360" w:lineRule="auto"/>
        <w:ind w:left="990" w:hanging="900"/>
        <w:jc w:val="both"/>
        <w:rPr>
          <w:rFonts w:ascii="Times New Roman" w:hAnsi="Times New Roman"/>
          <w:color w:val="222222"/>
          <w:sz w:val="24"/>
          <w:szCs w:val="24"/>
          <w:shd w:val="clear" w:color="auto" w:fill="FFFFFF"/>
        </w:rPr>
      </w:pPr>
      <w:r w:rsidRPr="005A752C">
        <w:rPr>
          <w:rFonts w:ascii="Times New Roman" w:hAnsi="Times New Roman"/>
          <w:color w:val="222222"/>
          <w:sz w:val="24"/>
          <w:szCs w:val="24"/>
          <w:shd w:val="clear" w:color="auto" w:fill="FFFFFF"/>
        </w:rPr>
        <w:t>Dewayanto, T. (2023). The role of forensic accounting in the detection and fraud prevention: a systematic literature review. </w:t>
      </w:r>
      <w:r w:rsidRPr="005A752C">
        <w:rPr>
          <w:rFonts w:ascii="Times New Roman" w:hAnsi="Times New Roman"/>
          <w:i/>
          <w:iCs/>
          <w:color w:val="222222"/>
          <w:sz w:val="24"/>
          <w:szCs w:val="24"/>
          <w:shd w:val="clear" w:color="auto" w:fill="FFFFFF"/>
        </w:rPr>
        <w:t>Fokus Ekonomi: Jurnal Ilmiah Ekonomi</w:t>
      </w:r>
      <w:r w:rsidRPr="005A752C">
        <w:rPr>
          <w:rFonts w:ascii="Times New Roman" w:hAnsi="Times New Roman"/>
          <w:color w:val="222222"/>
          <w:sz w:val="24"/>
          <w:szCs w:val="24"/>
          <w:shd w:val="clear" w:color="auto" w:fill="FFFFFF"/>
        </w:rPr>
        <w:t>, </w:t>
      </w:r>
      <w:r w:rsidRPr="005A752C">
        <w:rPr>
          <w:rFonts w:ascii="Times New Roman" w:hAnsi="Times New Roman"/>
          <w:i/>
          <w:iCs/>
          <w:color w:val="222222"/>
          <w:sz w:val="24"/>
          <w:szCs w:val="24"/>
          <w:shd w:val="clear" w:color="auto" w:fill="FFFFFF"/>
        </w:rPr>
        <w:t>18</w:t>
      </w:r>
      <w:r w:rsidRPr="005A752C">
        <w:rPr>
          <w:rFonts w:ascii="Times New Roman" w:hAnsi="Times New Roman"/>
          <w:color w:val="222222"/>
          <w:sz w:val="24"/>
          <w:szCs w:val="24"/>
          <w:shd w:val="clear" w:color="auto" w:fill="FFFFFF"/>
        </w:rPr>
        <w:t>(1), 241-259.</w:t>
      </w:r>
    </w:p>
    <w:p w14:paraId="2BCAEB3A" w14:textId="77777777" w:rsidR="0083389C" w:rsidRDefault="0083389C" w:rsidP="005A752C">
      <w:pPr>
        <w:pStyle w:val="NoSpacing"/>
        <w:spacing w:line="360" w:lineRule="auto"/>
        <w:ind w:left="990" w:hanging="900"/>
        <w:jc w:val="both"/>
        <w:rPr>
          <w:rFonts w:ascii="Times New Roman" w:hAnsi="Times New Roman"/>
          <w:color w:val="222222"/>
          <w:sz w:val="24"/>
          <w:szCs w:val="24"/>
          <w:shd w:val="clear" w:color="auto" w:fill="FFFFFF"/>
        </w:rPr>
      </w:pPr>
      <w:r w:rsidRPr="005A752C">
        <w:rPr>
          <w:rFonts w:ascii="Times New Roman" w:hAnsi="Times New Roman"/>
          <w:color w:val="222222"/>
          <w:sz w:val="24"/>
          <w:szCs w:val="24"/>
          <w:shd w:val="clear" w:color="auto" w:fill="FFFFFF"/>
        </w:rPr>
        <w:t>Dewi, N., Azam, S., &amp; Yusoff, S. (2019). Factors influencing the information quality of local government financial statement and financial accountability. </w:t>
      </w:r>
      <w:r w:rsidRPr="005A752C">
        <w:rPr>
          <w:rFonts w:ascii="Times New Roman" w:hAnsi="Times New Roman"/>
          <w:i/>
          <w:iCs/>
          <w:color w:val="222222"/>
          <w:sz w:val="24"/>
          <w:szCs w:val="24"/>
          <w:shd w:val="clear" w:color="auto" w:fill="FFFFFF"/>
        </w:rPr>
        <w:t>Management Science Letters</w:t>
      </w:r>
      <w:r w:rsidRPr="005A752C">
        <w:rPr>
          <w:rFonts w:ascii="Times New Roman" w:hAnsi="Times New Roman"/>
          <w:color w:val="222222"/>
          <w:sz w:val="24"/>
          <w:szCs w:val="24"/>
          <w:shd w:val="clear" w:color="auto" w:fill="FFFFFF"/>
        </w:rPr>
        <w:t>, </w:t>
      </w:r>
      <w:r w:rsidRPr="005A752C">
        <w:rPr>
          <w:rFonts w:ascii="Times New Roman" w:hAnsi="Times New Roman"/>
          <w:i/>
          <w:iCs/>
          <w:color w:val="222222"/>
          <w:sz w:val="24"/>
          <w:szCs w:val="24"/>
          <w:shd w:val="clear" w:color="auto" w:fill="FFFFFF"/>
        </w:rPr>
        <w:t>9</w:t>
      </w:r>
      <w:r w:rsidRPr="005A752C">
        <w:rPr>
          <w:rFonts w:ascii="Times New Roman" w:hAnsi="Times New Roman"/>
          <w:color w:val="222222"/>
          <w:sz w:val="24"/>
          <w:szCs w:val="24"/>
          <w:shd w:val="clear" w:color="auto" w:fill="FFFFFF"/>
        </w:rPr>
        <w:t>(9), 1373-1384.</w:t>
      </w:r>
    </w:p>
    <w:p w14:paraId="22AEE03F"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Dhar, P., &amp; Sarkar, A. (2010). Forensic Accounting: An Accountant’s Vision. </w:t>
      </w:r>
      <w:r w:rsidRPr="008B1465">
        <w:rPr>
          <w:rFonts w:ascii="Times New Roman" w:hAnsi="Times New Roman"/>
          <w:i/>
          <w:iCs/>
          <w:sz w:val="24"/>
          <w:szCs w:val="24"/>
        </w:rPr>
        <w:t>Journal of Commerce</w:t>
      </w:r>
      <w:r w:rsidRPr="008B1465">
        <w:rPr>
          <w:rFonts w:ascii="Times New Roman" w:hAnsi="Times New Roman"/>
          <w:sz w:val="24"/>
          <w:szCs w:val="24"/>
        </w:rPr>
        <w:t>, 15.</w:t>
      </w:r>
    </w:p>
    <w:p w14:paraId="29DD9200"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Dhar, P., &amp; Sarkar, A. (2010). Forensic accounting: An accountant’s vision. </w:t>
      </w:r>
      <w:r w:rsidRPr="008B1465">
        <w:rPr>
          <w:rFonts w:ascii="Times New Roman" w:hAnsi="Times New Roman"/>
          <w:i/>
          <w:iCs/>
          <w:sz w:val="24"/>
          <w:szCs w:val="24"/>
        </w:rPr>
        <w:t xml:space="preserve">Vidyasagar University Journal of Commerce </w:t>
      </w:r>
      <w:r w:rsidRPr="008B1465">
        <w:rPr>
          <w:rFonts w:ascii="Times New Roman" w:hAnsi="Times New Roman"/>
          <w:sz w:val="24"/>
          <w:szCs w:val="24"/>
        </w:rPr>
        <w:t>(15), 89-100.</w:t>
      </w:r>
    </w:p>
    <w:p w14:paraId="3436DDEC"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Diab-Bahman, R., &amp; Bahman, T. A. (2022). Forensic Accounting and Corporate Governance. </w:t>
      </w:r>
      <w:hyperlink r:id="rId20" w:history="1">
        <w:r w:rsidRPr="008B1465">
          <w:rPr>
            <w:rStyle w:val="Hyperlink"/>
            <w:rFonts w:ascii="Times New Roman" w:hAnsi="Times New Roman"/>
            <w:color w:val="auto"/>
            <w:sz w:val="24"/>
            <w:szCs w:val="24"/>
            <w:u w:val="none"/>
          </w:rPr>
          <w:t>https://doi.org/10.4018/978-1-7998-8754-6.ch008</w:t>
        </w:r>
      </w:hyperlink>
    </w:p>
    <w:p w14:paraId="37EC6AFF"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Dietrich, N. (2021). Explaining support for international action against human rights abusers. </w:t>
      </w:r>
      <w:r w:rsidRPr="008B1465">
        <w:rPr>
          <w:rFonts w:ascii="Times New Roman" w:hAnsi="Times New Roman"/>
          <w:i/>
          <w:iCs/>
          <w:sz w:val="24"/>
          <w:szCs w:val="24"/>
        </w:rPr>
        <w:t>Journal of Human Rights</w:t>
      </w:r>
      <w:r w:rsidRPr="008B1465">
        <w:rPr>
          <w:rFonts w:ascii="Times New Roman" w:hAnsi="Times New Roman"/>
          <w:sz w:val="24"/>
          <w:szCs w:val="24"/>
        </w:rPr>
        <w:t xml:space="preserve">, </w:t>
      </w:r>
      <w:r w:rsidRPr="008B1465">
        <w:rPr>
          <w:rFonts w:ascii="Times New Roman" w:hAnsi="Times New Roman"/>
          <w:i/>
          <w:iCs/>
          <w:sz w:val="24"/>
          <w:szCs w:val="24"/>
        </w:rPr>
        <w:t>20</w:t>
      </w:r>
      <w:r w:rsidRPr="008B1465">
        <w:rPr>
          <w:rFonts w:ascii="Times New Roman" w:hAnsi="Times New Roman"/>
          <w:sz w:val="24"/>
          <w:szCs w:val="24"/>
        </w:rPr>
        <w:t>(4), 414-430.</w:t>
      </w:r>
    </w:p>
    <w:p w14:paraId="03D17E53"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Digabriele, J. A. (2008). An empirical investigation of the relevant skills of forensic accountants. </w:t>
      </w:r>
      <w:r w:rsidRPr="008B1465">
        <w:rPr>
          <w:rFonts w:ascii="Times New Roman" w:hAnsi="Times New Roman"/>
          <w:i/>
          <w:iCs/>
          <w:sz w:val="24"/>
          <w:szCs w:val="24"/>
        </w:rPr>
        <w:t>Journal of education for Business</w:t>
      </w:r>
      <w:r w:rsidRPr="008B1465">
        <w:rPr>
          <w:rFonts w:ascii="Times New Roman" w:hAnsi="Times New Roman"/>
          <w:sz w:val="24"/>
          <w:szCs w:val="24"/>
        </w:rPr>
        <w:t>, 83(6), 331-338</w:t>
      </w:r>
    </w:p>
    <w:p w14:paraId="16E7E6C9"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DiGabriele, J. A., &amp; Huber, W. D. (2018). Topics and Methods in Forensic Accounting Research. SSRN Electronic Journal, January. </w:t>
      </w:r>
      <w:hyperlink r:id="rId21" w:history="1">
        <w:r w:rsidRPr="008B1465">
          <w:rPr>
            <w:rStyle w:val="Hyperlink"/>
            <w:rFonts w:ascii="Times New Roman" w:hAnsi="Times New Roman"/>
            <w:color w:val="auto"/>
            <w:sz w:val="24"/>
            <w:szCs w:val="24"/>
            <w:u w:val="none"/>
          </w:rPr>
          <w:t>https://doi.org/10.2139/ssrn.2361944</w:t>
        </w:r>
      </w:hyperlink>
    </w:p>
    <w:p w14:paraId="598D5C13" w14:textId="77777777" w:rsidR="0083389C" w:rsidRDefault="0083389C" w:rsidP="005A752C">
      <w:pPr>
        <w:pStyle w:val="NoSpacing"/>
        <w:spacing w:line="360" w:lineRule="auto"/>
        <w:ind w:left="990" w:hanging="900"/>
        <w:jc w:val="both"/>
        <w:rPr>
          <w:rFonts w:ascii="Times New Roman" w:hAnsi="Times New Roman"/>
          <w:sz w:val="24"/>
          <w:szCs w:val="24"/>
        </w:rPr>
      </w:pPr>
      <w:r w:rsidRPr="005A752C">
        <w:rPr>
          <w:rFonts w:ascii="Times New Roman" w:hAnsi="Times New Roman"/>
          <w:sz w:val="24"/>
          <w:szCs w:val="24"/>
        </w:rPr>
        <w:t>DiGabriele, J. A., Heitger, L. E., &amp; Riley Jr, R. (2020). A synthesis of non-fraud forensic accounting research. </w:t>
      </w:r>
      <w:r w:rsidRPr="005A752C">
        <w:rPr>
          <w:rFonts w:ascii="Times New Roman" w:hAnsi="Times New Roman"/>
          <w:i/>
          <w:iCs/>
          <w:sz w:val="24"/>
          <w:szCs w:val="24"/>
        </w:rPr>
        <w:t>Journal of Forensic Accounting Research</w:t>
      </w:r>
      <w:r w:rsidRPr="005A752C">
        <w:rPr>
          <w:rFonts w:ascii="Times New Roman" w:hAnsi="Times New Roman"/>
          <w:sz w:val="24"/>
          <w:szCs w:val="24"/>
        </w:rPr>
        <w:t>, </w:t>
      </w:r>
      <w:r w:rsidRPr="005A752C">
        <w:rPr>
          <w:rFonts w:ascii="Times New Roman" w:hAnsi="Times New Roman"/>
          <w:i/>
          <w:iCs/>
          <w:sz w:val="24"/>
          <w:szCs w:val="24"/>
        </w:rPr>
        <w:t>5</w:t>
      </w:r>
      <w:r w:rsidRPr="005A752C">
        <w:rPr>
          <w:rFonts w:ascii="Times New Roman" w:hAnsi="Times New Roman"/>
          <w:sz w:val="24"/>
          <w:szCs w:val="24"/>
        </w:rPr>
        <w:t>(1), 257-277.</w:t>
      </w:r>
    </w:p>
    <w:p w14:paraId="1F122171"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Doob, A. N., &amp; Webster, C. M. (2003). Sentence severity and crime: Accepting the null hypothesis. </w:t>
      </w:r>
      <w:r w:rsidRPr="008B1465">
        <w:rPr>
          <w:rFonts w:ascii="Times New Roman" w:hAnsi="Times New Roman"/>
          <w:i/>
          <w:iCs/>
          <w:sz w:val="24"/>
          <w:szCs w:val="24"/>
        </w:rPr>
        <w:t>Crime and Justice</w:t>
      </w:r>
      <w:r w:rsidRPr="008B1465">
        <w:rPr>
          <w:rFonts w:ascii="Times New Roman" w:hAnsi="Times New Roman"/>
          <w:sz w:val="24"/>
          <w:szCs w:val="24"/>
        </w:rPr>
        <w:t xml:space="preserve">, </w:t>
      </w:r>
      <w:r w:rsidRPr="008B1465">
        <w:rPr>
          <w:rFonts w:ascii="Times New Roman" w:hAnsi="Times New Roman"/>
          <w:i/>
          <w:iCs/>
          <w:sz w:val="24"/>
          <w:szCs w:val="24"/>
        </w:rPr>
        <w:t>30</w:t>
      </w:r>
      <w:r w:rsidRPr="008B1465">
        <w:rPr>
          <w:rFonts w:ascii="Times New Roman" w:hAnsi="Times New Roman"/>
          <w:sz w:val="24"/>
          <w:szCs w:val="24"/>
        </w:rPr>
        <w:t>, 143-195</w:t>
      </w:r>
    </w:p>
    <w:p w14:paraId="1599AC0B"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Dorminey, J. W., Fleming, A. S., Kranacher, M. J., &amp; Riley Jr, R. A. (2010). Beyond the fraud triangle. </w:t>
      </w:r>
      <w:r w:rsidRPr="008B1465">
        <w:rPr>
          <w:rFonts w:ascii="Times New Roman" w:hAnsi="Times New Roman"/>
          <w:i/>
          <w:iCs/>
          <w:sz w:val="24"/>
          <w:szCs w:val="24"/>
        </w:rPr>
        <w:t>The CPA Journal</w:t>
      </w:r>
      <w:r w:rsidRPr="008B1465">
        <w:rPr>
          <w:rFonts w:ascii="Times New Roman" w:hAnsi="Times New Roman"/>
          <w:sz w:val="24"/>
          <w:szCs w:val="24"/>
        </w:rPr>
        <w:t xml:space="preserve">, </w:t>
      </w:r>
      <w:r w:rsidRPr="008B1465">
        <w:rPr>
          <w:rFonts w:ascii="Times New Roman" w:hAnsi="Times New Roman"/>
          <w:i/>
          <w:iCs/>
          <w:sz w:val="24"/>
          <w:szCs w:val="24"/>
        </w:rPr>
        <w:t>80</w:t>
      </w:r>
      <w:r w:rsidRPr="008B1465">
        <w:rPr>
          <w:rFonts w:ascii="Times New Roman" w:hAnsi="Times New Roman"/>
          <w:sz w:val="24"/>
          <w:szCs w:val="24"/>
        </w:rPr>
        <w:t>(7), 17-23.</w:t>
      </w:r>
    </w:p>
    <w:p w14:paraId="4369DA1E"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Duffield, G. M., &amp; Grabosky, P. N. (2001). The psychology of fraud</w:t>
      </w:r>
      <w:r w:rsidRPr="008B1465">
        <w:rPr>
          <w:rFonts w:ascii="Times New Roman" w:hAnsi="Times New Roman"/>
          <w:i/>
          <w:iCs/>
          <w:sz w:val="24"/>
          <w:szCs w:val="24"/>
        </w:rPr>
        <w:t>.</w:t>
      </w:r>
      <w:r w:rsidRPr="008B1465">
        <w:rPr>
          <w:rFonts w:ascii="Times New Roman" w:hAnsi="Times New Roman"/>
          <w:sz w:val="24"/>
          <w:szCs w:val="24"/>
        </w:rPr>
        <w:t xml:space="preserve"> Canberra: </w:t>
      </w:r>
      <w:r w:rsidRPr="008B1465">
        <w:rPr>
          <w:rFonts w:ascii="Times New Roman" w:hAnsi="Times New Roman"/>
          <w:i/>
          <w:iCs/>
          <w:sz w:val="24"/>
          <w:szCs w:val="24"/>
        </w:rPr>
        <w:t>Australian Institute of criminology</w:t>
      </w:r>
      <w:r w:rsidRPr="008B1465">
        <w:rPr>
          <w:rFonts w:ascii="Times New Roman" w:hAnsi="Times New Roman"/>
          <w:sz w:val="24"/>
          <w:szCs w:val="24"/>
        </w:rPr>
        <w:t xml:space="preserve"> (199), 1-6.</w:t>
      </w:r>
    </w:p>
    <w:p w14:paraId="4EE18C9C"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Durkin, M., McGowan, P., &amp; McKeown, N. (2013). Exploring social media adoption in small to medium-sized enterprises in Ireland. </w:t>
      </w:r>
      <w:r w:rsidRPr="008B1465">
        <w:rPr>
          <w:rFonts w:ascii="Times New Roman" w:hAnsi="Times New Roman"/>
          <w:i/>
          <w:iCs/>
          <w:sz w:val="24"/>
          <w:szCs w:val="24"/>
        </w:rPr>
        <w:t>Journal of Small Business and Enterprise Development</w:t>
      </w:r>
      <w:r w:rsidRPr="008B1465">
        <w:rPr>
          <w:rFonts w:ascii="Times New Roman" w:hAnsi="Times New Roman"/>
          <w:sz w:val="24"/>
          <w:szCs w:val="24"/>
        </w:rPr>
        <w:t xml:space="preserve">, 20(4), 716-734. Retrieved from </w:t>
      </w:r>
      <w:hyperlink r:id="rId22" w:history="1">
        <w:r w:rsidRPr="008B1465">
          <w:rPr>
            <w:rStyle w:val="Hyperlink"/>
            <w:rFonts w:ascii="Times New Roman" w:hAnsi="Times New Roman"/>
            <w:color w:val="auto"/>
            <w:sz w:val="24"/>
            <w:szCs w:val="24"/>
            <w:u w:val="none"/>
          </w:rPr>
          <w:t>http://doi.org/10.1108/JSBED-08-2012-0094</w:t>
        </w:r>
      </w:hyperlink>
      <w:r w:rsidRPr="008B1465">
        <w:rPr>
          <w:rFonts w:ascii="Times New Roman" w:hAnsi="Times New Roman"/>
          <w:sz w:val="24"/>
          <w:szCs w:val="24"/>
        </w:rPr>
        <w:t>.</w:t>
      </w:r>
    </w:p>
    <w:p w14:paraId="3DDC2319"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Earnhart, D., &amp; Friesen, L. (2013). Can punishment generate specific deterrence without updating? Analysis of a stated choice scenario. </w:t>
      </w:r>
      <w:r w:rsidRPr="008B1465">
        <w:rPr>
          <w:rFonts w:ascii="Times New Roman" w:hAnsi="Times New Roman"/>
          <w:i/>
          <w:iCs/>
          <w:sz w:val="24"/>
          <w:szCs w:val="24"/>
        </w:rPr>
        <w:t>Environmental and Resource Economics</w:t>
      </w:r>
      <w:r w:rsidRPr="008B1465">
        <w:rPr>
          <w:rFonts w:ascii="Times New Roman" w:hAnsi="Times New Roman"/>
          <w:sz w:val="24"/>
          <w:szCs w:val="24"/>
        </w:rPr>
        <w:t xml:space="preserve">, </w:t>
      </w:r>
      <w:r w:rsidRPr="008B1465">
        <w:rPr>
          <w:rFonts w:ascii="Times New Roman" w:hAnsi="Times New Roman"/>
          <w:i/>
          <w:iCs/>
          <w:sz w:val="24"/>
          <w:szCs w:val="24"/>
        </w:rPr>
        <w:t>56</w:t>
      </w:r>
      <w:r w:rsidRPr="008B1465">
        <w:rPr>
          <w:rFonts w:ascii="Times New Roman" w:hAnsi="Times New Roman"/>
          <w:sz w:val="24"/>
          <w:szCs w:val="24"/>
        </w:rPr>
        <w:t>(3), 379-397.</w:t>
      </w:r>
    </w:p>
    <w:p w14:paraId="413B5B89" w14:textId="77777777" w:rsidR="0083389C" w:rsidRDefault="0083389C" w:rsidP="00D44C13">
      <w:pPr>
        <w:pStyle w:val="NoSpacing"/>
        <w:spacing w:line="360" w:lineRule="auto"/>
        <w:ind w:left="990" w:hanging="900"/>
        <w:jc w:val="both"/>
        <w:rPr>
          <w:rFonts w:ascii="Times New Roman" w:hAnsi="Times New Roman"/>
          <w:sz w:val="24"/>
          <w:szCs w:val="24"/>
          <w:shd w:val="clear" w:color="auto" w:fill="FFFFFF"/>
        </w:rPr>
      </w:pPr>
      <w:r w:rsidRPr="00D35B8E">
        <w:rPr>
          <w:rFonts w:ascii="Times New Roman" w:hAnsi="Times New Roman"/>
          <w:sz w:val="24"/>
          <w:szCs w:val="24"/>
          <w:shd w:val="clear" w:color="auto" w:fill="FFFFFF"/>
        </w:rPr>
        <w:t>Ege, M. S. (2015). Does internal audit function quality deter management misconduct? </w:t>
      </w:r>
      <w:r w:rsidRPr="00D35B8E">
        <w:rPr>
          <w:rFonts w:ascii="Times New Roman" w:hAnsi="Times New Roman"/>
          <w:i/>
          <w:iCs/>
          <w:sz w:val="24"/>
          <w:szCs w:val="24"/>
          <w:shd w:val="clear" w:color="auto" w:fill="FFFFFF"/>
        </w:rPr>
        <w:t>The Accounting Review</w:t>
      </w:r>
      <w:r w:rsidRPr="00D35B8E">
        <w:rPr>
          <w:rFonts w:ascii="Times New Roman" w:hAnsi="Times New Roman"/>
          <w:sz w:val="24"/>
          <w:szCs w:val="24"/>
          <w:shd w:val="clear" w:color="auto" w:fill="FFFFFF"/>
        </w:rPr>
        <w:t>, </w:t>
      </w:r>
      <w:r w:rsidRPr="00D35B8E">
        <w:rPr>
          <w:rFonts w:ascii="Times New Roman" w:hAnsi="Times New Roman"/>
          <w:i/>
          <w:iCs/>
          <w:sz w:val="24"/>
          <w:szCs w:val="24"/>
          <w:shd w:val="clear" w:color="auto" w:fill="FFFFFF"/>
        </w:rPr>
        <w:t>90</w:t>
      </w:r>
      <w:r w:rsidRPr="00D35B8E">
        <w:rPr>
          <w:rFonts w:ascii="Times New Roman" w:hAnsi="Times New Roman"/>
          <w:sz w:val="24"/>
          <w:szCs w:val="24"/>
          <w:shd w:val="clear" w:color="auto" w:fill="FFFFFF"/>
        </w:rPr>
        <w:t>(2), 495-527.</w:t>
      </w:r>
    </w:p>
    <w:p w14:paraId="1D336E5D"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Elitas, B. L. (2012). Forensic accounting education with selected examples and an assessment for Turkey. </w:t>
      </w:r>
      <w:r w:rsidRPr="008B1465">
        <w:rPr>
          <w:rFonts w:ascii="Times New Roman" w:hAnsi="Times New Roman"/>
          <w:i/>
          <w:iCs/>
          <w:sz w:val="24"/>
          <w:szCs w:val="24"/>
          <w:shd w:val="clear" w:color="auto" w:fill="FFFFFF"/>
        </w:rPr>
        <w:t>Journal of Accounting and Finance</w:t>
      </w:r>
      <w:r w:rsidRPr="008B1465">
        <w:rPr>
          <w:rFonts w:ascii="Times New Roman" w:hAnsi="Times New Roman"/>
          <w:sz w:val="24"/>
          <w:szCs w:val="24"/>
          <w:shd w:val="clear" w:color="auto" w:fill="FFFFFF"/>
        </w:rPr>
        <w:t>, (55), 153-172.</w:t>
      </w:r>
    </w:p>
    <w:p w14:paraId="591DA639"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bookmarkStart w:id="158" w:name="_Hlk122879093"/>
      <w:r w:rsidRPr="008B1465">
        <w:rPr>
          <w:rFonts w:ascii="Times New Roman" w:hAnsi="Times New Roman"/>
          <w:sz w:val="24"/>
          <w:szCs w:val="24"/>
          <w:shd w:val="clear" w:color="auto" w:fill="FFFFFF"/>
        </w:rPr>
        <w:t xml:space="preserve">Enofe, A., Julius, O., &amp; Ogbeide, O. (2015). </w:t>
      </w:r>
      <w:bookmarkEnd w:id="158"/>
      <w:r w:rsidRPr="008B1465">
        <w:rPr>
          <w:rFonts w:ascii="Times New Roman" w:hAnsi="Times New Roman"/>
          <w:sz w:val="24"/>
          <w:szCs w:val="24"/>
          <w:shd w:val="clear" w:color="auto" w:fill="FFFFFF"/>
        </w:rPr>
        <w:t>The role of forensic accounting in combating financial crimes. </w:t>
      </w:r>
      <w:r w:rsidRPr="008B1465">
        <w:rPr>
          <w:rFonts w:ascii="Times New Roman" w:hAnsi="Times New Roman"/>
          <w:i/>
          <w:iCs/>
          <w:sz w:val="24"/>
          <w:szCs w:val="24"/>
          <w:shd w:val="clear" w:color="auto" w:fill="FFFFFF"/>
        </w:rPr>
        <w:t>Research Journal of Finance and Accounting</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6</w:t>
      </w:r>
      <w:r w:rsidRPr="008B1465">
        <w:rPr>
          <w:rFonts w:ascii="Times New Roman" w:hAnsi="Times New Roman"/>
          <w:sz w:val="24"/>
          <w:szCs w:val="24"/>
          <w:shd w:val="clear" w:color="auto" w:fill="FFFFFF"/>
        </w:rPr>
        <w:t>(18), 191-199.</w:t>
      </w:r>
    </w:p>
    <w:p w14:paraId="617EBAA3"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Erasmus, E. G. (2021). Cost Management Practice and Financial Performance of Listed Deposit Money Banks in Nigeria. </w:t>
      </w:r>
      <w:r w:rsidRPr="008B1465">
        <w:rPr>
          <w:rFonts w:ascii="Times New Roman" w:hAnsi="Times New Roman"/>
          <w:i/>
          <w:iCs/>
          <w:sz w:val="24"/>
          <w:szCs w:val="24"/>
          <w:shd w:val="clear" w:color="auto" w:fill="FFFFFF"/>
        </w:rPr>
        <w:t>Journal of Accounting and Financial Management</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7</w:t>
      </w:r>
      <w:r w:rsidRPr="008B1465">
        <w:rPr>
          <w:rFonts w:ascii="Times New Roman" w:hAnsi="Times New Roman"/>
          <w:sz w:val="24"/>
          <w:szCs w:val="24"/>
          <w:shd w:val="clear" w:color="auto" w:fill="FFFFFF"/>
        </w:rPr>
        <w:t>(2), 1-14.</w:t>
      </w:r>
    </w:p>
    <w:p w14:paraId="55CAE890" w14:textId="77777777" w:rsidR="0083389C" w:rsidRDefault="0083389C" w:rsidP="005A752C">
      <w:pPr>
        <w:pStyle w:val="NoSpacing"/>
        <w:spacing w:line="360" w:lineRule="auto"/>
        <w:ind w:left="990" w:hanging="900"/>
        <w:jc w:val="both"/>
        <w:rPr>
          <w:rFonts w:ascii="Times New Roman" w:hAnsi="Times New Roman"/>
          <w:color w:val="222222"/>
          <w:sz w:val="24"/>
          <w:szCs w:val="24"/>
          <w:shd w:val="clear" w:color="auto" w:fill="FFFFFF"/>
        </w:rPr>
      </w:pPr>
      <w:r w:rsidRPr="005A752C">
        <w:rPr>
          <w:rFonts w:ascii="Times New Roman" w:hAnsi="Times New Roman"/>
          <w:color w:val="222222"/>
          <w:sz w:val="24"/>
          <w:szCs w:val="24"/>
          <w:shd w:val="clear" w:color="auto" w:fill="FFFFFF"/>
        </w:rPr>
        <w:t>Evenett, S. J. (2019). Protectionism, state discrimination, and international business since the onset of the Global Financial Crisis. </w:t>
      </w:r>
      <w:r w:rsidRPr="005A752C">
        <w:rPr>
          <w:rFonts w:ascii="Times New Roman" w:hAnsi="Times New Roman"/>
          <w:i/>
          <w:iCs/>
          <w:color w:val="222222"/>
          <w:sz w:val="24"/>
          <w:szCs w:val="24"/>
          <w:shd w:val="clear" w:color="auto" w:fill="FFFFFF"/>
        </w:rPr>
        <w:t>Journal of International Business Policy</w:t>
      </w:r>
      <w:r w:rsidRPr="005A752C">
        <w:rPr>
          <w:rFonts w:ascii="Times New Roman" w:hAnsi="Times New Roman"/>
          <w:color w:val="222222"/>
          <w:sz w:val="24"/>
          <w:szCs w:val="24"/>
          <w:shd w:val="clear" w:color="auto" w:fill="FFFFFF"/>
        </w:rPr>
        <w:t>, </w:t>
      </w:r>
      <w:r w:rsidRPr="005A752C">
        <w:rPr>
          <w:rFonts w:ascii="Times New Roman" w:hAnsi="Times New Roman"/>
          <w:i/>
          <w:iCs/>
          <w:color w:val="222222"/>
          <w:sz w:val="24"/>
          <w:szCs w:val="24"/>
          <w:shd w:val="clear" w:color="auto" w:fill="FFFFFF"/>
        </w:rPr>
        <w:t>2</w:t>
      </w:r>
      <w:r w:rsidRPr="005A752C">
        <w:rPr>
          <w:rFonts w:ascii="Times New Roman" w:hAnsi="Times New Roman"/>
          <w:color w:val="222222"/>
          <w:sz w:val="24"/>
          <w:szCs w:val="24"/>
          <w:shd w:val="clear" w:color="auto" w:fill="FFFFFF"/>
        </w:rPr>
        <w:t>, 9-36.</w:t>
      </w:r>
    </w:p>
    <w:p w14:paraId="6448C4FC"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Eze, E</w:t>
      </w:r>
      <w:r>
        <w:rPr>
          <w:rFonts w:ascii="Times New Roman" w:hAnsi="Times New Roman"/>
          <w:sz w:val="24"/>
          <w:szCs w:val="24"/>
        </w:rPr>
        <w:t>.,</w:t>
      </w:r>
      <w:r w:rsidRPr="008B1465">
        <w:rPr>
          <w:rFonts w:ascii="Times New Roman" w:hAnsi="Times New Roman"/>
          <w:sz w:val="24"/>
          <w:szCs w:val="24"/>
        </w:rPr>
        <w:t xml:space="preserve"> &amp; Okoye, E. (2019). Forensic accounting and fraud detection and prevention in Imo State Public Sector. </w:t>
      </w:r>
      <w:r w:rsidRPr="008B1465">
        <w:rPr>
          <w:rFonts w:ascii="Times New Roman" w:hAnsi="Times New Roman"/>
          <w:i/>
          <w:iCs/>
          <w:sz w:val="24"/>
          <w:szCs w:val="24"/>
        </w:rPr>
        <w:t>Accounting and Taxation Review</w:t>
      </w:r>
      <w:r w:rsidRPr="008B1465">
        <w:rPr>
          <w:rFonts w:ascii="Times New Roman" w:hAnsi="Times New Roman"/>
          <w:sz w:val="24"/>
          <w:szCs w:val="24"/>
        </w:rPr>
        <w:t>, 3(1), 12-26</w:t>
      </w:r>
    </w:p>
    <w:p w14:paraId="56B9EE3B" w14:textId="77777777" w:rsidR="0083389C" w:rsidRPr="00465786" w:rsidRDefault="0083389C" w:rsidP="003D289F">
      <w:pPr>
        <w:pStyle w:val="NoSpacing"/>
        <w:spacing w:line="360" w:lineRule="auto"/>
        <w:ind w:left="990" w:hanging="900"/>
        <w:jc w:val="both"/>
        <w:rPr>
          <w:rFonts w:ascii="Times New Roman" w:hAnsi="Times New Roman"/>
          <w:sz w:val="24"/>
          <w:szCs w:val="24"/>
          <w:shd w:val="clear" w:color="auto" w:fill="FFFFFF"/>
        </w:rPr>
      </w:pPr>
      <w:r w:rsidRPr="00465786">
        <w:rPr>
          <w:rFonts w:ascii="Times New Roman" w:hAnsi="Times New Roman"/>
          <w:sz w:val="24"/>
          <w:szCs w:val="24"/>
          <w:shd w:val="clear" w:color="auto" w:fill="FFFFFF"/>
        </w:rPr>
        <w:t>Fagbadebo, O., &amp; Mbada, K. A. (2021). Public procurement law, due process, and public sectorcorruption in Nigeria: a review. </w:t>
      </w:r>
      <w:r w:rsidRPr="00465786">
        <w:rPr>
          <w:rFonts w:ascii="Times New Roman" w:hAnsi="Times New Roman"/>
          <w:i/>
          <w:iCs/>
          <w:sz w:val="24"/>
          <w:szCs w:val="24"/>
          <w:shd w:val="clear" w:color="auto" w:fill="FFFFFF"/>
        </w:rPr>
        <w:t>Public Procurement, Corruption and the Crisis of Governance in Africa</w:t>
      </w:r>
      <w:r w:rsidRPr="00465786">
        <w:rPr>
          <w:rFonts w:ascii="Times New Roman" w:hAnsi="Times New Roman"/>
          <w:sz w:val="24"/>
          <w:szCs w:val="24"/>
          <w:shd w:val="clear" w:color="auto" w:fill="FFFFFF"/>
        </w:rPr>
        <w:t>, 165-183.</w:t>
      </w:r>
    </w:p>
    <w:p w14:paraId="35F542D9"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Fairclough, N. (1995). Critical Discourse Analysis: The Critical Study of Language. London: Longman.</w:t>
      </w:r>
    </w:p>
    <w:p w14:paraId="1D124A83"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Fairclough, N. 1992. Discourse and Social Change. Cambridge: Polity Press. </w:t>
      </w:r>
    </w:p>
    <w:p w14:paraId="61C14899" w14:textId="77777777" w:rsidR="0083389C" w:rsidRPr="00465786" w:rsidRDefault="0083389C" w:rsidP="003D289F">
      <w:pPr>
        <w:pStyle w:val="NoSpacing"/>
        <w:spacing w:line="360" w:lineRule="auto"/>
        <w:ind w:left="990" w:hanging="900"/>
        <w:jc w:val="both"/>
        <w:rPr>
          <w:rFonts w:ascii="Times New Roman" w:hAnsi="Times New Roman"/>
          <w:sz w:val="24"/>
          <w:szCs w:val="24"/>
          <w:shd w:val="clear" w:color="auto" w:fill="FFFFFF"/>
        </w:rPr>
      </w:pPr>
      <w:r w:rsidRPr="00465786">
        <w:rPr>
          <w:rFonts w:ascii="Times New Roman" w:hAnsi="Times New Roman"/>
          <w:sz w:val="24"/>
          <w:szCs w:val="24"/>
          <w:shd w:val="clear" w:color="auto" w:fill="FFFFFF"/>
        </w:rPr>
        <w:t>Fazekas, M., &amp; Blum, J. R. (2021). Improving public procurement outcomes.</w:t>
      </w:r>
    </w:p>
    <w:p w14:paraId="4F0AFA96" w14:textId="77777777" w:rsidR="0083389C" w:rsidRDefault="0083389C" w:rsidP="005A752C">
      <w:pPr>
        <w:pStyle w:val="NoSpacing"/>
        <w:spacing w:line="360" w:lineRule="auto"/>
        <w:ind w:left="990" w:hanging="900"/>
        <w:jc w:val="both"/>
        <w:rPr>
          <w:rFonts w:ascii="Times New Roman" w:hAnsi="Times New Roman"/>
          <w:color w:val="222222"/>
          <w:sz w:val="24"/>
          <w:szCs w:val="24"/>
          <w:shd w:val="clear" w:color="auto" w:fill="FFFFFF"/>
        </w:rPr>
      </w:pPr>
      <w:r w:rsidRPr="005A752C">
        <w:rPr>
          <w:rFonts w:ascii="Times New Roman" w:hAnsi="Times New Roman"/>
          <w:color w:val="222222"/>
          <w:sz w:val="24"/>
          <w:szCs w:val="24"/>
          <w:shd w:val="clear" w:color="auto" w:fill="FFFFFF"/>
        </w:rPr>
        <w:t>Felin, T., Gambardella, A., Stern, S., &amp; Zenger, T. (2019). Lean startup and the business model: Experimentation revisited. </w:t>
      </w:r>
      <w:r w:rsidRPr="005A752C">
        <w:rPr>
          <w:rFonts w:ascii="Times New Roman" w:hAnsi="Times New Roman"/>
          <w:i/>
          <w:iCs/>
          <w:color w:val="222222"/>
          <w:sz w:val="24"/>
          <w:szCs w:val="24"/>
          <w:shd w:val="clear" w:color="auto" w:fill="FFFFFF"/>
        </w:rPr>
        <w:t>Forthcoming in Long Range Planning (Open Access)</w:t>
      </w:r>
      <w:r w:rsidRPr="005A752C">
        <w:rPr>
          <w:rFonts w:ascii="Times New Roman" w:hAnsi="Times New Roman"/>
          <w:color w:val="222222"/>
          <w:sz w:val="24"/>
          <w:szCs w:val="24"/>
          <w:shd w:val="clear" w:color="auto" w:fill="FFFFFF"/>
        </w:rPr>
        <w:t>.</w:t>
      </w:r>
    </w:p>
    <w:p w14:paraId="733C20A2"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Firas, H. (2021). The Role of Forensic Accounting Techniques in Reducing Cloud Based Accounting Risks in the Jordanian Five Stars Hotels. WSEAS Transactions on Business and Economics, 18(44), 434-443.</w:t>
      </w:r>
    </w:p>
    <w:p w14:paraId="64BCE661" w14:textId="77777777" w:rsidR="0083389C" w:rsidRPr="00465786" w:rsidRDefault="0083389C" w:rsidP="003D289F">
      <w:pPr>
        <w:pStyle w:val="NoSpacing"/>
        <w:spacing w:line="360" w:lineRule="auto"/>
        <w:ind w:left="990" w:hanging="900"/>
        <w:jc w:val="both"/>
        <w:rPr>
          <w:rFonts w:ascii="Times New Roman" w:hAnsi="Times New Roman"/>
          <w:sz w:val="24"/>
          <w:szCs w:val="24"/>
          <w:shd w:val="clear" w:color="auto" w:fill="FFFFFF"/>
        </w:rPr>
      </w:pPr>
      <w:r w:rsidRPr="00465786">
        <w:rPr>
          <w:rFonts w:ascii="Times New Roman" w:hAnsi="Times New Roman"/>
          <w:sz w:val="24"/>
          <w:szCs w:val="24"/>
          <w:shd w:val="clear" w:color="auto" w:fill="FFFFFF"/>
        </w:rPr>
        <w:t>Fourie, D., &amp; Malan, C. (2020). Public procurement in the South African economy: Addressing the systemic issues. </w:t>
      </w:r>
      <w:r w:rsidRPr="00465786">
        <w:rPr>
          <w:rFonts w:ascii="Times New Roman" w:hAnsi="Times New Roman"/>
          <w:i/>
          <w:iCs/>
          <w:sz w:val="24"/>
          <w:szCs w:val="24"/>
          <w:shd w:val="clear" w:color="auto" w:fill="FFFFFF"/>
        </w:rPr>
        <w:t>Sustainability</w:t>
      </w:r>
      <w:r w:rsidRPr="00465786">
        <w:rPr>
          <w:rFonts w:ascii="Times New Roman" w:hAnsi="Times New Roman"/>
          <w:sz w:val="24"/>
          <w:szCs w:val="24"/>
          <w:shd w:val="clear" w:color="auto" w:fill="FFFFFF"/>
        </w:rPr>
        <w:t>, </w:t>
      </w:r>
      <w:r w:rsidRPr="00465786">
        <w:rPr>
          <w:rFonts w:ascii="Times New Roman" w:hAnsi="Times New Roman"/>
          <w:i/>
          <w:iCs/>
          <w:sz w:val="24"/>
          <w:szCs w:val="24"/>
          <w:shd w:val="clear" w:color="auto" w:fill="FFFFFF"/>
        </w:rPr>
        <w:t>12</w:t>
      </w:r>
      <w:r w:rsidRPr="00465786">
        <w:rPr>
          <w:rFonts w:ascii="Times New Roman" w:hAnsi="Times New Roman"/>
          <w:sz w:val="24"/>
          <w:szCs w:val="24"/>
          <w:shd w:val="clear" w:color="auto" w:fill="FFFFFF"/>
        </w:rPr>
        <w:t>(20), 8692.</w:t>
      </w:r>
    </w:p>
    <w:p w14:paraId="3DDEF712"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Freud, S. (1989). The ego and the id (1923). </w:t>
      </w:r>
      <w:r w:rsidRPr="008B1465">
        <w:rPr>
          <w:rFonts w:ascii="Times New Roman" w:hAnsi="Times New Roman"/>
          <w:i/>
          <w:iCs/>
          <w:sz w:val="24"/>
          <w:szCs w:val="24"/>
        </w:rPr>
        <w:t>TACD Journal</w:t>
      </w:r>
      <w:r w:rsidRPr="008B1465">
        <w:rPr>
          <w:rFonts w:ascii="Times New Roman" w:hAnsi="Times New Roman"/>
          <w:sz w:val="24"/>
          <w:szCs w:val="24"/>
        </w:rPr>
        <w:t xml:space="preserve">, </w:t>
      </w:r>
      <w:r w:rsidRPr="008B1465">
        <w:rPr>
          <w:rFonts w:ascii="Times New Roman" w:hAnsi="Times New Roman"/>
          <w:i/>
          <w:iCs/>
          <w:sz w:val="24"/>
          <w:szCs w:val="24"/>
        </w:rPr>
        <w:t>17</w:t>
      </w:r>
      <w:r w:rsidRPr="008B1465">
        <w:rPr>
          <w:rFonts w:ascii="Times New Roman" w:hAnsi="Times New Roman"/>
          <w:sz w:val="24"/>
          <w:szCs w:val="24"/>
        </w:rPr>
        <w:t>(1), 5-22.</w:t>
      </w:r>
    </w:p>
    <w:p w14:paraId="2DB95398"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Funnell, W., &amp; Jupe, R. (2022). The architecture of accounting and the neoliberal betrayal of life. Critical Perspectives on Accounting, 89, 102329</w:t>
      </w:r>
    </w:p>
    <w:p w14:paraId="39C8B0D5" w14:textId="77777777" w:rsidR="0083389C" w:rsidRPr="008B1465" w:rsidRDefault="0083389C" w:rsidP="00041E9B">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shd w:val="clear" w:color="auto" w:fill="FFFFFF"/>
        </w:rPr>
        <w:t>Gangwani, M. (2020). Suitability of forensic accounting in uncovering bank frauds in India: an opinion survey. </w:t>
      </w:r>
      <w:r w:rsidRPr="008B1465">
        <w:rPr>
          <w:rFonts w:ascii="Times New Roman" w:hAnsi="Times New Roman"/>
          <w:i/>
          <w:iCs/>
          <w:sz w:val="24"/>
          <w:szCs w:val="24"/>
          <w:shd w:val="clear" w:color="auto" w:fill="FFFFFF"/>
        </w:rPr>
        <w:t>Journal of Financial Crime</w:t>
      </w:r>
      <w:r w:rsidRPr="008B1465">
        <w:rPr>
          <w:rFonts w:ascii="Times New Roman" w:hAnsi="Times New Roman"/>
          <w:sz w:val="24"/>
          <w:szCs w:val="24"/>
        </w:rPr>
        <w:t>, 9, 37-62.</w:t>
      </w:r>
    </w:p>
    <w:p w14:paraId="6334A136"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Ganiyu, A., Otalor, J., Enofe, A. O., Okpako, P. O., &amp; Atube, E. N. (2013). The Impact of Forensic Accounting on Fraud Detection Related Papers Relevance of Forensic Accounting in the Detection and Prevention of Fraud in Nigeria Fat orisa Odunayo Forensic Accounting: a Relief to Corporate e Fraud Ifeanyi Madumere Forensic Accounting as a Tool for Fighting Financial Crime in Nigeria The Impact of Forensic Accounting on Fraud Detection. </w:t>
      </w:r>
      <w:r w:rsidRPr="008B1465">
        <w:rPr>
          <w:rFonts w:ascii="Times New Roman" w:hAnsi="Times New Roman"/>
          <w:i/>
          <w:sz w:val="24"/>
          <w:szCs w:val="24"/>
        </w:rPr>
        <w:t>European Journal of Business and Management www.iiste.Org ISSN</w:t>
      </w:r>
      <w:r w:rsidRPr="008B1465">
        <w:rPr>
          <w:rFonts w:ascii="Times New Roman" w:hAnsi="Times New Roman"/>
          <w:sz w:val="24"/>
          <w:szCs w:val="24"/>
        </w:rPr>
        <w:t xml:space="preserve">, 5(26), </w:t>
      </w:r>
      <w:hyperlink r:id="rId23" w:history="1">
        <w:r w:rsidRPr="008B1465">
          <w:rPr>
            <w:rStyle w:val="Hyperlink"/>
            <w:rFonts w:ascii="Times New Roman" w:hAnsi="Times New Roman"/>
            <w:color w:val="auto"/>
            <w:sz w:val="24"/>
            <w:szCs w:val="24"/>
            <w:u w:val="none"/>
          </w:rPr>
          <w:t>www.iiste.org</w:t>
        </w:r>
      </w:hyperlink>
    </w:p>
    <w:p w14:paraId="7519798B" w14:textId="77777777" w:rsidR="0083389C" w:rsidRDefault="0083389C" w:rsidP="005A752C">
      <w:pPr>
        <w:pStyle w:val="NoSpacing"/>
        <w:spacing w:line="360" w:lineRule="auto"/>
        <w:ind w:left="990" w:hanging="900"/>
        <w:jc w:val="both"/>
        <w:rPr>
          <w:rFonts w:ascii="Times New Roman" w:hAnsi="Times New Roman"/>
          <w:color w:val="222222"/>
          <w:sz w:val="24"/>
          <w:szCs w:val="24"/>
          <w:shd w:val="clear" w:color="auto" w:fill="FFFFFF"/>
        </w:rPr>
      </w:pPr>
      <w:r w:rsidRPr="005A752C">
        <w:rPr>
          <w:rFonts w:ascii="Times New Roman" w:hAnsi="Times New Roman"/>
          <w:color w:val="222222"/>
          <w:sz w:val="24"/>
          <w:szCs w:val="24"/>
          <w:shd w:val="clear" w:color="auto" w:fill="FFFFFF"/>
        </w:rPr>
        <w:t>Gaskin, D. J., &amp; Richard, P. (2012). The economic costs of pain in the United States. </w:t>
      </w:r>
      <w:r w:rsidRPr="005A752C">
        <w:rPr>
          <w:rFonts w:ascii="Times New Roman" w:hAnsi="Times New Roman"/>
          <w:i/>
          <w:iCs/>
          <w:color w:val="222222"/>
          <w:sz w:val="24"/>
          <w:szCs w:val="24"/>
          <w:shd w:val="clear" w:color="auto" w:fill="FFFFFF"/>
        </w:rPr>
        <w:t>The journal of pain</w:t>
      </w:r>
      <w:r w:rsidRPr="005A752C">
        <w:rPr>
          <w:rFonts w:ascii="Times New Roman" w:hAnsi="Times New Roman"/>
          <w:color w:val="222222"/>
          <w:sz w:val="24"/>
          <w:szCs w:val="24"/>
          <w:shd w:val="clear" w:color="auto" w:fill="FFFFFF"/>
        </w:rPr>
        <w:t>, </w:t>
      </w:r>
      <w:r w:rsidRPr="005A752C">
        <w:rPr>
          <w:rFonts w:ascii="Times New Roman" w:hAnsi="Times New Roman"/>
          <w:i/>
          <w:iCs/>
          <w:color w:val="222222"/>
          <w:sz w:val="24"/>
          <w:szCs w:val="24"/>
          <w:shd w:val="clear" w:color="auto" w:fill="FFFFFF"/>
        </w:rPr>
        <w:t>13</w:t>
      </w:r>
      <w:r w:rsidRPr="005A752C">
        <w:rPr>
          <w:rFonts w:ascii="Times New Roman" w:hAnsi="Times New Roman"/>
          <w:color w:val="222222"/>
          <w:sz w:val="24"/>
          <w:szCs w:val="24"/>
          <w:shd w:val="clear" w:color="auto" w:fill="FFFFFF"/>
        </w:rPr>
        <w:t>(8), 715-724.</w:t>
      </w:r>
    </w:p>
    <w:p w14:paraId="6D58BD08"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Gbegi, D. O., &amp; Adebisi, J. F. (2014). Forensic accounting skills and techniques in fraud investigation in the Nigerian public sector. </w:t>
      </w:r>
      <w:r w:rsidRPr="008B1465">
        <w:rPr>
          <w:rFonts w:ascii="Times New Roman" w:hAnsi="Times New Roman"/>
          <w:i/>
          <w:iCs/>
          <w:sz w:val="24"/>
          <w:szCs w:val="24"/>
        </w:rPr>
        <w:t>Mediterranean Journal of Social Sciences</w:t>
      </w:r>
      <w:r w:rsidRPr="008B1465">
        <w:rPr>
          <w:rFonts w:ascii="Times New Roman" w:hAnsi="Times New Roman"/>
          <w:sz w:val="24"/>
          <w:szCs w:val="24"/>
        </w:rPr>
        <w:t>, 5(3), 243-243</w:t>
      </w:r>
    </w:p>
    <w:p w14:paraId="0058DFB6"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Geis, G. (2011), White-collar and Corporate Crime: a Documentary and Reference Guide, ABC-CLIO, Santa Barbara, CA.</w:t>
      </w:r>
      <w:r w:rsidRPr="008B1465">
        <w:t xml:space="preserve"> </w:t>
      </w:r>
      <w:r w:rsidRPr="008B1465">
        <w:rPr>
          <w:rFonts w:ascii="Times New Roman" w:hAnsi="Times New Roman"/>
          <w:sz w:val="24"/>
          <w:szCs w:val="24"/>
        </w:rPr>
        <w:t>ISBN 978–0–313–38055–6 (ebook).</w:t>
      </w:r>
    </w:p>
    <w:p w14:paraId="6C8AE9B5"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Gibbons, R. M. (1969). The scaled particle theory for particles of arbitrary shape. </w:t>
      </w:r>
      <w:r w:rsidRPr="008B1465">
        <w:rPr>
          <w:rFonts w:ascii="Times New Roman" w:hAnsi="Times New Roman"/>
          <w:i/>
          <w:iCs/>
          <w:sz w:val="24"/>
          <w:szCs w:val="24"/>
        </w:rPr>
        <w:t>Molecular Physics</w:t>
      </w:r>
      <w:r w:rsidRPr="008B1465">
        <w:rPr>
          <w:rFonts w:ascii="Times New Roman" w:hAnsi="Times New Roman"/>
          <w:sz w:val="24"/>
          <w:szCs w:val="24"/>
        </w:rPr>
        <w:t xml:space="preserve">, </w:t>
      </w:r>
      <w:r w:rsidRPr="008B1465">
        <w:rPr>
          <w:rFonts w:ascii="Times New Roman" w:hAnsi="Times New Roman"/>
          <w:i/>
          <w:iCs/>
          <w:sz w:val="24"/>
          <w:szCs w:val="24"/>
        </w:rPr>
        <w:t>17</w:t>
      </w:r>
      <w:r w:rsidRPr="008B1465">
        <w:rPr>
          <w:rFonts w:ascii="Times New Roman" w:hAnsi="Times New Roman"/>
          <w:sz w:val="24"/>
          <w:szCs w:val="24"/>
        </w:rPr>
        <w:t>(1), 81-86.</w:t>
      </w:r>
    </w:p>
    <w:p w14:paraId="2834C57C" w14:textId="77777777" w:rsidR="0083389C" w:rsidRPr="00465786" w:rsidRDefault="0083389C" w:rsidP="003D289F">
      <w:pPr>
        <w:pStyle w:val="NoSpacing"/>
        <w:spacing w:line="360" w:lineRule="auto"/>
        <w:ind w:left="990" w:hanging="900"/>
        <w:jc w:val="both"/>
        <w:rPr>
          <w:rFonts w:ascii="Times New Roman" w:hAnsi="Times New Roman"/>
          <w:sz w:val="24"/>
          <w:szCs w:val="24"/>
          <w:shd w:val="clear" w:color="auto" w:fill="FFFFFF"/>
        </w:rPr>
      </w:pPr>
      <w:r w:rsidRPr="00465786">
        <w:rPr>
          <w:rFonts w:ascii="Times New Roman" w:hAnsi="Times New Roman"/>
          <w:sz w:val="24"/>
          <w:szCs w:val="24"/>
          <w:shd w:val="clear" w:color="auto" w:fill="FFFFFF"/>
        </w:rPr>
        <w:t xml:space="preserve">Gibel, R. (2023). </w:t>
      </w:r>
      <w:r>
        <w:rPr>
          <w:rFonts w:ascii="Times New Roman" w:hAnsi="Times New Roman"/>
          <w:sz w:val="24"/>
          <w:szCs w:val="24"/>
          <w:shd w:val="clear" w:color="auto" w:fill="FFFFFF"/>
        </w:rPr>
        <w:t>O</w:t>
      </w:r>
      <w:r w:rsidRPr="00465786">
        <w:rPr>
          <w:rFonts w:ascii="Times New Roman" w:hAnsi="Times New Roman"/>
          <w:sz w:val="24"/>
          <w:szCs w:val="24"/>
          <w:shd w:val="clear" w:color="auto" w:fill="FFFFFF"/>
        </w:rPr>
        <w:t>rganizational misconduct and the case of international sports federations. </w:t>
      </w:r>
      <w:r w:rsidRPr="00465786">
        <w:rPr>
          <w:rFonts w:ascii="Times New Roman" w:hAnsi="Times New Roman"/>
          <w:i/>
          <w:iCs/>
          <w:sz w:val="24"/>
          <w:szCs w:val="24"/>
          <w:shd w:val="clear" w:color="auto" w:fill="FFFFFF"/>
        </w:rPr>
        <w:t>Available at SSRN 4551133</w:t>
      </w:r>
      <w:r w:rsidRPr="00465786">
        <w:rPr>
          <w:rFonts w:ascii="Times New Roman" w:hAnsi="Times New Roman"/>
          <w:sz w:val="24"/>
          <w:szCs w:val="24"/>
          <w:shd w:val="clear" w:color="auto" w:fill="FFFFFF"/>
        </w:rPr>
        <w:t>.</w:t>
      </w:r>
    </w:p>
    <w:p w14:paraId="0B88EA29" w14:textId="77777777" w:rsidR="0083389C" w:rsidRPr="008B1465" w:rsidRDefault="0083389C" w:rsidP="00D44C13">
      <w:pPr>
        <w:pStyle w:val="NoSpacing"/>
        <w:spacing w:line="360" w:lineRule="auto"/>
        <w:ind w:left="990" w:hanging="900"/>
        <w:jc w:val="both"/>
        <w:rPr>
          <w:rFonts w:ascii="Times New Roman" w:hAnsi="Times New Roman"/>
          <w:sz w:val="24"/>
          <w:szCs w:val="24"/>
        </w:rPr>
      </w:pPr>
      <w:bookmarkStart w:id="159" w:name="_Hlk122774670"/>
      <w:r w:rsidRPr="008B1465">
        <w:rPr>
          <w:rFonts w:ascii="Times New Roman" w:hAnsi="Times New Roman"/>
          <w:sz w:val="24"/>
          <w:szCs w:val="24"/>
        </w:rPr>
        <w:t xml:space="preserve">Gibson, A. M., &amp; Frakes, A. H. (1997). </w:t>
      </w:r>
      <w:bookmarkEnd w:id="159"/>
      <w:r w:rsidRPr="008B1465">
        <w:rPr>
          <w:rFonts w:ascii="Times New Roman" w:hAnsi="Times New Roman"/>
          <w:sz w:val="24"/>
          <w:szCs w:val="24"/>
        </w:rPr>
        <w:t xml:space="preserve">Truth or consequences: A study of critical issues and decision making in accounting. </w:t>
      </w:r>
      <w:r w:rsidRPr="008B1465">
        <w:rPr>
          <w:rFonts w:ascii="Times New Roman" w:hAnsi="Times New Roman"/>
          <w:i/>
          <w:iCs/>
          <w:sz w:val="24"/>
          <w:szCs w:val="24"/>
        </w:rPr>
        <w:t>Journal of Business Ethics</w:t>
      </w:r>
      <w:r w:rsidRPr="008B1465">
        <w:rPr>
          <w:rFonts w:ascii="Times New Roman" w:hAnsi="Times New Roman"/>
          <w:sz w:val="24"/>
          <w:szCs w:val="24"/>
        </w:rPr>
        <w:t xml:space="preserve">, </w:t>
      </w:r>
      <w:r w:rsidRPr="008B1465">
        <w:rPr>
          <w:rFonts w:ascii="Times New Roman" w:hAnsi="Times New Roman"/>
          <w:i/>
          <w:iCs/>
          <w:sz w:val="24"/>
          <w:szCs w:val="24"/>
        </w:rPr>
        <w:t>16</w:t>
      </w:r>
      <w:r w:rsidRPr="008B1465">
        <w:rPr>
          <w:rFonts w:ascii="Times New Roman" w:hAnsi="Times New Roman"/>
          <w:sz w:val="24"/>
          <w:szCs w:val="24"/>
        </w:rPr>
        <w:t>(2), 161-171.</w:t>
      </w:r>
    </w:p>
    <w:p w14:paraId="1E8BDEA5" w14:textId="77777777" w:rsidR="0083389C" w:rsidRDefault="0083389C" w:rsidP="005A752C">
      <w:pPr>
        <w:pStyle w:val="NoSpacing"/>
        <w:spacing w:line="360" w:lineRule="auto"/>
        <w:ind w:left="990" w:hanging="900"/>
        <w:jc w:val="both"/>
        <w:rPr>
          <w:rFonts w:ascii="Times New Roman" w:hAnsi="Times New Roman"/>
          <w:color w:val="222222"/>
          <w:sz w:val="24"/>
          <w:szCs w:val="24"/>
          <w:shd w:val="clear" w:color="auto" w:fill="FFFFFF"/>
        </w:rPr>
      </w:pPr>
      <w:r w:rsidRPr="005A752C">
        <w:rPr>
          <w:rFonts w:ascii="Times New Roman" w:hAnsi="Times New Roman"/>
          <w:color w:val="222222"/>
          <w:sz w:val="24"/>
          <w:szCs w:val="24"/>
          <w:shd w:val="clear" w:color="auto" w:fill="FFFFFF"/>
        </w:rPr>
        <w:t>Gonçalves, M. J. A., da Silva, A. C. F., &amp; Ferreira, C. G. (2022). The future of accounting: how will digital transformation impact the sector? In </w:t>
      </w:r>
      <w:r w:rsidRPr="005A752C">
        <w:rPr>
          <w:rFonts w:ascii="Times New Roman" w:hAnsi="Times New Roman"/>
          <w:i/>
          <w:iCs/>
          <w:color w:val="222222"/>
          <w:sz w:val="24"/>
          <w:szCs w:val="24"/>
          <w:shd w:val="clear" w:color="auto" w:fill="FFFFFF"/>
        </w:rPr>
        <w:t>Informatics</w:t>
      </w:r>
      <w:r w:rsidRPr="005A752C">
        <w:rPr>
          <w:rFonts w:ascii="Times New Roman" w:hAnsi="Times New Roman"/>
          <w:color w:val="222222"/>
          <w:sz w:val="24"/>
          <w:szCs w:val="24"/>
          <w:shd w:val="clear" w:color="auto" w:fill="FFFFFF"/>
        </w:rPr>
        <w:t> 9, (1)19. MDPI.</w:t>
      </w:r>
    </w:p>
    <w:p w14:paraId="76E918CF"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Gorodilov, M. A., &amp; Belyaev, A. S. (2019). Non-financial Indicators of Fraudulent Bankruptcy. Accounting. Analysis. Auditing, 6(3). </w:t>
      </w:r>
      <w:hyperlink r:id="rId24" w:history="1">
        <w:r w:rsidRPr="008B1465">
          <w:rPr>
            <w:rStyle w:val="Hyperlink"/>
            <w:rFonts w:ascii="Times New Roman" w:hAnsi="Times New Roman"/>
            <w:color w:val="auto"/>
            <w:sz w:val="24"/>
            <w:szCs w:val="24"/>
            <w:u w:val="none"/>
          </w:rPr>
          <w:t>https://doi.org/10.26794/2408-9303-2019-6-3-25-31</w:t>
        </w:r>
      </w:hyperlink>
    </w:p>
    <w:p w14:paraId="6769B83B" w14:textId="77777777" w:rsidR="0083389C" w:rsidRDefault="0083389C" w:rsidP="005A752C">
      <w:pPr>
        <w:pStyle w:val="NoSpacing"/>
        <w:spacing w:line="360" w:lineRule="auto"/>
        <w:ind w:left="990" w:hanging="900"/>
        <w:jc w:val="both"/>
        <w:rPr>
          <w:rFonts w:ascii="Times New Roman" w:hAnsi="Times New Roman"/>
          <w:color w:val="222222"/>
          <w:sz w:val="24"/>
          <w:szCs w:val="24"/>
          <w:shd w:val="clear" w:color="auto" w:fill="FFFFFF"/>
        </w:rPr>
      </w:pPr>
      <w:r w:rsidRPr="005A752C">
        <w:rPr>
          <w:rFonts w:ascii="Times New Roman" w:hAnsi="Times New Roman"/>
          <w:color w:val="222222"/>
          <w:sz w:val="24"/>
          <w:szCs w:val="24"/>
          <w:shd w:val="clear" w:color="auto" w:fill="FFFFFF"/>
        </w:rPr>
        <w:t>Gottschalk, P., &amp; Benson, M. L. (2020). The evolution of corporate accounts of scandals from exposure to investigation. </w:t>
      </w:r>
      <w:r w:rsidRPr="005A752C">
        <w:rPr>
          <w:rFonts w:ascii="Times New Roman" w:hAnsi="Times New Roman"/>
          <w:i/>
          <w:iCs/>
          <w:color w:val="222222"/>
          <w:sz w:val="24"/>
          <w:szCs w:val="24"/>
          <w:shd w:val="clear" w:color="auto" w:fill="FFFFFF"/>
        </w:rPr>
        <w:t>The British Journal of Criminology</w:t>
      </w:r>
      <w:r w:rsidRPr="005A752C">
        <w:rPr>
          <w:rFonts w:ascii="Times New Roman" w:hAnsi="Times New Roman"/>
          <w:color w:val="222222"/>
          <w:sz w:val="24"/>
          <w:szCs w:val="24"/>
          <w:shd w:val="clear" w:color="auto" w:fill="FFFFFF"/>
        </w:rPr>
        <w:t>, </w:t>
      </w:r>
      <w:r w:rsidRPr="005A752C">
        <w:rPr>
          <w:rFonts w:ascii="Times New Roman" w:hAnsi="Times New Roman"/>
          <w:i/>
          <w:iCs/>
          <w:color w:val="222222"/>
          <w:sz w:val="24"/>
          <w:szCs w:val="24"/>
          <w:shd w:val="clear" w:color="auto" w:fill="FFFFFF"/>
        </w:rPr>
        <w:t>60</w:t>
      </w:r>
      <w:r w:rsidRPr="005A752C">
        <w:rPr>
          <w:rFonts w:ascii="Times New Roman" w:hAnsi="Times New Roman"/>
          <w:color w:val="222222"/>
          <w:sz w:val="24"/>
          <w:szCs w:val="24"/>
          <w:shd w:val="clear" w:color="auto" w:fill="FFFFFF"/>
        </w:rPr>
        <w:t>(4), 949-969.</w:t>
      </w:r>
    </w:p>
    <w:p w14:paraId="5DCD9329" w14:textId="77777777" w:rsidR="0083389C" w:rsidRPr="00465786" w:rsidRDefault="0083389C" w:rsidP="003D289F">
      <w:pPr>
        <w:pStyle w:val="NoSpacing"/>
        <w:spacing w:line="360" w:lineRule="auto"/>
        <w:ind w:left="990" w:hanging="900"/>
        <w:jc w:val="both"/>
        <w:rPr>
          <w:rFonts w:ascii="Times New Roman" w:hAnsi="Times New Roman"/>
          <w:sz w:val="24"/>
          <w:szCs w:val="24"/>
          <w:shd w:val="clear" w:color="auto" w:fill="FFFFFF"/>
        </w:rPr>
      </w:pPr>
      <w:r w:rsidRPr="00465786">
        <w:rPr>
          <w:rFonts w:ascii="Times New Roman" w:hAnsi="Times New Roman"/>
          <w:sz w:val="24"/>
          <w:szCs w:val="24"/>
          <w:shd w:val="clear" w:color="auto" w:fill="FFFFFF"/>
        </w:rPr>
        <w:t>Grimsey, D., &amp; Lewis, M. K. (2002). Evaluating the risks of public private partnerships for infrastructure projects. </w:t>
      </w:r>
      <w:r w:rsidRPr="00465786">
        <w:rPr>
          <w:rFonts w:ascii="Times New Roman" w:hAnsi="Times New Roman"/>
          <w:i/>
          <w:iCs/>
          <w:sz w:val="24"/>
          <w:szCs w:val="24"/>
          <w:shd w:val="clear" w:color="auto" w:fill="FFFFFF"/>
        </w:rPr>
        <w:t>International journal of project management</w:t>
      </w:r>
      <w:r w:rsidRPr="00465786">
        <w:rPr>
          <w:rFonts w:ascii="Times New Roman" w:hAnsi="Times New Roman"/>
          <w:sz w:val="24"/>
          <w:szCs w:val="24"/>
          <w:shd w:val="clear" w:color="auto" w:fill="FFFFFF"/>
        </w:rPr>
        <w:t>, </w:t>
      </w:r>
      <w:r w:rsidRPr="00465786">
        <w:rPr>
          <w:rFonts w:ascii="Times New Roman" w:hAnsi="Times New Roman"/>
          <w:i/>
          <w:iCs/>
          <w:sz w:val="24"/>
          <w:szCs w:val="24"/>
          <w:shd w:val="clear" w:color="auto" w:fill="FFFFFF"/>
        </w:rPr>
        <w:t>20</w:t>
      </w:r>
      <w:r w:rsidRPr="00465786">
        <w:rPr>
          <w:rFonts w:ascii="Times New Roman" w:hAnsi="Times New Roman"/>
          <w:sz w:val="24"/>
          <w:szCs w:val="24"/>
          <w:shd w:val="clear" w:color="auto" w:fill="FFFFFF"/>
        </w:rPr>
        <w:t>(2), 107-118.</w:t>
      </w:r>
    </w:p>
    <w:p w14:paraId="32938308"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Grubor, A., Berber, N., Aleksić, M., &amp; Bjekić, R. (2020). The influence of corporate social responsibility on organizational performance: </w:t>
      </w:r>
      <w:r w:rsidRPr="008B1465">
        <w:rPr>
          <w:rFonts w:ascii="Times New Roman" w:hAnsi="Times New Roman"/>
          <w:i/>
          <w:sz w:val="24"/>
          <w:szCs w:val="24"/>
        </w:rPr>
        <w:t>A research in AP Vojvodina. Anali Ekonomskog fakulteta u Subotici</w:t>
      </w:r>
      <w:r w:rsidRPr="008B1465">
        <w:rPr>
          <w:rFonts w:ascii="Times New Roman" w:hAnsi="Times New Roman"/>
          <w:sz w:val="24"/>
          <w:szCs w:val="24"/>
        </w:rPr>
        <w:t>, (43), 3-13</w:t>
      </w:r>
    </w:p>
    <w:p w14:paraId="60169C67"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Gunter, W. D., &amp; Hertig, C. A. (2005). An introduction to theory, practice and career development for public and private investigators, International Foundation for Protection Officers, 1-56</w:t>
      </w:r>
    </w:p>
    <w:p w14:paraId="5E7AF4BB"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Hashem, F. (2021). The Role of Forensic Accounting Techniques in Reducing Cloud Based Accounting Risks in the Jordanian Five Stars Hotels. </w:t>
      </w:r>
      <w:r w:rsidRPr="008B1465">
        <w:rPr>
          <w:rFonts w:ascii="Times New Roman" w:hAnsi="Times New Roman"/>
          <w:i/>
          <w:iCs/>
          <w:sz w:val="24"/>
          <w:szCs w:val="24"/>
          <w:shd w:val="clear" w:color="auto" w:fill="FFFFFF"/>
        </w:rPr>
        <w:t>Wseas Transactions on Business and Economics</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18</w:t>
      </w:r>
      <w:r w:rsidRPr="008B1465">
        <w:rPr>
          <w:rFonts w:ascii="Times New Roman" w:hAnsi="Times New Roman"/>
          <w:sz w:val="24"/>
          <w:szCs w:val="24"/>
          <w:shd w:val="clear" w:color="auto" w:fill="FFFFFF"/>
        </w:rPr>
        <w:t>, 434-443.</w:t>
      </w:r>
    </w:p>
    <w:p w14:paraId="2E0B978E" w14:textId="77777777" w:rsidR="0083389C" w:rsidRPr="00465786" w:rsidRDefault="0083389C" w:rsidP="003D289F">
      <w:pPr>
        <w:pStyle w:val="NoSpacing"/>
        <w:spacing w:line="360" w:lineRule="auto"/>
        <w:ind w:left="990" w:hanging="900"/>
        <w:jc w:val="both"/>
        <w:rPr>
          <w:rFonts w:ascii="Times New Roman" w:hAnsi="Times New Roman"/>
          <w:sz w:val="24"/>
          <w:szCs w:val="24"/>
          <w:shd w:val="clear" w:color="auto" w:fill="FFFFFF"/>
        </w:rPr>
      </w:pPr>
      <w:r w:rsidRPr="00465786">
        <w:rPr>
          <w:rFonts w:ascii="Times New Roman" w:hAnsi="Times New Roman"/>
          <w:sz w:val="24"/>
          <w:szCs w:val="24"/>
          <w:shd w:val="clear" w:color="auto" w:fill="FFFFFF"/>
        </w:rPr>
        <w:t>Hassan, A. J., &amp; Omwenga, J. Q. O. (2023). Contract Management and Procurement Performance of State Corporation in Kenya. </w:t>
      </w:r>
      <w:r w:rsidRPr="00465786">
        <w:rPr>
          <w:rFonts w:ascii="Times New Roman" w:hAnsi="Times New Roman"/>
          <w:i/>
          <w:iCs/>
          <w:sz w:val="24"/>
          <w:szCs w:val="24"/>
          <w:shd w:val="clear" w:color="auto" w:fill="FFFFFF"/>
        </w:rPr>
        <w:t>International Journal of Social Science and Humanities Research (IJSSHR) ISSN 2959-7056 (o); 2959-7048</w:t>
      </w:r>
      <w:r w:rsidRPr="00465786">
        <w:rPr>
          <w:rFonts w:ascii="Times New Roman" w:hAnsi="Times New Roman"/>
          <w:sz w:val="24"/>
          <w:szCs w:val="24"/>
          <w:shd w:val="clear" w:color="auto" w:fill="FFFFFF"/>
        </w:rPr>
        <w:t>, </w:t>
      </w:r>
      <w:r w:rsidRPr="00465786">
        <w:rPr>
          <w:rFonts w:ascii="Times New Roman" w:hAnsi="Times New Roman"/>
          <w:i/>
          <w:iCs/>
          <w:sz w:val="24"/>
          <w:szCs w:val="24"/>
          <w:shd w:val="clear" w:color="auto" w:fill="FFFFFF"/>
        </w:rPr>
        <w:t>1</w:t>
      </w:r>
      <w:r w:rsidRPr="00465786">
        <w:rPr>
          <w:rFonts w:ascii="Times New Roman" w:hAnsi="Times New Roman"/>
          <w:sz w:val="24"/>
          <w:szCs w:val="24"/>
          <w:shd w:val="clear" w:color="auto" w:fill="FFFFFF"/>
        </w:rPr>
        <w:t>(1), 47-73.</w:t>
      </w:r>
    </w:p>
    <w:p w14:paraId="0DC1F276"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Haun, A. L., Gaither, M., &amp; Sompayrac</w:t>
      </w:r>
      <w:r>
        <w:rPr>
          <w:rFonts w:ascii="Times New Roman" w:hAnsi="Times New Roman"/>
          <w:sz w:val="24"/>
          <w:szCs w:val="24"/>
        </w:rPr>
        <w:t xml:space="preserve">, </w:t>
      </w:r>
      <w:r w:rsidRPr="008B1465">
        <w:rPr>
          <w:rFonts w:ascii="Times New Roman" w:hAnsi="Times New Roman"/>
          <w:sz w:val="24"/>
          <w:szCs w:val="24"/>
        </w:rPr>
        <w:t>J. (2018). The Role of Forensic Accounting in U.S. Counterterrorism Efforts. The Coastal Business Journal, 16(1).</w:t>
      </w:r>
    </w:p>
    <w:p w14:paraId="647F6478"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Haverty, J. L. (2006). Are IFRS and US GAAP converging: Some evidence from People's Republic of China companies listed on the New York Stock Exchange. </w:t>
      </w:r>
      <w:r w:rsidRPr="008B1465">
        <w:rPr>
          <w:rFonts w:ascii="Times New Roman" w:hAnsi="Times New Roman"/>
          <w:i/>
          <w:sz w:val="24"/>
          <w:szCs w:val="24"/>
        </w:rPr>
        <w:t xml:space="preserve">Journal of International Accounting, Auditing and Taxation, </w:t>
      </w:r>
      <w:r w:rsidRPr="008B1465">
        <w:rPr>
          <w:rFonts w:ascii="Times New Roman" w:hAnsi="Times New Roman"/>
          <w:sz w:val="24"/>
          <w:szCs w:val="24"/>
        </w:rPr>
        <w:t>15(1), 48-71</w:t>
      </w:r>
    </w:p>
    <w:p w14:paraId="063E3400"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Hawkins, R., Al-Eid, S., Almahboob, I., Athanasopoulos, P., Chaengchenkit, R., Hu, J., &amp; Velasco-Zárate, K. (2006). </w:t>
      </w:r>
      <w:r w:rsidRPr="008B1465">
        <w:rPr>
          <w:rFonts w:ascii="Times New Roman" w:hAnsi="Times New Roman"/>
          <w:i/>
          <w:sz w:val="24"/>
          <w:szCs w:val="24"/>
        </w:rPr>
        <w:t>Accounting for English article interpretation by L2 speakers, EUROSLA yearbook,</w:t>
      </w:r>
      <w:r w:rsidRPr="008B1465">
        <w:rPr>
          <w:rFonts w:ascii="Times New Roman" w:hAnsi="Times New Roman"/>
          <w:sz w:val="24"/>
          <w:szCs w:val="24"/>
        </w:rPr>
        <w:t xml:space="preserve"> 6(1), 7-25</w:t>
      </w:r>
    </w:p>
    <w:p w14:paraId="1B5DA6C4"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Hegazy, S., Sangster, A., &amp; Kotb, A. (2017). Mapping forensic accounting in the UK. </w:t>
      </w:r>
      <w:r w:rsidRPr="008B1465">
        <w:rPr>
          <w:rFonts w:ascii="Times New Roman" w:hAnsi="Times New Roman"/>
          <w:i/>
          <w:iCs/>
          <w:sz w:val="24"/>
          <w:szCs w:val="24"/>
        </w:rPr>
        <w:t>Journal of International Accounting, Auditing, and Taxation</w:t>
      </w:r>
      <w:r w:rsidRPr="008B1465">
        <w:rPr>
          <w:rFonts w:ascii="Times New Roman" w:hAnsi="Times New Roman"/>
          <w:sz w:val="24"/>
          <w:szCs w:val="24"/>
        </w:rPr>
        <w:t>, 28, 43-56</w:t>
      </w:r>
    </w:p>
    <w:p w14:paraId="72D35A9B"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Hely, P. (2010). A model copyright exemption to serve the visually impaired: an alternative to the treaty proposals before WIPO. </w:t>
      </w:r>
      <w:r w:rsidRPr="008B1465">
        <w:rPr>
          <w:rFonts w:ascii="Times New Roman" w:hAnsi="Times New Roman"/>
          <w:i/>
          <w:iCs/>
          <w:sz w:val="24"/>
          <w:szCs w:val="24"/>
        </w:rPr>
        <w:t>Vand. J. Transnat'l</w:t>
      </w:r>
      <w:r w:rsidRPr="008B1465">
        <w:rPr>
          <w:rFonts w:ascii="Times New Roman" w:hAnsi="Times New Roman"/>
          <w:sz w:val="24"/>
          <w:szCs w:val="24"/>
        </w:rPr>
        <w:t xml:space="preserve"> L., 43, 1369.</w:t>
      </w:r>
    </w:p>
    <w:p w14:paraId="3147EF5C"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Henry, A. W., &amp; Ganiyu, A. B. (2017). Effect of forensic accounting services on fraud reduction in the Nigerian banking industry, </w:t>
      </w:r>
      <w:r w:rsidRPr="008B1465">
        <w:rPr>
          <w:rFonts w:ascii="Times New Roman" w:hAnsi="Times New Roman"/>
          <w:i/>
          <w:iCs/>
          <w:sz w:val="24"/>
          <w:szCs w:val="24"/>
        </w:rPr>
        <w:t>Advances in Social Sciences Research Journal</w:t>
      </w:r>
      <w:r w:rsidRPr="008B1465">
        <w:rPr>
          <w:rFonts w:ascii="Times New Roman" w:hAnsi="Times New Roman"/>
          <w:sz w:val="24"/>
          <w:szCs w:val="24"/>
        </w:rPr>
        <w:t>, 4(12).</w:t>
      </w:r>
    </w:p>
    <w:p w14:paraId="2FB66A6C"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 xml:space="preserve">Henry, A. W., &amp; Ganiyu, A. B. (2017). Effect of forensic accounting services on fraud reduction in the Nigerian banking industry, </w:t>
      </w:r>
      <w:r w:rsidRPr="008B1465">
        <w:rPr>
          <w:rFonts w:ascii="Times New Roman" w:hAnsi="Times New Roman"/>
          <w:i/>
          <w:iCs/>
          <w:sz w:val="24"/>
          <w:szCs w:val="24"/>
          <w:shd w:val="clear" w:color="auto" w:fill="FFFFFF"/>
        </w:rPr>
        <w:t>Advances in Social Sciences Research Journal</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4</w:t>
      </w:r>
      <w:r w:rsidRPr="008B1465">
        <w:rPr>
          <w:rFonts w:ascii="Times New Roman" w:hAnsi="Times New Roman"/>
          <w:sz w:val="24"/>
          <w:szCs w:val="24"/>
          <w:shd w:val="clear" w:color="auto" w:fill="FFFFFF"/>
        </w:rPr>
        <w:t>(12).</w:t>
      </w:r>
    </w:p>
    <w:p w14:paraId="041D8E73"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Herbert, I. P., &amp; Seal, W. B. (2012). Shared services as a new organizational form: Some implications for management accounting. </w:t>
      </w:r>
      <w:r w:rsidRPr="008B1465">
        <w:rPr>
          <w:rFonts w:ascii="Times New Roman" w:hAnsi="Times New Roman"/>
          <w:i/>
          <w:iCs/>
          <w:sz w:val="24"/>
          <w:szCs w:val="24"/>
        </w:rPr>
        <w:t>The British Accounting Review</w:t>
      </w:r>
      <w:r w:rsidRPr="008B1465">
        <w:rPr>
          <w:rFonts w:ascii="Times New Roman" w:hAnsi="Times New Roman"/>
          <w:sz w:val="24"/>
          <w:szCs w:val="24"/>
        </w:rPr>
        <w:t>, 44(2), 83-97.</w:t>
      </w:r>
    </w:p>
    <w:p w14:paraId="7CEE83C0"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Herbert, W. E. (2018). Hindsight, Foresight, and Insight into Global Corruption Issues. </w:t>
      </w:r>
      <w:r w:rsidRPr="008B1465">
        <w:rPr>
          <w:rFonts w:ascii="Times New Roman" w:hAnsi="Times New Roman"/>
          <w:i/>
          <w:iCs/>
          <w:sz w:val="24"/>
          <w:szCs w:val="24"/>
        </w:rPr>
        <w:t>Journal of Forensic &amp; Investigative Accounting</w:t>
      </w:r>
      <w:r w:rsidRPr="008B1465">
        <w:rPr>
          <w:rFonts w:ascii="Times New Roman" w:hAnsi="Times New Roman"/>
          <w:sz w:val="24"/>
          <w:szCs w:val="24"/>
        </w:rPr>
        <w:t>, 10(1), 225–249.</w:t>
      </w:r>
    </w:p>
    <w:p w14:paraId="654162DF"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Herbert, W. E., Onyilo, F., Ene, E. E., &amp; Tsegba, I. N. (2017a). Fraud and Forensic Accounting Education: Prospects and Challenges in Nigeria. </w:t>
      </w:r>
      <w:r w:rsidRPr="008B1465">
        <w:rPr>
          <w:rFonts w:ascii="Times New Roman" w:hAnsi="Times New Roman"/>
          <w:i/>
          <w:iCs/>
          <w:sz w:val="24"/>
          <w:szCs w:val="24"/>
        </w:rPr>
        <w:t>International Journal of Business and Management</w:t>
      </w:r>
      <w:r w:rsidRPr="008B1465">
        <w:rPr>
          <w:rFonts w:ascii="Times New Roman" w:hAnsi="Times New Roman"/>
          <w:sz w:val="24"/>
          <w:szCs w:val="24"/>
        </w:rPr>
        <w:t xml:space="preserve">, 12(7). </w:t>
      </w:r>
      <w:hyperlink r:id="rId25" w:history="1">
        <w:r w:rsidRPr="008B1465">
          <w:rPr>
            <w:rStyle w:val="Hyperlink"/>
            <w:rFonts w:ascii="Times New Roman" w:hAnsi="Times New Roman"/>
            <w:color w:val="auto"/>
            <w:sz w:val="24"/>
            <w:szCs w:val="24"/>
            <w:u w:val="none"/>
          </w:rPr>
          <w:t>https://doi.org/10.5539/ijbm.v12n7p146</w:t>
        </w:r>
      </w:hyperlink>
    </w:p>
    <w:p w14:paraId="187AE440"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Herbert, W.</w:t>
      </w:r>
      <w:r>
        <w:rPr>
          <w:rFonts w:ascii="Times New Roman" w:hAnsi="Times New Roman"/>
          <w:sz w:val="24"/>
          <w:szCs w:val="24"/>
        </w:rPr>
        <w:t xml:space="preserve"> </w:t>
      </w:r>
      <w:r w:rsidRPr="008B1465">
        <w:rPr>
          <w:rFonts w:ascii="Times New Roman" w:hAnsi="Times New Roman"/>
          <w:sz w:val="24"/>
          <w:szCs w:val="24"/>
        </w:rPr>
        <w:t>E., Tsegba, I.</w:t>
      </w:r>
      <w:r>
        <w:rPr>
          <w:rFonts w:ascii="Times New Roman" w:hAnsi="Times New Roman"/>
          <w:sz w:val="24"/>
          <w:szCs w:val="24"/>
        </w:rPr>
        <w:t xml:space="preserve"> </w:t>
      </w:r>
      <w:r w:rsidRPr="008B1465">
        <w:rPr>
          <w:rFonts w:ascii="Times New Roman" w:hAnsi="Times New Roman"/>
          <w:sz w:val="24"/>
          <w:szCs w:val="24"/>
        </w:rPr>
        <w:t>N., Ene, E.</w:t>
      </w:r>
      <w:r>
        <w:rPr>
          <w:rFonts w:ascii="Times New Roman" w:hAnsi="Times New Roman"/>
          <w:sz w:val="24"/>
          <w:szCs w:val="24"/>
        </w:rPr>
        <w:t xml:space="preserve"> </w:t>
      </w:r>
      <w:r w:rsidRPr="008B1465">
        <w:rPr>
          <w:rFonts w:ascii="Times New Roman" w:hAnsi="Times New Roman"/>
          <w:sz w:val="24"/>
          <w:szCs w:val="24"/>
        </w:rPr>
        <w:t xml:space="preserve">E., &amp; Onyilo, F. (2017). The Rise of Fraud Examination and Forensic Accounting in Africa: The Nigerian Experience. </w:t>
      </w:r>
      <w:r w:rsidRPr="008B1465">
        <w:rPr>
          <w:rFonts w:ascii="Times New Roman" w:hAnsi="Times New Roman"/>
          <w:i/>
          <w:iCs/>
          <w:sz w:val="24"/>
          <w:szCs w:val="24"/>
        </w:rPr>
        <w:t>Archives of Business Research</w:t>
      </w:r>
      <w:r w:rsidRPr="008B1465">
        <w:rPr>
          <w:rFonts w:ascii="Times New Roman" w:hAnsi="Times New Roman"/>
          <w:sz w:val="24"/>
          <w:szCs w:val="24"/>
        </w:rPr>
        <w:t>, 5(4)</w:t>
      </w:r>
      <w:r>
        <w:rPr>
          <w:rFonts w:ascii="Times New Roman" w:hAnsi="Times New Roman"/>
          <w:sz w:val="24"/>
          <w:szCs w:val="24"/>
        </w:rPr>
        <w:t>,</w:t>
      </w:r>
      <w:r w:rsidRPr="008B1465">
        <w:rPr>
          <w:rFonts w:ascii="Times New Roman" w:hAnsi="Times New Roman"/>
          <w:sz w:val="24"/>
          <w:szCs w:val="24"/>
        </w:rPr>
        <w:t xml:space="preserve"> 1–18.</w:t>
      </w:r>
    </w:p>
    <w:p w14:paraId="3D93198E" w14:textId="77777777" w:rsidR="0083389C" w:rsidRDefault="0083389C" w:rsidP="007C7B0B">
      <w:pPr>
        <w:pStyle w:val="NoSpacing"/>
        <w:spacing w:line="360" w:lineRule="auto"/>
        <w:ind w:left="990" w:hanging="900"/>
        <w:jc w:val="both"/>
        <w:rPr>
          <w:rFonts w:ascii="Times New Roman" w:hAnsi="Times New Roman"/>
          <w:color w:val="222222"/>
          <w:sz w:val="24"/>
          <w:szCs w:val="24"/>
          <w:shd w:val="clear" w:color="auto" w:fill="FFFFFF"/>
        </w:rPr>
      </w:pPr>
      <w:r w:rsidRPr="005A752C">
        <w:rPr>
          <w:rFonts w:ascii="Times New Roman" w:hAnsi="Times New Roman"/>
          <w:color w:val="222222"/>
          <w:sz w:val="24"/>
          <w:szCs w:val="24"/>
          <w:shd w:val="clear" w:color="auto" w:fill="FFFFFF"/>
        </w:rPr>
        <w:t>Higgins, G. A. (2023). </w:t>
      </w:r>
      <w:r w:rsidRPr="005A752C">
        <w:rPr>
          <w:rFonts w:ascii="Times New Roman" w:hAnsi="Times New Roman"/>
          <w:i/>
          <w:iCs/>
          <w:color w:val="222222"/>
          <w:sz w:val="24"/>
          <w:szCs w:val="24"/>
          <w:shd w:val="clear" w:color="auto" w:fill="FFFFFF"/>
        </w:rPr>
        <w:t>An Analysis of White-Collar Crime in Fort Bend County, Texas</w:t>
      </w:r>
      <w:r w:rsidRPr="005A752C">
        <w:rPr>
          <w:rFonts w:ascii="Times New Roman" w:hAnsi="Times New Roman"/>
          <w:color w:val="222222"/>
          <w:sz w:val="24"/>
          <w:szCs w:val="24"/>
          <w:shd w:val="clear" w:color="auto" w:fill="FFFFFF"/>
        </w:rPr>
        <w:t> (Doctoral dissertation, Texas Southern University).</w:t>
      </w:r>
    </w:p>
    <w:p w14:paraId="4F48402A" w14:textId="77777777" w:rsidR="0083389C" w:rsidRDefault="0083389C" w:rsidP="007C7B0B">
      <w:pPr>
        <w:pStyle w:val="NoSpacing"/>
        <w:spacing w:line="360" w:lineRule="auto"/>
        <w:ind w:left="990" w:hanging="900"/>
        <w:jc w:val="both"/>
        <w:rPr>
          <w:rFonts w:ascii="Times New Roman" w:hAnsi="Times New Roman"/>
          <w:color w:val="222222"/>
          <w:sz w:val="24"/>
          <w:szCs w:val="24"/>
          <w:shd w:val="clear" w:color="auto" w:fill="FFFFFF"/>
        </w:rPr>
      </w:pPr>
      <w:r w:rsidRPr="007C7B0B">
        <w:rPr>
          <w:rFonts w:ascii="Times New Roman" w:hAnsi="Times New Roman"/>
          <w:color w:val="222222"/>
          <w:sz w:val="24"/>
          <w:szCs w:val="24"/>
          <w:shd w:val="clear" w:color="auto" w:fill="FFFFFF"/>
        </w:rPr>
        <w:t>Hill, G., Mason, J., &amp; Dunn, A. (2021). Contract cheating: an increasing challenge for global academic community arising from COVID-19. </w:t>
      </w:r>
      <w:r w:rsidRPr="007C7B0B">
        <w:rPr>
          <w:rFonts w:ascii="Times New Roman" w:hAnsi="Times New Roman"/>
          <w:i/>
          <w:iCs/>
          <w:color w:val="222222"/>
          <w:sz w:val="24"/>
          <w:szCs w:val="24"/>
          <w:shd w:val="clear" w:color="auto" w:fill="FFFFFF"/>
        </w:rPr>
        <w:t>Research and practice in technology enhanced learning</w:t>
      </w:r>
      <w:r w:rsidRPr="007C7B0B">
        <w:rPr>
          <w:rFonts w:ascii="Times New Roman" w:hAnsi="Times New Roman"/>
          <w:color w:val="222222"/>
          <w:sz w:val="24"/>
          <w:szCs w:val="24"/>
          <w:shd w:val="clear" w:color="auto" w:fill="FFFFFF"/>
        </w:rPr>
        <w:t>, </w:t>
      </w:r>
      <w:r w:rsidRPr="007C7B0B">
        <w:rPr>
          <w:rFonts w:ascii="Times New Roman" w:hAnsi="Times New Roman"/>
          <w:i/>
          <w:iCs/>
          <w:color w:val="222222"/>
          <w:sz w:val="24"/>
          <w:szCs w:val="24"/>
          <w:shd w:val="clear" w:color="auto" w:fill="FFFFFF"/>
        </w:rPr>
        <w:t>16</w:t>
      </w:r>
      <w:r w:rsidRPr="007C7B0B">
        <w:rPr>
          <w:rFonts w:ascii="Times New Roman" w:hAnsi="Times New Roman"/>
          <w:color w:val="222222"/>
          <w:sz w:val="24"/>
          <w:szCs w:val="24"/>
          <w:shd w:val="clear" w:color="auto" w:fill="FFFFFF"/>
        </w:rPr>
        <w:t>, 1-20.</w:t>
      </w:r>
    </w:p>
    <w:p w14:paraId="21D27476"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Honigsberg, C. (2020). Forensic accounting. </w:t>
      </w:r>
      <w:r w:rsidRPr="008B1465">
        <w:rPr>
          <w:rFonts w:ascii="Times New Roman" w:hAnsi="Times New Roman"/>
          <w:i/>
          <w:iCs/>
          <w:sz w:val="24"/>
          <w:szCs w:val="24"/>
        </w:rPr>
        <w:t>Annual Review of Law and Social Science</w:t>
      </w:r>
      <w:r w:rsidRPr="008B1465">
        <w:rPr>
          <w:rFonts w:ascii="Times New Roman" w:hAnsi="Times New Roman"/>
          <w:sz w:val="24"/>
          <w:szCs w:val="24"/>
        </w:rPr>
        <w:t>, 16, 147-164.</w:t>
      </w:r>
    </w:p>
    <w:p w14:paraId="21CA873F"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Honigsberg, C., Rajgopal, S., &amp; Srinivasan, S. (2020). The changing landscape of auditors’ liability. </w:t>
      </w:r>
      <w:r w:rsidRPr="008B1465">
        <w:rPr>
          <w:rFonts w:ascii="Times New Roman" w:hAnsi="Times New Roman"/>
          <w:i/>
          <w:iCs/>
          <w:sz w:val="24"/>
          <w:szCs w:val="24"/>
        </w:rPr>
        <w:t>Journal of Law and Economics</w:t>
      </w:r>
      <w:r w:rsidRPr="008B1465">
        <w:rPr>
          <w:rFonts w:ascii="Times New Roman" w:hAnsi="Times New Roman"/>
          <w:sz w:val="24"/>
          <w:szCs w:val="24"/>
        </w:rPr>
        <w:t xml:space="preserve">, 63(2), 367–410. </w:t>
      </w:r>
      <w:hyperlink r:id="rId26" w:history="1">
        <w:r w:rsidRPr="008B1465">
          <w:rPr>
            <w:rStyle w:val="Hyperlink"/>
            <w:rFonts w:ascii="Times New Roman" w:hAnsi="Times New Roman"/>
            <w:color w:val="auto"/>
            <w:sz w:val="24"/>
            <w:szCs w:val="24"/>
            <w:u w:val="none"/>
          </w:rPr>
          <w:t>https://doi.org/10.1086/707238</w:t>
        </w:r>
      </w:hyperlink>
    </w:p>
    <w:p w14:paraId="71B32E16"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Hopwood, W. S., Leiner, J. J., &amp; Young, G. R. (2012). Forensic accounting and fraud examination, 2nd edition. Boston: McGraw-Hill/Irwin.</w:t>
      </w:r>
    </w:p>
    <w:p w14:paraId="01FBF6A9" w14:textId="77777777" w:rsidR="0083389C" w:rsidRDefault="0083389C" w:rsidP="007C7B0B">
      <w:pPr>
        <w:pStyle w:val="NoSpacing"/>
        <w:spacing w:line="360" w:lineRule="auto"/>
        <w:ind w:left="990" w:hanging="900"/>
        <w:jc w:val="both"/>
        <w:rPr>
          <w:rFonts w:ascii="Times New Roman" w:hAnsi="Times New Roman"/>
          <w:color w:val="222222"/>
          <w:sz w:val="24"/>
          <w:szCs w:val="24"/>
          <w:shd w:val="clear" w:color="auto" w:fill="FFFFFF"/>
        </w:rPr>
      </w:pPr>
      <w:r w:rsidRPr="007C7B0B">
        <w:rPr>
          <w:rFonts w:ascii="Times New Roman" w:hAnsi="Times New Roman"/>
          <w:color w:val="222222"/>
          <w:sz w:val="24"/>
          <w:szCs w:val="24"/>
          <w:shd w:val="clear" w:color="auto" w:fill="FFFFFF"/>
        </w:rPr>
        <w:t>Hossain, D. M., Alam, M. S., &amp; Mazumder, M. (2020). Forensic accounting and fraud investigation: a conceptual summary. </w:t>
      </w:r>
      <w:r w:rsidRPr="007C7B0B">
        <w:rPr>
          <w:rFonts w:ascii="Times New Roman" w:hAnsi="Times New Roman"/>
          <w:i/>
          <w:iCs/>
          <w:color w:val="222222"/>
          <w:sz w:val="24"/>
          <w:szCs w:val="24"/>
          <w:shd w:val="clear" w:color="auto" w:fill="FFFFFF"/>
        </w:rPr>
        <w:t>The cost and management</w:t>
      </w:r>
      <w:r w:rsidRPr="007C7B0B">
        <w:rPr>
          <w:rFonts w:ascii="Times New Roman" w:hAnsi="Times New Roman"/>
          <w:color w:val="222222"/>
          <w:sz w:val="24"/>
          <w:szCs w:val="24"/>
          <w:shd w:val="clear" w:color="auto" w:fill="FFFFFF"/>
        </w:rPr>
        <w:t>, </w:t>
      </w:r>
      <w:r w:rsidRPr="007C7B0B">
        <w:rPr>
          <w:rFonts w:ascii="Times New Roman" w:hAnsi="Times New Roman"/>
          <w:i/>
          <w:iCs/>
          <w:color w:val="222222"/>
          <w:sz w:val="24"/>
          <w:szCs w:val="24"/>
          <w:shd w:val="clear" w:color="auto" w:fill="FFFFFF"/>
        </w:rPr>
        <w:t>48</w:t>
      </w:r>
      <w:r w:rsidRPr="007C7B0B">
        <w:rPr>
          <w:rFonts w:ascii="Times New Roman" w:hAnsi="Times New Roman"/>
          <w:color w:val="222222"/>
          <w:sz w:val="24"/>
          <w:szCs w:val="24"/>
          <w:shd w:val="clear" w:color="auto" w:fill="FFFFFF"/>
        </w:rPr>
        <w:t>(6), 4-11.</w:t>
      </w:r>
    </w:p>
    <w:p w14:paraId="3A325DD4"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Howard S. &amp; Sheetz, M. (2006). Forensic Accounting and Fraud Investigation for nonexperts, New Jersey, John Wiley and Sons Inc.</w:t>
      </w:r>
    </w:p>
    <w:p w14:paraId="39465CD8"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Huang, C. J., &amp; Lui, C. J. (2005). Exploration for the relationship between innovation, IT and performance. </w:t>
      </w:r>
      <w:r w:rsidRPr="008B1465">
        <w:rPr>
          <w:rFonts w:ascii="Times New Roman" w:hAnsi="Times New Roman"/>
          <w:i/>
          <w:sz w:val="24"/>
          <w:szCs w:val="24"/>
        </w:rPr>
        <w:t>Journal of Intellectual Capital</w:t>
      </w:r>
      <w:r w:rsidRPr="008B1465">
        <w:rPr>
          <w:rFonts w:ascii="Times New Roman" w:hAnsi="Times New Roman"/>
          <w:sz w:val="24"/>
          <w:szCs w:val="24"/>
        </w:rPr>
        <w:t xml:space="preserve">, 6(2), 237–252. </w:t>
      </w:r>
      <w:hyperlink r:id="rId27" w:history="1">
        <w:r w:rsidRPr="008B1465">
          <w:rPr>
            <w:rStyle w:val="Hyperlink"/>
            <w:rFonts w:ascii="Times New Roman" w:hAnsi="Times New Roman"/>
            <w:color w:val="auto"/>
            <w:sz w:val="24"/>
            <w:szCs w:val="24"/>
            <w:u w:val="none"/>
          </w:rPr>
          <w:t>https://doi.org/10.1108 /14691930510592825</w:t>
        </w:r>
      </w:hyperlink>
    </w:p>
    <w:p w14:paraId="5B64983E"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shd w:val="clear" w:color="auto" w:fill="FFFFFF"/>
        </w:rPr>
        <w:t>Huber, W., &amp; DiGabriele, J. A. (2020). Financial Statement Fraud and the Failure of Corporate Financial Statement Fraud Prediction. </w:t>
      </w:r>
      <w:r w:rsidRPr="008B1465">
        <w:rPr>
          <w:rFonts w:ascii="Times New Roman" w:hAnsi="Times New Roman"/>
          <w:i/>
          <w:iCs/>
          <w:sz w:val="24"/>
          <w:szCs w:val="24"/>
          <w:shd w:val="clear" w:color="auto" w:fill="FFFFFF"/>
        </w:rPr>
        <w:t>James A., Financial Statement Fraud and the Failure of Corporate Financial Statement Fraud Prediction (October 11, 2020)</w:t>
      </w:r>
      <w:r w:rsidRPr="008B1465">
        <w:rPr>
          <w:rFonts w:ascii="Times New Roman" w:hAnsi="Times New Roman"/>
          <w:sz w:val="24"/>
          <w:szCs w:val="24"/>
          <w:shd w:val="clear" w:color="auto" w:fill="FFFFFF"/>
        </w:rPr>
        <w:t>.</w:t>
      </w:r>
      <w:r w:rsidRPr="008B1465">
        <w:rPr>
          <w:rFonts w:ascii="Times New Roman" w:hAnsi="Times New Roman"/>
          <w:sz w:val="24"/>
          <w:szCs w:val="24"/>
        </w:rPr>
        <w:t xml:space="preserve"> </w:t>
      </w:r>
    </w:p>
    <w:p w14:paraId="3D317131" w14:textId="77777777" w:rsidR="0083389C" w:rsidRPr="00465786" w:rsidRDefault="0083389C" w:rsidP="003D289F">
      <w:pPr>
        <w:pStyle w:val="NoSpacing"/>
        <w:spacing w:line="360" w:lineRule="auto"/>
        <w:ind w:left="990" w:hanging="900"/>
        <w:jc w:val="both"/>
        <w:rPr>
          <w:rFonts w:ascii="Times New Roman" w:hAnsi="Times New Roman"/>
          <w:sz w:val="24"/>
          <w:szCs w:val="24"/>
          <w:shd w:val="clear" w:color="auto" w:fill="FFFFFF"/>
        </w:rPr>
      </w:pPr>
      <w:r w:rsidRPr="00465786">
        <w:rPr>
          <w:rFonts w:ascii="Times New Roman" w:hAnsi="Times New Roman"/>
          <w:sz w:val="24"/>
          <w:szCs w:val="24"/>
          <w:shd w:val="clear" w:color="auto" w:fill="FFFFFF"/>
        </w:rPr>
        <w:t xml:space="preserve">Hyder, A., Uddin, B., Siddiqui, H., Naeem, M., &amp; Waheed, A. (2023). </w:t>
      </w:r>
      <w:r>
        <w:rPr>
          <w:rFonts w:ascii="Times New Roman" w:hAnsi="Times New Roman"/>
          <w:sz w:val="24"/>
          <w:szCs w:val="24"/>
          <w:shd w:val="clear" w:color="auto" w:fill="FFFFFF"/>
        </w:rPr>
        <w:t>M</w:t>
      </w:r>
      <w:r w:rsidRPr="00465786">
        <w:rPr>
          <w:rFonts w:ascii="Times New Roman" w:hAnsi="Times New Roman"/>
          <w:sz w:val="24"/>
          <w:szCs w:val="24"/>
          <w:shd w:val="clear" w:color="auto" w:fill="FFFFFF"/>
        </w:rPr>
        <w:t>ediation of reverse logistics in sustainable resources and organizational performance: sustainable resources and organizational performance. </w:t>
      </w:r>
      <w:r w:rsidRPr="00465786">
        <w:rPr>
          <w:rFonts w:ascii="Times New Roman" w:hAnsi="Times New Roman"/>
          <w:i/>
          <w:iCs/>
          <w:sz w:val="24"/>
          <w:szCs w:val="24"/>
          <w:shd w:val="clear" w:color="auto" w:fill="FFFFFF"/>
        </w:rPr>
        <w:t>South Asian Journal of Operations and Logistics</w:t>
      </w:r>
      <w:r w:rsidRPr="00465786">
        <w:rPr>
          <w:rFonts w:ascii="Times New Roman" w:hAnsi="Times New Roman"/>
          <w:sz w:val="24"/>
          <w:szCs w:val="24"/>
          <w:shd w:val="clear" w:color="auto" w:fill="FFFFFF"/>
        </w:rPr>
        <w:t>, </w:t>
      </w:r>
      <w:r w:rsidRPr="00465786">
        <w:rPr>
          <w:rFonts w:ascii="Times New Roman" w:hAnsi="Times New Roman"/>
          <w:i/>
          <w:iCs/>
          <w:sz w:val="24"/>
          <w:szCs w:val="24"/>
          <w:shd w:val="clear" w:color="auto" w:fill="FFFFFF"/>
        </w:rPr>
        <w:t>2</w:t>
      </w:r>
      <w:r w:rsidRPr="00465786">
        <w:rPr>
          <w:rFonts w:ascii="Times New Roman" w:hAnsi="Times New Roman"/>
          <w:sz w:val="24"/>
          <w:szCs w:val="24"/>
          <w:shd w:val="clear" w:color="auto" w:fill="FFFFFF"/>
        </w:rPr>
        <w:t>(1), 11-27.</w:t>
      </w:r>
    </w:p>
    <w:p w14:paraId="2CD04982"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Ibrahim, A. E. A., Elamer, A. A., &amp; Ezat, A. N. (2021). The convergence of big data and accounting: innovative research opportunities. </w:t>
      </w:r>
      <w:r w:rsidRPr="008B1465">
        <w:rPr>
          <w:rFonts w:ascii="Times New Roman" w:hAnsi="Times New Roman"/>
          <w:i/>
          <w:iCs/>
          <w:sz w:val="24"/>
          <w:szCs w:val="24"/>
        </w:rPr>
        <w:t>Technological Forecasting and Social Change</w:t>
      </w:r>
      <w:r w:rsidRPr="008B1465">
        <w:rPr>
          <w:rFonts w:ascii="Times New Roman" w:hAnsi="Times New Roman"/>
          <w:sz w:val="24"/>
          <w:szCs w:val="24"/>
        </w:rPr>
        <w:t>, 173, 121171</w:t>
      </w:r>
    </w:p>
    <w:p w14:paraId="4DA0B87F"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Ibrahim, U., Rose, S. S., &amp; Mohamed, M. (2015). The types, costs, prevention, and detection of occupational fraud: The ACFE perspective. </w:t>
      </w:r>
      <w:r w:rsidRPr="008B1465">
        <w:rPr>
          <w:rFonts w:ascii="Times New Roman" w:hAnsi="Times New Roman"/>
          <w:i/>
          <w:iCs/>
          <w:sz w:val="24"/>
          <w:szCs w:val="24"/>
        </w:rPr>
        <w:t>2</w:t>
      </w:r>
      <w:r w:rsidRPr="008B1465">
        <w:rPr>
          <w:rFonts w:ascii="Times New Roman" w:hAnsi="Times New Roman"/>
          <w:i/>
          <w:iCs/>
          <w:sz w:val="24"/>
          <w:szCs w:val="24"/>
          <w:vertAlign w:val="superscript"/>
        </w:rPr>
        <w:t>nd</w:t>
      </w:r>
      <w:r w:rsidRPr="008B1465">
        <w:rPr>
          <w:rFonts w:ascii="Times New Roman" w:hAnsi="Times New Roman"/>
          <w:i/>
          <w:iCs/>
          <w:sz w:val="24"/>
          <w:szCs w:val="24"/>
        </w:rPr>
        <w:t xml:space="preserve"> International Conference on Accounting Studies</w:t>
      </w:r>
      <w:r w:rsidRPr="008B1465">
        <w:rPr>
          <w:rFonts w:ascii="Times New Roman" w:hAnsi="Times New Roman"/>
          <w:sz w:val="24"/>
          <w:szCs w:val="24"/>
        </w:rPr>
        <w:t xml:space="preserve"> (ICAS) 2015, October 2016, 501–505.</w:t>
      </w:r>
    </w:p>
    <w:p w14:paraId="29D2C9CA"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Ijeoma, B. (2015). Empirical analysis on the use of forensic accounting techniques in curbing creative accounting, </w:t>
      </w:r>
      <w:r w:rsidRPr="008B1465">
        <w:rPr>
          <w:rFonts w:ascii="Times New Roman" w:hAnsi="Times New Roman"/>
          <w:i/>
          <w:iCs/>
          <w:sz w:val="24"/>
          <w:szCs w:val="24"/>
        </w:rPr>
        <w:t>International Journal of Economics, Commerce and Management</w:t>
      </w:r>
      <w:r w:rsidRPr="008B1465">
        <w:rPr>
          <w:rFonts w:ascii="Times New Roman" w:hAnsi="Times New Roman"/>
          <w:sz w:val="24"/>
          <w:szCs w:val="24"/>
        </w:rPr>
        <w:t>, 3(1), 1–20.</w:t>
      </w:r>
    </w:p>
    <w:p w14:paraId="16940235"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Ismail, K., Takim, R., &amp; Nawawi, A. H. (2012). A public sector comparator (PSC) for value for money (VFM) assessment tools. </w:t>
      </w:r>
      <w:r w:rsidRPr="008B1465">
        <w:rPr>
          <w:rFonts w:ascii="Times New Roman" w:hAnsi="Times New Roman"/>
          <w:i/>
          <w:iCs/>
          <w:sz w:val="24"/>
          <w:szCs w:val="24"/>
          <w:shd w:val="clear" w:color="auto" w:fill="FFFFFF"/>
        </w:rPr>
        <w:t>Asian Social Science</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8</w:t>
      </w:r>
      <w:r w:rsidRPr="008B1465">
        <w:rPr>
          <w:rFonts w:ascii="Times New Roman" w:hAnsi="Times New Roman"/>
          <w:sz w:val="24"/>
          <w:szCs w:val="24"/>
          <w:shd w:val="clear" w:color="auto" w:fill="FFFFFF"/>
        </w:rPr>
        <w:t>(7), 192</w:t>
      </w:r>
    </w:p>
    <w:p w14:paraId="47256B18" w14:textId="77777777" w:rsidR="0083389C" w:rsidRPr="00465786" w:rsidRDefault="0083389C" w:rsidP="003D289F">
      <w:pPr>
        <w:pStyle w:val="NoSpacing"/>
        <w:spacing w:line="360" w:lineRule="auto"/>
        <w:ind w:left="990" w:hanging="900"/>
        <w:jc w:val="both"/>
        <w:rPr>
          <w:rFonts w:ascii="Times New Roman" w:hAnsi="Times New Roman"/>
          <w:sz w:val="24"/>
          <w:szCs w:val="24"/>
          <w:shd w:val="clear" w:color="auto" w:fill="FFFFFF"/>
        </w:rPr>
      </w:pPr>
      <w:r w:rsidRPr="00465786">
        <w:rPr>
          <w:rFonts w:ascii="Times New Roman" w:hAnsi="Times New Roman"/>
          <w:sz w:val="24"/>
          <w:szCs w:val="24"/>
          <w:shd w:val="clear" w:color="auto" w:fill="FFFFFF"/>
        </w:rPr>
        <w:t>Jacob, O. N. (2020). Administration of public universities in Nigeria: Problems and solutions. </w:t>
      </w:r>
      <w:r w:rsidRPr="00465786">
        <w:rPr>
          <w:rFonts w:ascii="Times New Roman" w:hAnsi="Times New Roman"/>
          <w:i/>
          <w:iCs/>
          <w:sz w:val="24"/>
          <w:szCs w:val="24"/>
          <w:shd w:val="clear" w:color="auto" w:fill="FFFFFF"/>
        </w:rPr>
        <w:t>Jurnal Sinestesia</w:t>
      </w:r>
      <w:r w:rsidRPr="00465786">
        <w:rPr>
          <w:rFonts w:ascii="Times New Roman" w:hAnsi="Times New Roman"/>
          <w:sz w:val="24"/>
          <w:szCs w:val="24"/>
          <w:shd w:val="clear" w:color="auto" w:fill="FFFFFF"/>
        </w:rPr>
        <w:t>, </w:t>
      </w:r>
      <w:r w:rsidRPr="00465786">
        <w:rPr>
          <w:rFonts w:ascii="Times New Roman" w:hAnsi="Times New Roman"/>
          <w:i/>
          <w:iCs/>
          <w:sz w:val="24"/>
          <w:szCs w:val="24"/>
          <w:shd w:val="clear" w:color="auto" w:fill="FFFFFF"/>
        </w:rPr>
        <w:t>10</w:t>
      </w:r>
      <w:r w:rsidRPr="00465786">
        <w:rPr>
          <w:rFonts w:ascii="Times New Roman" w:hAnsi="Times New Roman"/>
          <w:sz w:val="24"/>
          <w:szCs w:val="24"/>
          <w:shd w:val="clear" w:color="auto" w:fill="FFFFFF"/>
        </w:rPr>
        <w:t>(2), 86-94.</w:t>
      </w:r>
    </w:p>
    <w:p w14:paraId="018A4845"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Jafaru, J. (2011). Forensic accounting in Nigeria a new paradigm for stakeholders. </w:t>
      </w:r>
      <w:r w:rsidRPr="008B1465">
        <w:rPr>
          <w:rFonts w:ascii="Times New Roman" w:hAnsi="Times New Roman"/>
          <w:i/>
          <w:iCs/>
          <w:sz w:val="24"/>
          <w:szCs w:val="24"/>
        </w:rPr>
        <w:t>The</w:t>
      </w:r>
      <w:r w:rsidRPr="008B1465">
        <w:rPr>
          <w:rFonts w:ascii="Times New Roman" w:hAnsi="Times New Roman"/>
          <w:sz w:val="24"/>
          <w:szCs w:val="24"/>
        </w:rPr>
        <w:t xml:space="preserve"> </w:t>
      </w:r>
      <w:r w:rsidRPr="008B1465">
        <w:rPr>
          <w:rFonts w:ascii="Times New Roman" w:hAnsi="Times New Roman"/>
          <w:i/>
          <w:iCs/>
          <w:sz w:val="24"/>
          <w:szCs w:val="24"/>
        </w:rPr>
        <w:t>Explorer</w:t>
      </w:r>
      <w:r w:rsidRPr="008B1465">
        <w:rPr>
          <w:rFonts w:ascii="Times New Roman" w:hAnsi="Times New Roman"/>
          <w:sz w:val="24"/>
          <w:szCs w:val="24"/>
        </w:rPr>
        <w:t>, 2(1), 236-239.</w:t>
      </w:r>
    </w:p>
    <w:p w14:paraId="31033CA9"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Japos, G.</w:t>
      </w:r>
      <w:r>
        <w:rPr>
          <w:rFonts w:ascii="Times New Roman" w:hAnsi="Times New Roman"/>
          <w:sz w:val="24"/>
          <w:szCs w:val="24"/>
        </w:rPr>
        <w:t xml:space="preserve"> </w:t>
      </w:r>
      <w:r w:rsidRPr="008B1465">
        <w:rPr>
          <w:rFonts w:ascii="Times New Roman" w:hAnsi="Times New Roman"/>
          <w:sz w:val="24"/>
          <w:szCs w:val="24"/>
        </w:rPr>
        <w:t>V. and Estrada, R.</w:t>
      </w:r>
      <w:r>
        <w:rPr>
          <w:rFonts w:ascii="Times New Roman" w:hAnsi="Times New Roman"/>
          <w:sz w:val="24"/>
          <w:szCs w:val="24"/>
        </w:rPr>
        <w:t xml:space="preserve"> </w:t>
      </w:r>
      <w:r w:rsidRPr="008B1465">
        <w:rPr>
          <w:rFonts w:ascii="Times New Roman" w:hAnsi="Times New Roman"/>
          <w:sz w:val="24"/>
          <w:szCs w:val="24"/>
        </w:rPr>
        <w:t xml:space="preserve">D. </w:t>
      </w:r>
      <w:r>
        <w:rPr>
          <w:rFonts w:ascii="Times New Roman" w:hAnsi="Times New Roman"/>
          <w:sz w:val="24"/>
          <w:szCs w:val="24"/>
        </w:rPr>
        <w:t>(</w:t>
      </w:r>
      <w:r w:rsidRPr="008B1465">
        <w:rPr>
          <w:rFonts w:ascii="Times New Roman" w:hAnsi="Times New Roman"/>
          <w:sz w:val="24"/>
          <w:szCs w:val="24"/>
        </w:rPr>
        <w:t>2014</w:t>
      </w:r>
      <w:r>
        <w:rPr>
          <w:rFonts w:ascii="Times New Roman" w:hAnsi="Times New Roman"/>
          <w:sz w:val="24"/>
          <w:szCs w:val="24"/>
        </w:rPr>
        <w:t>)</w:t>
      </w:r>
      <w:r w:rsidRPr="008B1465">
        <w:rPr>
          <w:rFonts w:ascii="Times New Roman" w:hAnsi="Times New Roman"/>
          <w:sz w:val="24"/>
          <w:szCs w:val="24"/>
        </w:rPr>
        <w:t xml:space="preserve">. GDP Per Capita, Economic Freedom Index, Political Culture and Freedom of the Press Index as Determinants of Corruption Perception Index: A Global Study. </w:t>
      </w:r>
      <w:r w:rsidRPr="008B1465">
        <w:rPr>
          <w:rFonts w:ascii="Times New Roman" w:hAnsi="Times New Roman"/>
          <w:i/>
          <w:iCs/>
          <w:sz w:val="24"/>
          <w:szCs w:val="24"/>
        </w:rPr>
        <w:t>International Journal on Graft and Corruption Research</w:t>
      </w:r>
      <w:r w:rsidRPr="008B1465">
        <w:rPr>
          <w:rFonts w:ascii="Times New Roman" w:hAnsi="Times New Roman"/>
          <w:sz w:val="24"/>
          <w:szCs w:val="24"/>
        </w:rPr>
        <w:t xml:space="preserve">, 1(1), doi: </w:t>
      </w:r>
      <w:hyperlink r:id="rId28" w:history="1">
        <w:r w:rsidRPr="008B1465">
          <w:rPr>
            <w:rStyle w:val="Hyperlink"/>
            <w:rFonts w:ascii="Times New Roman" w:hAnsi="Times New Roman"/>
            <w:color w:val="auto"/>
            <w:sz w:val="24"/>
            <w:szCs w:val="24"/>
            <w:u w:val="none"/>
          </w:rPr>
          <w:t>https://doi.org/10.7719/ijgc.v1i1.230</w:t>
        </w:r>
      </w:hyperlink>
      <w:r w:rsidRPr="008B1465">
        <w:rPr>
          <w:rFonts w:ascii="Times New Roman" w:hAnsi="Times New Roman"/>
          <w:sz w:val="24"/>
          <w:szCs w:val="24"/>
        </w:rPr>
        <w:t>.</w:t>
      </w:r>
    </w:p>
    <w:p w14:paraId="643ADEB5"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shd w:val="clear" w:color="auto" w:fill="FFFFFF"/>
        </w:rPr>
        <w:t xml:space="preserve">Jebiwott, A. C., &amp; Njenga Gitahi, H. S. (2022). Strategic Procurement Management Practices and Performance of Real Estate firms in Nairobi County, Kenya, </w:t>
      </w:r>
      <w:r w:rsidRPr="008B1465">
        <w:rPr>
          <w:rFonts w:ascii="Times New Roman" w:hAnsi="Times New Roman"/>
          <w:i/>
          <w:iCs/>
          <w:sz w:val="24"/>
          <w:szCs w:val="24"/>
        </w:rPr>
        <w:t>East African Scholars Journal of Economics and Business Management,</w:t>
      </w:r>
      <w:r w:rsidRPr="008B1465">
        <w:rPr>
          <w:rFonts w:ascii="Times New Roman" w:hAnsi="Times New Roman"/>
          <w:sz w:val="24"/>
          <w:szCs w:val="24"/>
        </w:rPr>
        <w:t xml:space="preserve"> 5(9), 256-262.</w:t>
      </w:r>
    </w:p>
    <w:p w14:paraId="417EBDC0" w14:textId="77777777" w:rsidR="0083389C" w:rsidRDefault="0083389C" w:rsidP="007C7B0B">
      <w:pPr>
        <w:pStyle w:val="NoSpacing"/>
        <w:spacing w:line="360" w:lineRule="auto"/>
        <w:ind w:left="990" w:hanging="900"/>
        <w:jc w:val="both"/>
        <w:rPr>
          <w:rFonts w:ascii="Times New Roman" w:hAnsi="Times New Roman"/>
          <w:color w:val="222222"/>
          <w:sz w:val="24"/>
          <w:szCs w:val="24"/>
          <w:shd w:val="clear" w:color="auto" w:fill="FFFFFF"/>
        </w:rPr>
      </w:pPr>
      <w:r w:rsidRPr="007C7B0B">
        <w:rPr>
          <w:rFonts w:ascii="Times New Roman" w:hAnsi="Times New Roman"/>
          <w:color w:val="222222"/>
          <w:sz w:val="24"/>
          <w:szCs w:val="24"/>
          <w:shd w:val="clear" w:color="auto" w:fill="FFFFFF"/>
        </w:rPr>
        <w:t>Jimoh, L. A. (2022). </w:t>
      </w:r>
      <w:r w:rsidRPr="007C7B0B">
        <w:rPr>
          <w:rFonts w:ascii="Times New Roman" w:hAnsi="Times New Roman"/>
          <w:i/>
          <w:iCs/>
          <w:color w:val="222222"/>
          <w:sz w:val="24"/>
          <w:szCs w:val="24"/>
          <w:shd w:val="clear" w:color="auto" w:fill="FFFFFF"/>
        </w:rPr>
        <w:t>Forensic Accounting Techniques, Perceived Institutional Quality, Taxpayers' Behaviours and Tax Fraud Management in South West Nigeria</w:t>
      </w:r>
      <w:r w:rsidRPr="007C7B0B">
        <w:rPr>
          <w:rFonts w:ascii="Times New Roman" w:hAnsi="Times New Roman"/>
          <w:color w:val="222222"/>
          <w:sz w:val="24"/>
          <w:szCs w:val="24"/>
          <w:shd w:val="clear" w:color="auto" w:fill="FFFFFF"/>
        </w:rPr>
        <w:t> (Doctoral dissertation, Kwara State University (Nigeria).</w:t>
      </w:r>
    </w:p>
    <w:p w14:paraId="364257CD"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Kalubanga, M., Kakwezi, P., &amp; Kayiise, D. (2013). The effects of fraudulent procurement practices on public procurement performance. </w:t>
      </w:r>
      <w:r w:rsidRPr="008B1465">
        <w:rPr>
          <w:rFonts w:ascii="Times New Roman" w:hAnsi="Times New Roman"/>
          <w:i/>
          <w:iCs/>
          <w:sz w:val="24"/>
          <w:szCs w:val="24"/>
        </w:rPr>
        <w:t>International Journal of Business and Behavioral Sciences</w:t>
      </w:r>
      <w:r w:rsidRPr="008B1465">
        <w:rPr>
          <w:rFonts w:ascii="Times New Roman" w:hAnsi="Times New Roman"/>
          <w:sz w:val="24"/>
          <w:szCs w:val="24"/>
        </w:rPr>
        <w:t>, 3(1), 17-27.</w:t>
      </w:r>
    </w:p>
    <w:p w14:paraId="2A2F2047" w14:textId="77777777" w:rsidR="0083389C" w:rsidRDefault="0083389C" w:rsidP="007C7B0B">
      <w:pPr>
        <w:pStyle w:val="NoSpacing"/>
        <w:spacing w:line="360" w:lineRule="auto"/>
        <w:ind w:left="990" w:hanging="900"/>
        <w:jc w:val="both"/>
        <w:rPr>
          <w:rFonts w:ascii="Times New Roman" w:hAnsi="Times New Roman"/>
          <w:color w:val="222222"/>
          <w:sz w:val="24"/>
          <w:szCs w:val="24"/>
          <w:shd w:val="clear" w:color="auto" w:fill="FFFFFF"/>
        </w:rPr>
      </w:pPr>
      <w:r w:rsidRPr="007C7B0B">
        <w:rPr>
          <w:rFonts w:ascii="Times New Roman" w:hAnsi="Times New Roman"/>
          <w:color w:val="222222"/>
          <w:sz w:val="24"/>
          <w:szCs w:val="24"/>
          <w:shd w:val="clear" w:color="auto" w:fill="FFFFFF"/>
        </w:rPr>
        <w:t>Karuti, J. K. (2020). </w:t>
      </w:r>
      <w:r w:rsidRPr="007C7B0B">
        <w:rPr>
          <w:rFonts w:ascii="Times New Roman" w:hAnsi="Times New Roman"/>
          <w:i/>
          <w:iCs/>
          <w:color w:val="222222"/>
          <w:sz w:val="24"/>
          <w:szCs w:val="24"/>
          <w:shd w:val="clear" w:color="auto" w:fill="FFFFFF"/>
        </w:rPr>
        <w:t>Forensic accounting and fraud control in county governments in Kenya: evidence from counties in mt. Kenya region</w:t>
      </w:r>
      <w:r w:rsidRPr="007C7B0B">
        <w:rPr>
          <w:rFonts w:ascii="Times New Roman" w:hAnsi="Times New Roman"/>
          <w:color w:val="222222"/>
          <w:sz w:val="24"/>
          <w:szCs w:val="24"/>
          <w:shd w:val="clear" w:color="auto" w:fill="FFFFFF"/>
        </w:rPr>
        <w:t> (Doctoral dissertation, KeMU).</w:t>
      </w:r>
    </w:p>
    <w:p w14:paraId="6CF5FE3C"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Kassem, R. and Higson, A. (2012), The new fraud triangle model. </w:t>
      </w:r>
      <w:r w:rsidRPr="008B1465">
        <w:rPr>
          <w:rFonts w:ascii="Times New Roman" w:hAnsi="Times New Roman"/>
          <w:i/>
          <w:iCs/>
          <w:sz w:val="24"/>
          <w:szCs w:val="24"/>
        </w:rPr>
        <w:t>Journal of Emerging Trends in Economics and Management Sciences</w:t>
      </w:r>
      <w:r w:rsidRPr="008B1465">
        <w:rPr>
          <w:rFonts w:ascii="Times New Roman" w:hAnsi="Times New Roman"/>
          <w:sz w:val="24"/>
          <w:szCs w:val="24"/>
        </w:rPr>
        <w:t>, 3(3), 191</w:t>
      </w:r>
    </w:p>
    <w:p w14:paraId="342737B6"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Kasum, A. (2009). The relevance of forensic accounting to financial crimes in private and public sectors of third world economies: A study from Nigeria. In </w:t>
      </w:r>
      <w:r w:rsidRPr="008B1465">
        <w:rPr>
          <w:rFonts w:ascii="Times New Roman" w:hAnsi="Times New Roman"/>
          <w:i/>
          <w:iCs/>
          <w:sz w:val="24"/>
          <w:szCs w:val="24"/>
          <w:shd w:val="clear" w:color="auto" w:fill="FFFFFF"/>
        </w:rPr>
        <w:t>Proceedings of the 1st International Conference on Governance Fraud Ethics and Social Responsibility</w:t>
      </w:r>
    </w:p>
    <w:p w14:paraId="5F911AF4" w14:textId="77777777" w:rsidR="0083389C" w:rsidRDefault="0083389C" w:rsidP="007C7B0B">
      <w:pPr>
        <w:pStyle w:val="NoSpacing"/>
        <w:spacing w:line="360" w:lineRule="auto"/>
        <w:ind w:left="990" w:hanging="900"/>
        <w:jc w:val="both"/>
        <w:rPr>
          <w:rFonts w:ascii="Times New Roman" w:hAnsi="Times New Roman"/>
          <w:color w:val="222222"/>
          <w:sz w:val="24"/>
          <w:szCs w:val="24"/>
          <w:shd w:val="clear" w:color="auto" w:fill="FFFFFF"/>
        </w:rPr>
      </w:pPr>
      <w:r w:rsidRPr="007C7B0B">
        <w:rPr>
          <w:rFonts w:ascii="Times New Roman" w:hAnsi="Times New Roman"/>
          <w:color w:val="222222"/>
          <w:sz w:val="24"/>
          <w:szCs w:val="24"/>
          <w:shd w:val="clear" w:color="auto" w:fill="FFFFFF"/>
        </w:rPr>
        <w:t>Kaur, B., Sood, K., &amp; Grima, S. (2022). A systematic review on forensic accounting and its contribution towards fraud detection and prevention. </w:t>
      </w:r>
      <w:r w:rsidRPr="007C7B0B">
        <w:rPr>
          <w:rFonts w:ascii="Times New Roman" w:hAnsi="Times New Roman"/>
          <w:i/>
          <w:iCs/>
          <w:color w:val="222222"/>
          <w:sz w:val="24"/>
          <w:szCs w:val="24"/>
          <w:shd w:val="clear" w:color="auto" w:fill="FFFFFF"/>
        </w:rPr>
        <w:t>Journal of Financial Regulation and Compliance</w:t>
      </w:r>
      <w:r w:rsidRPr="007C7B0B">
        <w:rPr>
          <w:rFonts w:ascii="Times New Roman" w:hAnsi="Times New Roman"/>
          <w:color w:val="222222"/>
          <w:sz w:val="24"/>
          <w:szCs w:val="24"/>
          <w:shd w:val="clear" w:color="auto" w:fill="FFFFFF"/>
        </w:rPr>
        <w:t>, </w:t>
      </w:r>
      <w:r w:rsidRPr="007C7B0B">
        <w:rPr>
          <w:rFonts w:ascii="Times New Roman" w:hAnsi="Times New Roman"/>
          <w:i/>
          <w:iCs/>
          <w:color w:val="222222"/>
          <w:sz w:val="24"/>
          <w:szCs w:val="24"/>
          <w:shd w:val="clear" w:color="auto" w:fill="FFFFFF"/>
        </w:rPr>
        <w:t>31</w:t>
      </w:r>
      <w:r w:rsidRPr="007C7B0B">
        <w:rPr>
          <w:rFonts w:ascii="Times New Roman" w:hAnsi="Times New Roman"/>
          <w:color w:val="222222"/>
          <w:sz w:val="24"/>
          <w:szCs w:val="24"/>
          <w:shd w:val="clear" w:color="auto" w:fill="FFFFFF"/>
        </w:rPr>
        <w:t>(1), 60-95.</w:t>
      </w:r>
    </w:p>
    <w:p w14:paraId="5CC3FAAD" w14:textId="77777777" w:rsidR="0083389C" w:rsidRPr="00465786" w:rsidRDefault="0083389C" w:rsidP="003D289F">
      <w:pPr>
        <w:pStyle w:val="NoSpacing"/>
        <w:spacing w:line="360" w:lineRule="auto"/>
        <w:ind w:left="990" w:hanging="900"/>
        <w:jc w:val="both"/>
        <w:rPr>
          <w:rFonts w:ascii="Times New Roman" w:hAnsi="Times New Roman"/>
          <w:sz w:val="24"/>
          <w:szCs w:val="24"/>
          <w:shd w:val="clear" w:color="auto" w:fill="FFFFFF"/>
        </w:rPr>
      </w:pPr>
      <w:r w:rsidRPr="00465786">
        <w:rPr>
          <w:rFonts w:ascii="Times New Roman" w:hAnsi="Times New Roman"/>
          <w:sz w:val="24"/>
          <w:szCs w:val="24"/>
          <w:shd w:val="clear" w:color="auto" w:fill="FFFFFF"/>
        </w:rPr>
        <w:t>Khan, R., Basu, B. L., Bashir, A., &amp; Uddin, M. E. (2021). Online Instruction during COVID-19 at Public Universities in Bangladesh: Teacher and Student Voices. </w:t>
      </w:r>
      <w:r w:rsidRPr="00465786">
        <w:rPr>
          <w:rFonts w:ascii="Times New Roman" w:hAnsi="Times New Roman"/>
          <w:i/>
          <w:iCs/>
          <w:sz w:val="24"/>
          <w:szCs w:val="24"/>
          <w:shd w:val="clear" w:color="auto" w:fill="FFFFFF"/>
        </w:rPr>
        <w:t>TESL-EJ</w:t>
      </w:r>
      <w:r w:rsidRPr="00465786">
        <w:rPr>
          <w:rFonts w:ascii="Times New Roman" w:hAnsi="Times New Roman"/>
          <w:sz w:val="24"/>
          <w:szCs w:val="24"/>
          <w:shd w:val="clear" w:color="auto" w:fill="FFFFFF"/>
        </w:rPr>
        <w:t>, </w:t>
      </w:r>
      <w:r w:rsidRPr="00465786">
        <w:rPr>
          <w:rFonts w:ascii="Times New Roman" w:hAnsi="Times New Roman"/>
          <w:i/>
          <w:iCs/>
          <w:sz w:val="24"/>
          <w:szCs w:val="24"/>
          <w:shd w:val="clear" w:color="auto" w:fill="FFFFFF"/>
        </w:rPr>
        <w:t>25</w:t>
      </w:r>
      <w:r w:rsidRPr="00465786">
        <w:rPr>
          <w:rFonts w:ascii="Times New Roman" w:hAnsi="Times New Roman"/>
          <w:sz w:val="24"/>
          <w:szCs w:val="24"/>
          <w:shd w:val="clear" w:color="auto" w:fill="FFFFFF"/>
        </w:rPr>
        <w:t>(1), n1.</w:t>
      </w:r>
    </w:p>
    <w:p w14:paraId="6574983C"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Khersiat, O. M. (2018). The Role of Forensic Accounting in Maintaining Public Money and Combating Corruption in the Jordanian Public Sector. </w:t>
      </w:r>
      <w:r w:rsidRPr="008B1465">
        <w:rPr>
          <w:rFonts w:ascii="Times New Roman" w:hAnsi="Times New Roman"/>
          <w:i/>
          <w:iCs/>
          <w:sz w:val="24"/>
          <w:szCs w:val="24"/>
        </w:rPr>
        <w:t>International Business Research</w:t>
      </w:r>
      <w:r w:rsidRPr="008B1465">
        <w:rPr>
          <w:rFonts w:ascii="Times New Roman" w:hAnsi="Times New Roman"/>
          <w:sz w:val="24"/>
          <w:szCs w:val="24"/>
        </w:rPr>
        <w:t xml:space="preserve">, 11(3), 66. </w:t>
      </w:r>
      <w:hyperlink r:id="rId29" w:history="1">
        <w:r w:rsidRPr="008B1465">
          <w:rPr>
            <w:rStyle w:val="Hyperlink"/>
            <w:rFonts w:ascii="Times New Roman" w:hAnsi="Times New Roman"/>
            <w:color w:val="auto"/>
            <w:sz w:val="24"/>
            <w:szCs w:val="24"/>
            <w:u w:val="none"/>
          </w:rPr>
          <w:t>https://doi.org/10.5539/ibr.v11n3p66</w:t>
        </w:r>
      </w:hyperlink>
    </w:p>
    <w:p w14:paraId="45012A63"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Khersiat, O. M. (2018). The role of the forensic accountant in the detection of tax fraud in financial statements: A survey study in the Jordanian accounting and auditing offices and firms. </w:t>
      </w:r>
      <w:r w:rsidRPr="008B1465">
        <w:rPr>
          <w:rFonts w:ascii="Times New Roman" w:hAnsi="Times New Roman"/>
          <w:i/>
          <w:iCs/>
          <w:sz w:val="24"/>
          <w:szCs w:val="24"/>
        </w:rPr>
        <w:t>International Journal of Economics and Finance</w:t>
      </w:r>
      <w:r w:rsidRPr="008B1465">
        <w:rPr>
          <w:rFonts w:ascii="Times New Roman" w:hAnsi="Times New Roman"/>
          <w:sz w:val="24"/>
          <w:szCs w:val="24"/>
        </w:rPr>
        <w:t>, 10(5), 145-153.</w:t>
      </w:r>
    </w:p>
    <w:p w14:paraId="58C3E3B7" w14:textId="77777777" w:rsidR="0083389C" w:rsidRDefault="0083389C" w:rsidP="007C7B0B">
      <w:pPr>
        <w:pStyle w:val="NoSpacing"/>
        <w:spacing w:line="360" w:lineRule="auto"/>
        <w:ind w:left="990" w:hanging="900"/>
        <w:jc w:val="both"/>
        <w:rPr>
          <w:rFonts w:ascii="Times New Roman" w:hAnsi="Times New Roman"/>
          <w:color w:val="222222"/>
          <w:sz w:val="24"/>
          <w:szCs w:val="24"/>
          <w:shd w:val="clear" w:color="auto" w:fill="FFFFFF"/>
        </w:rPr>
      </w:pPr>
      <w:r w:rsidRPr="007C7B0B">
        <w:rPr>
          <w:rFonts w:ascii="Times New Roman" w:hAnsi="Times New Roman"/>
          <w:color w:val="222222"/>
          <w:sz w:val="24"/>
          <w:szCs w:val="24"/>
          <w:shd w:val="clear" w:color="auto" w:fill="FFFFFF"/>
        </w:rPr>
        <w:t>Kirkcaldy, H. (2020). </w:t>
      </w:r>
      <w:r w:rsidRPr="007C7B0B">
        <w:rPr>
          <w:rFonts w:ascii="Times New Roman" w:hAnsi="Times New Roman"/>
          <w:i/>
          <w:iCs/>
          <w:color w:val="222222"/>
          <w:sz w:val="24"/>
          <w:szCs w:val="24"/>
          <w:shd w:val="clear" w:color="auto" w:fill="FFFFFF"/>
        </w:rPr>
        <w:t>Professional misconduct charges against a group of South African psychologists: An investigation of experiences, coping and meaning making</w:t>
      </w:r>
      <w:r w:rsidRPr="007C7B0B">
        <w:rPr>
          <w:rFonts w:ascii="Times New Roman" w:hAnsi="Times New Roman"/>
          <w:color w:val="222222"/>
          <w:sz w:val="24"/>
          <w:szCs w:val="24"/>
          <w:shd w:val="clear" w:color="auto" w:fill="FFFFFF"/>
        </w:rPr>
        <w:t> (Doctoral dissertation, North-West University (South-Africa).</w:t>
      </w:r>
    </w:p>
    <w:p w14:paraId="6E03D5D2" w14:textId="77777777" w:rsidR="0083389C" w:rsidRDefault="0083389C" w:rsidP="007C7B0B">
      <w:pPr>
        <w:pStyle w:val="NoSpacing"/>
        <w:spacing w:line="360" w:lineRule="auto"/>
        <w:ind w:left="990" w:hanging="900"/>
        <w:jc w:val="both"/>
        <w:rPr>
          <w:rFonts w:ascii="Times New Roman" w:hAnsi="Times New Roman"/>
          <w:color w:val="222222"/>
          <w:sz w:val="24"/>
          <w:szCs w:val="24"/>
          <w:shd w:val="clear" w:color="auto" w:fill="FFFFFF"/>
        </w:rPr>
      </w:pPr>
      <w:r w:rsidRPr="007C7B0B">
        <w:rPr>
          <w:rFonts w:ascii="Times New Roman" w:hAnsi="Times New Roman"/>
          <w:color w:val="222222"/>
          <w:sz w:val="24"/>
          <w:szCs w:val="24"/>
          <w:shd w:val="clear" w:color="auto" w:fill="FFFFFF"/>
        </w:rPr>
        <w:t>Klinger, G. D., Adams, J., &amp; Howley, K. (2022). </w:t>
      </w:r>
      <w:r w:rsidRPr="007C7B0B">
        <w:rPr>
          <w:rFonts w:ascii="Times New Roman" w:hAnsi="Times New Roman"/>
          <w:i/>
          <w:iCs/>
          <w:color w:val="222222"/>
          <w:sz w:val="24"/>
          <w:szCs w:val="24"/>
          <w:shd w:val="clear" w:color="auto" w:fill="FFFFFF"/>
        </w:rPr>
        <w:t>Money Talks: Alan Greenspan's Free Market Rhetoric and the Tragic Legacy of Reaganomics</w:t>
      </w:r>
      <w:r w:rsidRPr="007C7B0B">
        <w:rPr>
          <w:rFonts w:ascii="Times New Roman" w:hAnsi="Times New Roman"/>
          <w:color w:val="222222"/>
          <w:sz w:val="24"/>
          <w:szCs w:val="24"/>
          <w:shd w:val="clear" w:color="auto" w:fill="FFFFFF"/>
        </w:rPr>
        <w:t>. Springer Nature.</w:t>
      </w:r>
    </w:p>
    <w:p w14:paraId="242EBA2C"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Koh, A. N., Arokiasamy, L., &amp; Suat, C. L. A. (2009). Forensic accounting: Public acceptance towards occurrence of fraud detection. </w:t>
      </w:r>
      <w:r w:rsidRPr="008B1465">
        <w:rPr>
          <w:rFonts w:ascii="Times New Roman" w:hAnsi="Times New Roman"/>
          <w:i/>
          <w:iCs/>
          <w:sz w:val="24"/>
          <w:szCs w:val="24"/>
        </w:rPr>
        <w:t>International journal of business and management,</w:t>
      </w:r>
      <w:r w:rsidRPr="008B1465">
        <w:rPr>
          <w:rFonts w:ascii="Times New Roman" w:hAnsi="Times New Roman"/>
          <w:sz w:val="24"/>
          <w:szCs w:val="24"/>
        </w:rPr>
        <w:t xml:space="preserve"> 4(11), 145-149.</w:t>
      </w:r>
    </w:p>
    <w:p w14:paraId="2FA8FE94"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Koo, H. (2018). 5. The Interplay of State, Social Class, and World System in East Asian Development: The Cases of South Korea and Taiwan. In The political economy of the new Asian industrialism. </w:t>
      </w:r>
      <w:r w:rsidRPr="008B1465">
        <w:rPr>
          <w:rFonts w:ascii="Times New Roman" w:hAnsi="Times New Roman"/>
          <w:i/>
          <w:iCs/>
          <w:sz w:val="24"/>
          <w:szCs w:val="24"/>
        </w:rPr>
        <w:t>Cornell University Press</w:t>
      </w:r>
      <w:r w:rsidRPr="008B1465">
        <w:rPr>
          <w:rFonts w:ascii="Times New Roman" w:hAnsi="Times New Roman"/>
          <w:sz w:val="24"/>
          <w:szCs w:val="24"/>
        </w:rPr>
        <w:t>, 165-181.</w:t>
      </w:r>
    </w:p>
    <w:p w14:paraId="013B5062" w14:textId="77777777" w:rsidR="0083389C" w:rsidRDefault="0083389C" w:rsidP="007C7B0B">
      <w:pPr>
        <w:pStyle w:val="NoSpacing"/>
        <w:spacing w:line="360" w:lineRule="auto"/>
        <w:ind w:left="990" w:hanging="900"/>
        <w:jc w:val="both"/>
        <w:rPr>
          <w:rFonts w:ascii="Times New Roman" w:hAnsi="Times New Roman"/>
          <w:color w:val="222222"/>
          <w:sz w:val="24"/>
          <w:szCs w:val="24"/>
          <w:shd w:val="clear" w:color="auto" w:fill="FFFFFF"/>
        </w:rPr>
      </w:pPr>
      <w:r w:rsidRPr="007C7B0B">
        <w:rPr>
          <w:rFonts w:ascii="Times New Roman" w:hAnsi="Times New Roman"/>
          <w:color w:val="222222"/>
          <w:sz w:val="24"/>
          <w:szCs w:val="24"/>
          <w:shd w:val="clear" w:color="auto" w:fill="FFFFFF"/>
        </w:rPr>
        <w:t>Kose, M. A., Nagle, P., Ohnsorge, F., &amp; Sugawara, N. (2021). </w:t>
      </w:r>
      <w:r w:rsidRPr="007C7B0B">
        <w:rPr>
          <w:rFonts w:ascii="Times New Roman" w:hAnsi="Times New Roman"/>
          <w:i/>
          <w:iCs/>
          <w:color w:val="222222"/>
          <w:sz w:val="24"/>
          <w:szCs w:val="24"/>
          <w:shd w:val="clear" w:color="auto" w:fill="FFFFFF"/>
        </w:rPr>
        <w:t>Global waves of debt: Causes and consequences</w:t>
      </w:r>
      <w:r w:rsidRPr="007C7B0B">
        <w:rPr>
          <w:rFonts w:ascii="Times New Roman" w:hAnsi="Times New Roman"/>
          <w:color w:val="222222"/>
          <w:sz w:val="24"/>
          <w:szCs w:val="24"/>
          <w:shd w:val="clear" w:color="auto" w:fill="FFFFFF"/>
        </w:rPr>
        <w:t>. World Bank Publications.</w:t>
      </w:r>
    </w:p>
    <w:p w14:paraId="5B876032" w14:textId="77777777" w:rsidR="0083389C" w:rsidRDefault="0083389C" w:rsidP="007C7B0B">
      <w:pPr>
        <w:pStyle w:val="NoSpacing"/>
        <w:spacing w:line="360" w:lineRule="auto"/>
        <w:ind w:left="990" w:hanging="900"/>
        <w:jc w:val="both"/>
        <w:rPr>
          <w:rFonts w:ascii="Times New Roman" w:hAnsi="Times New Roman"/>
          <w:color w:val="222222"/>
          <w:sz w:val="24"/>
          <w:szCs w:val="24"/>
          <w:shd w:val="clear" w:color="auto" w:fill="FFFFFF"/>
        </w:rPr>
      </w:pPr>
      <w:r w:rsidRPr="007C7B0B">
        <w:rPr>
          <w:rFonts w:ascii="Times New Roman" w:hAnsi="Times New Roman"/>
          <w:color w:val="222222"/>
          <w:sz w:val="24"/>
          <w:szCs w:val="24"/>
          <w:shd w:val="clear" w:color="auto" w:fill="FFFFFF"/>
        </w:rPr>
        <w:t>Kouadio, H. K., &amp; Gakpa, L. L. (2022). Do economic growth and institutional quality reduce poverty and inequality in West Africa? </w:t>
      </w:r>
      <w:r w:rsidRPr="007C7B0B">
        <w:rPr>
          <w:rFonts w:ascii="Times New Roman" w:hAnsi="Times New Roman"/>
          <w:i/>
          <w:iCs/>
          <w:color w:val="222222"/>
          <w:sz w:val="24"/>
          <w:szCs w:val="24"/>
          <w:shd w:val="clear" w:color="auto" w:fill="FFFFFF"/>
        </w:rPr>
        <w:t>Journal of Policy Modeling</w:t>
      </w:r>
      <w:r w:rsidRPr="007C7B0B">
        <w:rPr>
          <w:rFonts w:ascii="Times New Roman" w:hAnsi="Times New Roman"/>
          <w:color w:val="222222"/>
          <w:sz w:val="24"/>
          <w:szCs w:val="24"/>
          <w:shd w:val="clear" w:color="auto" w:fill="FFFFFF"/>
        </w:rPr>
        <w:t>, </w:t>
      </w:r>
      <w:r w:rsidRPr="007C7B0B">
        <w:rPr>
          <w:rFonts w:ascii="Times New Roman" w:hAnsi="Times New Roman"/>
          <w:i/>
          <w:iCs/>
          <w:color w:val="222222"/>
          <w:sz w:val="24"/>
          <w:szCs w:val="24"/>
          <w:shd w:val="clear" w:color="auto" w:fill="FFFFFF"/>
        </w:rPr>
        <w:t>44</w:t>
      </w:r>
      <w:r w:rsidRPr="007C7B0B">
        <w:rPr>
          <w:rFonts w:ascii="Times New Roman" w:hAnsi="Times New Roman"/>
          <w:color w:val="222222"/>
          <w:sz w:val="24"/>
          <w:szCs w:val="24"/>
          <w:shd w:val="clear" w:color="auto" w:fill="FFFFFF"/>
        </w:rPr>
        <w:t>(1), 41-63.</w:t>
      </w:r>
    </w:p>
    <w:p w14:paraId="73823887"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Krambia-Kapardis, M., Christodoulou, C., &amp; Agathocleous, M. (2010). Neural networks: The panacea in fraud detection? Managerial Auditing Journal, 25(7), 659-678.</w:t>
      </w:r>
    </w:p>
    <w:p w14:paraId="65BF7A98"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Kranacher, M. J. (2010). Bringing the world together on one standard. </w:t>
      </w:r>
      <w:r w:rsidRPr="008B1465">
        <w:rPr>
          <w:rFonts w:ascii="Times New Roman" w:hAnsi="Times New Roman"/>
          <w:i/>
          <w:iCs/>
          <w:sz w:val="24"/>
          <w:szCs w:val="24"/>
        </w:rPr>
        <w:t>The CPA Journal</w:t>
      </w:r>
      <w:r w:rsidRPr="008B1465">
        <w:rPr>
          <w:rFonts w:ascii="Times New Roman" w:hAnsi="Times New Roman"/>
          <w:sz w:val="24"/>
          <w:szCs w:val="24"/>
        </w:rPr>
        <w:t xml:space="preserve">, </w:t>
      </w:r>
      <w:r w:rsidRPr="008B1465">
        <w:rPr>
          <w:rFonts w:ascii="Times New Roman" w:hAnsi="Times New Roman"/>
          <w:i/>
          <w:iCs/>
          <w:sz w:val="24"/>
          <w:szCs w:val="24"/>
        </w:rPr>
        <w:t>80</w:t>
      </w:r>
      <w:r w:rsidRPr="008B1465">
        <w:rPr>
          <w:rFonts w:ascii="Times New Roman" w:hAnsi="Times New Roman"/>
          <w:sz w:val="24"/>
          <w:szCs w:val="24"/>
        </w:rPr>
        <w:t>(10), 17</w:t>
      </w:r>
    </w:p>
    <w:p w14:paraId="7DCEF441"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bookmarkStart w:id="160" w:name="_Hlk122777608"/>
      <w:r w:rsidRPr="008B1465">
        <w:rPr>
          <w:rFonts w:ascii="Times New Roman" w:hAnsi="Times New Roman"/>
          <w:sz w:val="24"/>
          <w:szCs w:val="24"/>
          <w:shd w:val="clear" w:color="auto" w:fill="FFFFFF"/>
        </w:rPr>
        <w:t>Kranacher, M. J., &amp; Riley, R. (2019). </w:t>
      </w:r>
      <w:bookmarkEnd w:id="160"/>
      <w:r w:rsidRPr="008B1465">
        <w:rPr>
          <w:rFonts w:ascii="Times New Roman" w:hAnsi="Times New Roman"/>
          <w:i/>
          <w:iCs/>
          <w:sz w:val="24"/>
          <w:szCs w:val="24"/>
          <w:shd w:val="clear" w:color="auto" w:fill="FFFFFF"/>
        </w:rPr>
        <w:t>Forensic accounting and fraud examination</w:t>
      </w:r>
      <w:r w:rsidRPr="008B1465">
        <w:rPr>
          <w:rFonts w:ascii="Times New Roman" w:hAnsi="Times New Roman"/>
          <w:sz w:val="24"/>
          <w:szCs w:val="24"/>
          <w:shd w:val="clear" w:color="auto" w:fill="FFFFFF"/>
        </w:rPr>
        <w:t>. John Wiley &amp; Sons</w:t>
      </w:r>
    </w:p>
    <w:p w14:paraId="077D560E"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Kranacher, M.</w:t>
      </w:r>
      <w:r>
        <w:rPr>
          <w:rFonts w:ascii="Times New Roman" w:hAnsi="Times New Roman"/>
          <w:sz w:val="24"/>
          <w:szCs w:val="24"/>
        </w:rPr>
        <w:t xml:space="preserve"> </w:t>
      </w:r>
      <w:r w:rsidRPr="008B1465">
        <w:rPr>
          <w:rFonts w:ascii="Times New Roman" w:hAnsi="Times New Roman"/>
          <w:sz w:val="24"/>
          <w:szCs w:val="24"/>
        </w:rPr>
        <w:t>J., Riley, R. &amp; Wells, J.</w:t>
      </w:r>
      <w:r>
        <w:rPr>
          <w:rFonts w:ascii="Times New Roman" w:hAnsi="Times New Roman"/>
          <w:sz w:val="24"/>
          <w:szCs w:val="24"/>
        </w:rPr>
        <w:t xml:space="preserve"> </w:t>
      </w:r>
      <w:r w:rsidRPr="008B1465">
        <w:rPr>
          <w:rFonts w:ascii="Times New Roman" w:hAnsi="Times New Roman"/>
          <w:sz w:val="24"/>
          <w:szCs w:val="24"/>
        </w:rPr>
        <w:t>T. (2010), Forensic Accounting and Fraud Examination, John Wiley and Sons, Hoboken, NJ.</w:t>
      </w:r>
    </w:p>
    <w:p w14:paraId="6E5B150D"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Krejcie, R. V., &amp; Morgan, D. W. (1970). Determining sample size for research activities. </w:t>
      </w:r>
      <w:r w:rsidRPr="008B1465">
        <w:rPr>
          <w:rFonts w:ascii="Times New Roman" w:hAnsi="Times New Roman"/>
          <w:i/>
          <w:iCs/>
          <w:sz w:val="24"/>
          <w:szCs w:val="24"/>
          <w:shd w:val="clear" w:color="auto" w:fill="FFFFFF"/>
        </w:rPr>
        <w:t>Educational and psychological measurement</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30</w:t>
      </w:r>
      <w:r w:rsidRPr="008B1465">
        <w:rPr>
          <w:rFonts w:ascii="Times New Roman" w:hAnsi="Times New Roman"/>
          <w:sz w:val="24"/>
          <w:szCs w:val="24"/>
          <w:shd w:val="clear" w:color="auto" w:fill="FFFFFF"/>
        </w:rPr>
        <w:t>(3), 607-610</w:t>
      </w:r>
    </w:p>
    <w:p w14:paraId="374375E1" w14:textId="77777777" w:rsidR="0083389C" w:rsidRPr="008B1465" w:rsidRDefault="0083389C" w:rsidP="00D44C13">
      <w:pPr>
        <w:pStyle w:val="NoSpacing"/>
        <w:spacing w:line="360" w:lineRule="auto"/>
        <w:ind w:left="990" w:hanging="900"/>
        <w:jc w:val="both"/>
        <w:rPr>
          <w:rFonts w:ascii="Times New Roman" w:hAnsi="Times New Roman"/>
          <w:sz w:val="24"/>
          <w:szCs w:val="24"/>
        </w:rPr>
      </w:pPr>
      <w:bookmarkStart w:id="161" w:name="_Hlk122774274"/>
      <w:r w:rsidRPr="008B1465">
        <w:rPr>
          <w:rFonts w:ascii="Times New Roman" w:hAnsi="Times New Roman"/>
          <w:sz w:val="24"/>
          <w:szCs w:val="24"/>
        </w:rPr>
        <w:t xml:space="preserve">Kuo, K. M., Talley, P. C., &amp; Huang, C. H. (2020). </w:t>
      </w:r>
      <w:bookmarkEnd w:id="161"/>
      <w:r w:rsidRPr="008B1465">
        <w:rPr>
          <w:rFonts w:ascii="Times New Roman" w:hAnsi="Times New Roman"/>
          <w:sz w:val="24"/>
          <w:szCs w:val="24"/>
        </w:rPr>
        <w:t xml:space="preserve">A meta-analysis of the deterrence theory in security-compliant and security-risk behaviors. </w:t>
      </w:r>
      <w:r w:rsidRPr="008B1465">
        <w:rPr>
          <w:rFonts w:ascii="Times New Roman" w:hAnsi="Times New Roman"/>
          <w:i/>
          <w:iCs/>
          <w:sz w:val="24"/>
          <w:szCs w:val="24"/>
        </w:rPr>
        <w:t>Computers &amp; Security</w:t>
      </w:r>
      <w:r w:rsidRPr="008B1465">
        <w:rPr>
          <w:rFonts w:ascii="Times New Roman" w:hAnsi="Times New Roman"/>
          <w:sz w:val="24"/>
          <w:szCs w:val="24"/>
        </w:rPr>
        <w:t xml:space="preserve">, </w:t>
      </w:r>
      <w:r w:rsidRPr="008B1465">
        <w:rPr>
          <w:rFonts w:ascii="Times New Roman" w:hAnsi="Times New Roman"/>
          <w:i/>
          <w:iCs/>
          <w:sz w:val="24"/>
          <w:szCs w:val="24"/>
        </w:rPr>
        <w:t>96</w:t>
      </w:r>
      <w:r w:rsidRPr="008B1465">
        <w:rPr>
          <w:rFonts w:ascii="Times New Roman" w:hAnsi="Times New Roman"/>
          <w:sz w:val="24"/>
          <w:szCs w:val="24"/>
        </w:rPr>
        <w:t>, 101928</w:t>
      </w:r>
    </w:p>
    <w:p w14:paraId="320E10C8"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Kurakaew, N., Kokkaew, N., &amp; Suksuwan, N. (2016). The Analysis of Value-for-Money (VfM) for Public Private Partnership Infrastructure: A Public Sector Comparator Approach. </w:t>
      </w:r>
      <w:r w:rsidRPr="008B1465">
        <w:rPr>
          <w:rFonts w:ascii="Times New Roman" w:hAnsi="Times New Roman"/>
          <w:i/>
          <w:iCs/>
          <w:sz w:val="24"/>
          <w:szCs w:val="24"/>
          <w:shd w:val="clear" w:color="auto" w:fill="FFFFFF"/>
        </w:rPr>
        <w:t>WMS Journal of Management</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5</w:t>
      </w:r>
      <w:r w:rsidRPr="008B1465">
        <w:rPr>
          <w:rFonts w:ascii="Times New Roman" w:hAnsi="Times New Roman"/>
          <w:sz w:val="24"/>
          <w:szCs w:val="24"/>
          <w:shd w:val="clear" w:color="auto" w:fill="FFFFFF"/>
        </w:rPr>
        <w:t>(1), 26-39.</w:t>
      </w:r>
    </w:p>
    <w:p w14:paraId="60A68C8A"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shd w:val="clear" w:color="auto" w:fill="FFFFFF"/>
        </w:rPr>
        <w:t xml:space="preserve">Kurnaz, N., Köksal, İ., &amp; Ulusoy, T. (2019). Forensic accounting in financial fraud control in digital environment: A research on independent auditors. </w:t>
      </w:r>
      <w:r w:rsidRPr="008B1465">
        <w:rPr>
          <w:rFonts w:ascii="Times New Roman" w:hAnsi="Times New Roman"/>
          <w:i/>
          <w:iCs/>
          <w:sz w:val="24"/>
          <w:szCs w:val="24"/>
        </w:rPr>
        <w:t>Turkish Studies,</w:t>
      </w:r>
      <w:r w:rsidRPr="008B1465">
        <w:rPr>
          <w:rFonts w:ascii="Times New Roman" w:hAnsi="Times New Roman"/>
          <w:sz w:val="24"/>
          <w:szCs w:val="24"/>
        </w:rPr>
        <w:t xml:space="preserve"> 14(3).</w:t>
      </w:r>
    </w:p>
    <w:p w14:paraId="706A79B3" w14:textId="77777777" w:rsidR="0083389C" w:rsidRDefault="0083389C" w:rsidP="007C7B0B">
      <w:pPr>
        <w:pStyle w:val="NoSpacing"/>
        <w:spacing w:line="360" w:lineRule="auto"/>
        <w:ind w:left="990" w:hanging="900"/>
        <w:jc w:val="both"/>
        <w:rPr>
          <w:rFonts w:ascii="Times New Roman" w:hAnsi="Times New Roman"/>
          <w:color w:val="222222"/>
          <w:sz w:val="24"/>
          <w:szCs w:val="24"/>
          <w:shd w:val="clear" w:color="auto" w:fill="FFFFFF"/>
        </w:rPr>
      </w:pPr>
      <w:r w:rsidRPr="007C7B0B">
        <w:rPr>
          <w:rFonts w:ascii="Times New Roman" w:hAnsi="Times New Roman"/>
          <w:color w:val="222222"/>
          <w:sz w:val="24"/>
          <w:szCs w:val="24"/>
          <w:shd w:val="clear" w:color="auto" w:fill="FFFFFF"/>
        </w:rPr>
        <w:t>Lassou, P. J., Hopper, T., &amp; Soobaroyen, T. (2021). Financial controls to control corruption in an African country: Insider experts within an enabling environment. </w:t>
      </w:r>
      <w:r w:rsidRPr="007C7B0B">
        <w:rPr>
          <w:rFonts w:ascii="Times New Roman" w:hAnsi="Times New Roman"/>
          <w:i/>
          <w:iCs/>
          <w:color w:val="222222"/>
          <w:sz w:val="24"/>
          <w:szCs w:val="24"/>
          <w:shd w:val="clear" w:color="auto" w:fill="FFFFFF"/>
        </w:rPr>
        <w:t>Financial accountability &amp; management</w:t>
      </w:r>
      <w:r w:rsidRPr="007C7B0B">
        <w:rPr>
          <w:rFonts w:ascii="Times New Roman" w:hAnsi="Times New Roman"/>
          <w:color w:val="222222"/>
          <w:sz w:val="24"/>
          <w:szCs w:val="24"/>
          <w:shd w:val="clear" w:color="auto" w:fill="FFFFFF"/>
        </w:rPr>
        <w:t>, </w:t>
      </w:r>
      <w:r w:rsidRPr="007C7B0B">
        <w:rPr>
          <w:rFonts w:ascii="Times New Roman" w:hAnsi="Times New Roman"/>
          <w:i/>
          <w:iCs/>
          <w:color w:val="222222"/>
          <w:sz w:val="24"/>
          <w:szCs w:val="24"/>
          <w:shd w:val="clear" w:color="auto" w:fill="FFFFFF"/>
        </w:rPr>
        <w:t>37</w:t>
      </w:r>
      <w:r w:rsidRPr="007C7B0B">
        <w:rPr>
          <w:rFonts w:ascii="Times New Roman" w:hAnsi="Times New Roman"/>
          <w:color w:val="222222"/>
          <w:sz w:val="24"/>
          <w:szCs w:val="24"/>
          <w:shd w:val="clear" w:color="auto" w:fill="FFFFFF"/>
        </w:rPr>
        <w:t>(2), 107-123.</w:t>
      </w:r>
    </w:p>
    <w:p w14:paraId="3FCBB3A0"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Lawal, B. O., Yinusa, S. O., Lawal, B. A., Oyetunji, O. T., &amp; Adekoya, A. A. (2020). Forensic accounting and fraud detection: evidence from manufacturing industry in Nigeria. </w:t>
      </w:r>
      <w:r w:rsidRPr="008B1465">
        <w:rPr>
          <w:rFonts w:ascii="Times New Roman" w:hAnsi="Times New Roman"/>
          <w:i/>
          <w:iCs/>
          <w:sz w:val="24"/>
          <w:szCs w:val="24"/>
          <w:shd w:val="clear" w:color="auto" w:fill="FFFFFF"/>
        </w:rPr>
        <w:t>KIU Interdisciplinary Journal of Humanities and Social Sciences</w:t>
      </w:r>
      <w:r w:rsidRPr="008B1465">
        <w:rPr>
          <w:rFonts w:ascii="Times New Roman" w:hAnsi="Times New Roman"/>
          <w:sz w:val="24"/>
          <w:szCs w:val="24"/>
          <w:shd w:val="clear" w:color="auto" w:fill="FFFFFF"/>
        </w:rPr>
        <w:t>, 1(2), 242-264.</w:t>
      </w:r>
    </w:p>
    <w:p w14:paraId="04B6D4AD" w14:textId="77777777" w:rsidR="0083389C" w:rsidRDefault="0083389C" w:rsidP="007C7B0B">
      <w:pPr>
        <w:pStyle w:val="NoSpacing"/>
        <w:spacing w:line="360" w:lineRule="auto"/>
        <w:ind w:left="990" w:hanging="900"/>
        <w:jc w:val="both"/>
        <w:rPr>
          <w:rFonts w:ascii="Times New Roman" w:hAnsi="Times New Roman"/>
          <w:color w:val="222222"/>
          <w:sz w:val="24"/>
          <w:szCs w:val="24"/>
          <w:shd w:val="clear" w:color="auto" w:fill="FFFFFF"/>
        </w:rPr>
      </w:pPr>
      <w:r w:rsidRPr="007C7B0B">
        <w:rPr>
          <w:rFonts w:ascii="Times New Roman" w:hAnsi="Times New Roman"/>
          <w:color w:val="222222"/>
          <w:sz w:val="24"/>
          <w:szCs w:val="24"/>
          <w:shd w:val="clear" w:color="auto" w:fill="FFFFFF"/>
        </w:rPr>
        <w:t>Lawal, S., Kurawa, J. M., Hamid, K. T., &amp; Umar, U. H. (2021). Do behavioral, educational, and legal factors determine the applicability of forensic accounting in the public sector? </w:t>
      </w:r>
      <w:r w:rsidRPr="007C7B0B">
        <w:rPr>
          <w:rFonts w:ascii="Times New Roman" w:hAnsi="Times New Roman"/>
          <w:i/>
          <w:iCs/>
          <w:color w:val="222222"/>
          <w:sz w:val="24"/>
          <w:szCs w:val="24"/>
          <w:shd w:val="clear" w:color="auto" w:fill="FFFFFF"/>
        </w:rPr>
        <w:t>Journal of Research in Emerging Markets</w:t>
      </w:r>
      <w:r w:rsidRPr="007C7B0B">
        <w:rPr>
          <w:rFonts w:ascii="Times New Roman" w:hAnsi="Times New Roman"/>
          <w:color w:val="222222"/>
          <w:sz w:val="24"/>
          <w:szCs w:val="24"/>
          <w:shd w:val="clear" w:color="auto" w:fill="FFFFFF"/>
        </w:rPr>
        <w:t>, </w:t>
      </w:r>
      <w:r w:rsidRPr="007C7B0B">
        <w:rPr>
          <w:rFonts w:ascii="Times New Roman" w:hAnsi="Times New Roman"/>
          <w:i/>
          <w:iCs/>
          <w:color w:val="222222"/>
          <w:sz w:val="24"/>
          <w:szCs w:val="24"/>
          <w:shd w:val="clear" w:color="auto" w:fill="FFFFFF"/>
        </w:rPr>
        <w:t>3</w:t>
      </w:r>
      <w:r w:rsidRPr="007C7B0B">
        <w:rPr>
          <w:rFonts w:ascii="Times New Roman" w:hAnsi="Times New Roman"/>
          <w:color w:val="222222"/>
          <w:sz w:val="24"/>
          <w:szCs w:val="24"/>
          <w:shd w:val="clear" w:color="auto" w:fill="FFFFFF"/>
        </w:rPr>
        <w:t>(2), 27-43.</w:t>
      </w:r>
    </w:p>
    <w:p w14:paraId="75099243"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Lokanan, M. E. </w:t>
      </w:r>
      <w:r>
        <w:rPr>
          <w:rFonts w:ascii="Times New Roman" w:hAnsi="Times New Roman"/>
          <w:sz w:val="24"/>
          <w:szCs w:val="24"/>
        </w:rPr>
        <w:t>(</w:t>
      </w:r>
      <w:r w:rsidRPr="008B1465">
        <w:rPr>
          <w:rFonts w:ascii="Times New Roman" w:hAnsi="Times New Roman"/>
          <w:sz w:val="24"/>
          <w:szCs w:val="24"/>
        </w:rPr>
        <w:t>2015</w:t>
      </w:r>
      <w:r>
        <w:rPr>
          <w:rFonts w:ascii="Times New Roman" w:hAnsi="Times New Roman"/>
          <w:sz w:val="24"/>
          <w:szCs w:val="24"/>
        </w:rPr>
        <w:t>)</w:t>
      </w:r>
      <w:r w:rsidRPr="008B1465">
        <w:rPr>
          <w:rFonts w:ascii="Times New Roman" w:hAnsi="Times New Roman"/>
          <w:sz w:val="24"/>
          <w:szCs w:val="24"/>
        </w:rPr>
        <w:t xml:space="preserve">. Challenges to the Fraud Triangle: Questions on its Usefulness. </w:t>
      </w:r>
      <w:r w:rsidRPr="008B1465">
        <w:rPr>
          <w:rFonts w:ascii="Times New Roman" w:hAnsi="Times New Roman"/>
          <w:i/>
          <w:iCs/>
          <w:sz w:val="24"/>
          <w:szCs w:val="24"/>
        </w:rPr>
        <w:t>Accounting Forum</w:t>
      </w:r>
      <w:r w:rsidRPr="008B1465">
        <w:rPr>
          <w:rFonts w:ascii="Times New Roman" w:hAnsi="Times New Roman"/>
          <w:sz w:val="24"/>
          <w:szCs w:val="24"/>
        </w:rPr>
        <w:t>, 39(3), 201–224</w:t>
      </w:r>
    </w:p>
    <w:p w14:paraId="0B3D14FF" w14:textId="77777777" w:rsidR="0083389C" w:rsidRPr="00465786" w:rsidRDefault="0083389C" w:rsidP="003D289F">
      <w:pPr>
        <w:pStyle w:val="NoSpacing"/>
        <w:spacing w:line="360" w:lineRule="auto"/>
        <w:ind w:left="990" w:hanging="900"/>
        <w:jc w:val="both"/>
        <w:rPr>
          <w:rFonts w:ascii="Times New Roman" w:hAnsi="Times New Roman"/>
          <w:sz w:val="24"/>
          <w:szCs w:val="24"/>
          <w:shd w:val="clear" w:color="auto" w:fill="FFFFFF"/>
        </w:rPr>
      </w:pPr>
      <w:r w:rsidRPr="00465786">
        <w:rPr>
          <w:rFonts w:ascii="Times New Roman" w:hAnsi="Times New Roman"/>
          <w:sz w:val="24"/>
          <w:szCs w:val="24"/>
          <w:shd w:val="clear" w:color="auto" w:fill="FFFFFF"/>
        </w:rPr>
        <w:t>Luo, Y., Zhang, H., &amp; Bu, J. (2019). Developed country MNEs investing in developing economies: Progress and prospect. </w:t>
      </w:r>
      <w:r w:rsidRPr="00465786">
        <w:rPr>
          <w:rFonts w:ascii="Times New Roman" w:hAnsi="Times New Roman"/>
          <w:i/>
          <w:iCs/>
          <w:sz w:val="24"/>
          <w:szCs w:val="24"/>
          <w:shd w:val="clear" w:color="auto" w:fill="FFFFFF"/>
        </w:rPr>
        <w:t>Journal of International Business Studies</w:t>
      </w:r>
      <w:r w:rsidRPr="00465786">
        <w:rPr>
          <w:rFonts w:ascii="Times New Roman" w:hAnsi="Times New Roman"/>
          <w:sz w:val="24"/>
          <w:szCs w:val="24"/>
          <w:shd w:val="clear" w:color="auto" w:fill="FFFFFF"/>
        </w:rPr>
        <w:t>, </w:t>
      </w:r>
      <w:r w:rsidRPr="00465786">
        <w:rPr>
          <w:rFonts w:ascii="Times New Roman" w:hAnsi="Times New Roman"/>
          <w:i/>
          <w:iCs/>
          <w:sz w:val="24"/>
          <w:szCs w:val="24"/>
          <w:shd w:val="clear" w:color="auto" w:fill="FFFFFF"/>
        </w:rPr>
        <w:t>50</w:t>
      </w:r>
      <w:r w:rsidRPr="00465786">
        <w:rPr>
          <w:rFonts w:ascii="Times New Roman" w:hAnsi="Times New Roman"/>
          <w:sz w:val="24"/>
          <w:szCs w:val="24"/>
          <w:shd w:val="clear" w:color="auto" w:fill="FFFFFF"/>
        </w:rPr>
        <w:t>, 633-667.</w:t>
      </w:r>
    </w:p>
    <w:p w14:paraId="415B2978" w14:textId="77777777" w:rsidR="0083389C" w:rsidRDefault="0083389C" w:rsidP="00436C7A">
      <w:pPr>
        <w:pStyle w:val="NoSpacing"/>
        <w:spacing w:line="360" w:lineRule="auto"/>
        <w:ind w:left="990" w:hanging="900"/>
        <w:jc w:val="both"/>
        <w:rPr>
          <w:rFonts w:ascii="Times New Roman" w:hAnsi="Times New Roman"/>
          <w:color w:val="222222"/>
          <w:sz w:val="24"/>
          <w:szCs w:val="24"/>
          <w:shd w:val="clear" w:color="auto" w:fill="FFFFFF"/>
        </w:rPr>
      </w:pPr>
      <w:r w:rsidRPr="007C7B0B">
        <w:rPr>
          <w:rFonts w:ascii="Times New Roman" w:hAnsi="Times New Roman"/>
          <w:color w:val="222222"/>
          <w:sz w:val="24"/>
          <w:szCs w:val="24"/>
          <w:shd w:val="clear" w:color="auto" w:fill="FFFFFF"/>
        </w:rPr>
        <w:t>Machirori, P., Pande, C., &amp; Fundira, T. (2022). An assessment of the up-to-date corporate usage of public sector tendering procurement procedures: a case study of the ministry of local government and public works in Limbabwe. </w:t>
      </w:r>
      <w:r w:rsidRPr="007C7B0B">
        <w:rPr>
          <w:rFonts w:ascii="Times New Roman" w:hAnsi="Times New Roman"/>
          <w:i/>
          <w:iCs/>
          <w:color w:val="222222"/>
          <w:sz w:val="24"/>
          <w:szCs w:val="24"/>
          <w:shd w:val="clear" w:color="auto" w:fill="FFFFFF"/>
        </w:rPr>
        <w:t>Sachetas</w:t>
      </w:r>
      <w:r w:rsidRPr="007C7B0B">
        <w:rPr>
          <w:rFonts w:ascii="Times New Roman" w:hAnsi="Times New Roman"/>
          <w:color w:val="222222"/>
          <w:sz w:val="24"/>
          <w:szCs w:val="24"/>
          <w:shd w:val="clear" w:color="auto" w:fill="FFFFFF"/>
        </w:rPr>
        <w:t>, </w:t>
      </w:r>
      <w:r w:rsidRPr="007C7B0B">
        <w:rPr>
          <w:rFonts w:ascii="Times New Roman" w:hAnsi="Times New Roman"/>
          <w:i/>
          <w:iCs/>
          <w:color w:val="222222"/>
          <w:sz w:val="24"/>
          <w:szCs w:val="24"/>
          <w:shd w:val="clear" w:color="auto" w:fill="FFFFFF"/>
        </w:rPr>
        <w:t>1</w:t>
      </w:r>
      <w:r w:rsidRPr="007C7B0B">
        <w:rPr>
          <w:rFonts w:ascii="Times New Roman" w:hAnsi="Times New Roman"/>
          <w:color w:val="222222"/>
          <w:sz w:val="24"/>
          <w:szCs w:val="24"/>
          <w:shd w:val="clear" w:color="auto" w:fill="FFFFFF"/>
        </w:rPr>
        <w:t>(4), 1-20.</w:t>
      </w:r>
    </w:p>
    <w:p w14:paraId="6152A839" w14:textId="77777777" w:rsidR="0083389C" w:rsidRDefault="0083389C" w:rsidP="00436C7A">
      <w:pPr>
        <w:pStyle w:val="NoSpacing"/>
        <w:spacing w:line="360" w:lineRule="auto"/>
        <w:ind w:left="990" w:hanging="900"/>
        <w:jc w:val="both"/>
        <w:rPr>
          <w:rFonts w:ascii="Times New Roman" w:hAnsi="Times New Roman"/>
          <w:color w:val="222222"/>
          <w:sz w:val="24"/>
          <w:szCs w:val="24"/>
          <w:shd w:val="clear" w:color="auto" w:fill="FFFFFF"/>
        </w:rPr>
      </w:pPr>
      <w:r w:rsidRPr="00436C7A">
        <w:rPr>
          <w:rFonts w:ascii="Times New Roman" w:hAnsi="Times New Roman"/>
          <w:color w:val="222222"/>
          <w:sz w:val="24"/>
          <w:szCs w:val="24"/>
          <w:shd w:val="clear" w:color="auto" w:fill="FFFFFF"/>
        </w:rPr>
        <w:t>Machirori, P., Pande, C., &amp; Fundira, T. (2022). Procurement planning on value for money among selected districts in Southern Province, Rwanda. </w:t>
      </w:r>
      <w:r w:rsidRPr="00436C7A">
        <w:rPr>
          <w:rFonts w:ascii="Times New Roman" w:hAnsi="Times New Roman"/>
          <w:i/>
          <w:iCs/>
          <w:color w:val="222222"/>
          <w:sz w:val="24"/>
          <w:szCs w:val="24"/>
          <w:shd w:val="clear" w:color="auto" w:fill="FFFFFF"/>
        </w:rPr>
        <w:t>Journal of Research in Business and Management</w:t>
      </w:r>
      <w:r w:rsidRPr="00436C7A">
        <w:rPr>
          <w:rFonts w:ascii="Times New Roman" w:hAnsi="Times New Roman"/>
          <w:color w:val="222222"/>
          <w:sz w:val="24"/>
          <w:szCs w:val="24"/>
          <w:shd w:val="clear" w:color="auto" w:fill="FFFFFF"/>
        </w:rPr>
        <w:t>, </w:t>
      </w:r>
      <w:r w:rsidRPr="00436C7A">
        <w:rPr>
          <w:rFonts w:ascii="Times New Roman" w:hAnsi="Times New Roman"/>
          <w:i/>
          <w:iCs/>
          <w:color w:val="222222"/>
          <w:sz w:val="24"/>
          <w:szCs w:val="24"/>
          <w:shd w:val="clear" w:color="auto" w:fill="FFFFFF"/>
        </w:rPr>
        <w:t>7</w:t>
      </w:r>
      <w:r w:rsidRPr="00436C7A">
        <w:rPr>
          <w:rFonts w:ascii="Times New Roman" w:hAnsi="Times New Roman"/>
          <w:color w:val="222222"/>
          <w:sz w:val="24"/>
          <w:szCs w:val="24"/>
          <w:shd w:val="clear" w:color="auto" w:fill="FFFFFF"/>
        </w:rPr>
        <w:t>(1), 34-40.</w:t>
      </w:r>
    </w:p>
    <w:p w14:paraId="3B0C856C"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Madu-Chimau, L. C., Egbunike, A. P., &amp; Okoro, E. G. (2020). Forensic Auditing and Fraud Detection in Nigeria: Evidence from Publicly Quoted Commercial Banks. </w:t>
      </w:r>
      <w:r w:rsidRPr="008B1465">
        <w:rPr>
          <w:rFonts w:ascii="Times New Roman" w:hAnsi="Times New Roman"/>
          <w:i/>
          <w:iCs/>
          <w:sz w:val="24"/>
          <w:szCs w:val="24"/>
          <w:shd w:val="clear" w:color="auto" w:fill="FFFFFF"/>
        </w:rPr>
        <w:t>Management Economics Research Journal</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6</w:t>
      </w:r>
      <w:r w:rsidRPr="008B1465">
        <w:rPr>
          <w:rFonts w:ascii="Times New Roman" w:hAnsi="Times New Roman"/>
          <w:sz w:val="24"/>
          <w:szCs w:val="24"/>
          <w:shd w:val="clear" w:color="auto" w:fill="FFFFFF"/>
        </w:rPr>
        <w:t>(4), 17874</w:t>
      </w:r>
    </w:p>
    <w:p w14:paraId="6A675D98"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Malek, A., Mohamed, B., &amp; Ekiz, E. H. (2011). An analysis of conference attendees’ motivations: Case of international conference attendees in Singapore.</w:t>
      </w:r>
    </w:p>
    <w:p w14:paraId="1A7E7680"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Mamiro, R. (2010). Value for money, the limping pillar in public procurement – experience from Tanzania. 4th International Public Procurement Conference, Seoul, South Korea, Malinga, 1–13. </w:t>
      </w:r>
      <w:hyperlink r:id="rId30" w:history="1">
        <w:r w:rsidRPr="008B1465">
          <w:rPr>
            <w:rStyle w:val="Hyperlink"/>
            <w:rFonts w:ascii="Times New Roman" w:hAnsi="Times New Roman"/>
            <w:color w:val="auto"/>
            <w:sz w:val="24"/>
            <w:szCs w:val="24"/>
            <w:u w:val="none"/>
          </w:rPr>
          <w:t>http://www.ippa.org/ippc4_proceedings1.html</w:t>
        </w:r>
      </w:hyperlink>
    </w:p>
    <w:p w14:paraId="0094BDA8"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Mamiro, R. G. (2010). Value for money: The limping pillar in public procurement-Experience from Tanzania. </w:t>
      </w:r>
      <w:r w:rsidRPr="008B1465">
        <w:rPr>
          <w:rFonts w:ascii="Times New Roman" w:hAnsi="Times New Roman"/>
          <w:i/>
          <w:iCs/>
          <w:sz w:val="24"/>
          <w:szCs w:val="24"/>
        </w:rPr>
        <w:t>In 4th International Public Procurement Conference</w:t>
      </w:r>
      <w:r w:rsidRPr="008B1465">
        <w:rPr>
          <w:rFonts w:ascii="Times New Roman" w:hAnsi="Times New Roman"/>
          <w:sz w:val="24"/>
          <w:szCs w:val="24"/>
        </w:rPr>
        <w:t>, 1-13</w:t>
      </w:r>
    </w:p>
    <w:p w14:paraId="653C8F80"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Mansor, N., &amp; Abdullahi, R. (2015). Fraud triangle theory and fraud diamond theory. Understanding the convergent and divergent for future research. </w:t>
      </w:r>
      <w:r w:rsidRPr="008B1465">
        <w:rPr>
          <w:rFonts w:ascii="Times New Roman" w:hAnsi="Times New Roman"/>
          <w:i/>
          <w:iCs/>
          <w:sz w:val="24"/>
          <w:szCs w:val="24"/>
        </w:rPr>
        <w:t>International Journal of Academic Research in Accounting, Finance and Management Science</w:t>
      </w:r>
      <w:r w:rsidRPr="008B1465">
        <w:rPr>
          <w:rFonts w:ascii="Times New Roman" w:hAnsi="Times New Roman"/>
          <w:sz w:val="24"/>
          <w:szCs w:val="24"/>
        </w:rPr>
        <w:t>, 1(4), 38-45.</w:t>
      </w:r>
    </w:p>
    <w:p w14:paraId="5F5A078D"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Mansor, N., &amp; Abdullahi, R. (2015). Fraud triangle theory and fraud diamond theory. Understanding the convergent and divergent for future research. </w:t>
      </w:r>
      <w:r w:rsidRPr="008B1465">
        <w:rPr>
          <w:rFonts w:ascii="Times New Roman" w:hAnsi="Times New Roman"/>
          <w:i/>
          <w:iCs/>
          <w:sz w:val="24"/>
          <w:szCs w:val="24"/>
        </w:rPr>
        <w:t>International Journal of Academic Research in Accounting, Finance and Management Science</w:t>
      </w:r>
      <w:r w:rsidRPr="008B1465">
        <w:rPr>
          <w:rFonts w:ascii="Times New Roman" w:hAnsi="Times New Roman"/>
          <w:sz w:val="24"/>
          <w:szCs w:val="24"/>
        </w:rPr>
        <w:t xml:space="preserve">, </w:t>
      </w:r>
      <w:r w:rsidRPr="008B1465">
        <w:rPr>
          <w:rFonts w:ascii="Times New Roman" w:hAnsi="Times New Roman"/>
          <w:i/>
          <w:iCs/>
          <w:sz w:val="24"/>
          <w:szCs w:val="24"/>
        </w:rPr>
        <w:t>1</w:t>
      </w:r>
      <w:r w:rsidRPr="008B1465">
        <w:rPr>
          <w:rFonts w:ascii="Times New Roman" w:hAnsi="Times New Roman"/>
          <w:sz w:val="24"/>
          <w:szCs w:val="24"/>
        </w:rPr>
        <w:t>(4), 38-45.</w:t>
      </w:r>
    </w:p>
    <w:p w14:paraId="1BE0A0AA" w14:textId="77777777" w:rsidR="0083389C" w:rsidRDefault="0083389C" w:rsidP="00436C7A">
      <w:pPr>
        <w:pStyle w:val="NoSpacing"/>
        <w:spacing w:line="360" w:lineRule="auto"/>
        <w:ind w:left="990" w:hanging="900"/>
        <w:jc w:val="both"/>
        <w:rPr>
          <w:rFonts w:ascii="Times New Roman" w:hAnsi="Times New Roman"/>
          <w:color w:val="222222"/>
          <w:sz w:val="24"/>
          <w:szCs w:val="24"/>
          <w:shd w:val="clear" w:color="auto" w:fill="FFFFFF"/>
        </w:rPr>
      </w:pPr>
      <w:r w:rsidRPr="00436C7A">
        <w:rPr>
          <w:rFonts w:ascii="Times New Roman" w:hAnsi="Times New Roman"/>
          <w:color w:val="222222"/>
          <w:sz w:val="24"/>
          <w:szCs w:val="24"/>
          <w:shd w:val="clear" w:color="auto" w:fill="FFFFFF"/>
        </w:rPr>
        <w:t>Marzuki, M. M., Majid, W. Z. N. A., Azis, N. K., Rosman, R., &amp; AbdulatifF, N. K. H. (2020). Fraud risk management model: A content analysis approach. </w:t>
      </w:r>
      <w:r w:rsidRPr="00436C7A">
        <w:rPr>
          <w:rFonts w:ascii="Times New Roman" w:hAnsi="Times New Roman"/>
          <w:i/>
          <w:iCs/>
          <w:color w:val="222222"/>
          <w:sz w:val="24"/>
          <w:szCs w:val="24"/>
          <w:shd w:val="clear" w:color="auto" w:fill="FFFFFF"/>
        </w:rPr>
        <w:t>The Journal of Asian Finance, Economics and Business (JAFEB)</w:t>
      </w:r>
      <w:r w:rsidRPr="00436C7A">
        <w:rPr>
          <w:rFonts w:ascii="Times New Roman" w:hAnsi="Times New Roman"/>
          <w:color w:val="222222"/>
          <w:sz w:val="24"/>
          <w:szCs w:val="24"/>
          <w:shd w:val="clear" w:color="auto" w:fill="FFFFFF"/>
        </w:rPr>
        <w:t>, </w:t>
      </w:r>
      <w:r w:rsidRPr="00436C7A">
        <w:rPr>
          <w:rFonts w:ascii="Times New Roman" w:hAnsi="Times New Roman"/>
          <w:i/>
          <w:iCs/>
          <w:color w:val="222222"/>
          <w:sz w:val="24"/>
          <w:szCs w:val="24"/>
          <w:shd w:val="clear" w:color="auto" w:fill="FFFFFF"/>
        </w:rPr>
        <w:t>7</w:t>
      </w:r>
      <w:r w:rsidRPr="00436C7A">
        <w:rPr>
          <w:rFonts w:ascii="Times New Roman" w:hAnsi="Times New Roman"/>
          <w:color w:val="222222"/>
          <w:sz w:val="24"/>
          <w:szCs w:val="24"/>
          <w:shd w:val="clear" w:color="auto" w:fill="FFFFFF"/>
        </w:rPr>
        <w:t>(10), 717-728.</w:t>
      </w:r>
    </w:p>
    <w:p w14:paraId="13805794" w14:textId="77777777" w:rsidR="0083389C" w:rsidRDefault="0083389C" w:rsidP="00436C7A">
      <w:pPr>
        <w:pStyle w:val="NoSpacing"/>
        <w:spacing w:line="360" w:lineRule="auto"/>
        <w:ind w:left="990" w:hanging="900"/>
        <w:jc w:val="both"/>
        <w:rPr>
          <w:rFonts w:ascii="Times New Roman" w:hAnsi="Times New Roman"/>
          <w:color w:val="222222"/>
          <w:sz w:val="24"/>
          <w:szCs w:val="24"/>
          <w:shd w:val="clear" w:color="auto" w:fill="FFFFFF"/>
        </w:rPr>
      </w:pPr>
      <w:r w:rsidRPr="00436C7A">
        <w:rPr>
          <w:rFonts w:ascii="Times New Roman" w:hAnsi="Times New Roman"/>
          <w:color w:val="222222"/>
          <w:sz w:val="24"/>
          <w:szCs w:val="24"/>
          <w:shd w:val="clear" w:color="auto" w:fill="FFFFFF"/>
        </w:rPr>
        <w:t>Mashilo, M. T., &amp; Kgobe, F. K. L. (2021). An inevitable dialogue of Ethics-A Conceptual Analysis of the South African Public Procurement Corruption. </w:t>
      </w:r>
      <w:r w:rsidRPr="00436C7A">
        <w:rPr>
          <w:rFonts w:ascii="Times New Roman" w:hAnsi="Times New Roman"/>
          <w:i/>
          <w:iCs/>
          <w:color w:val="222222"/>
          <w:sz w:val="24"/>
          <w:szCs w:val="24"/>
          <w:shd w:val="clear" w:color="auto" w:fill="FFFFFF"/>
        </w:rPr>
        <w:t>European Journal of Economics</w:t>
      </w:r>
      <w:r w:rsidRPr="00436C7A">
        <w:rPr>
          <w:rFonts w:ascii="Times New Roman" w:hAnsi="Times New Roman"/>
          <w:color w:val="222222"/>
          <w:sz w:val="24"/>
          <w:szCs w:val="24"/>
          <w:shd w:val="clear" w:color="auto" w:fill="FFFFFF"/>
        </w:rPr>
        <w:t>, </w:t>
      </w:r>
      <w:r w:rsidRPr="00436C7A">
        <w:rPr>
          <w:rFonts w:ascii="Times New Roman" w:hAnsi="Times New Roman"/>
          <w:i/>
          <w:iCs/>
          <w:color w:val="222222"/>
          <w:sz w:val="24"/>
          <w:szCs w:val="24"/>
          <w:shd w:val="clear" w:color="auto" w:fill="FFFFFF"/>
        </w:rPr>
        <w:t>5</w:t>
      </w:r>
      <w:r w:rsidRPr="00436C7A">
        <w:rPr>
          <w:rFonts w:ascii="Times New Roman" w:hAnsi="Times New Roman"/>
          <w:color w:val="222222"/>
          <w:sz w:val="24"/>
          <w:szCs w:val="24"/>
          <w:shd w:val="clear" w:color="auto" w:fill="FFFFFF"/>
        </w:rPr>
        <w:t>(3).</w:t>
      </w:r>
    </w:p>
    <w:p w14:paraId="3DAC769F" w14:textId="77777777" w:rsidR="0083389C" w:rsidRDefault="0083389C" w:rsidP="00436C7A">
      <w:pPr>
        <w:pStyle w:val="NoSpacing"/>
        <w:spacing w:line="360" w:lineRule="auto"/>
        <w:ind w:left="990" w:hanging="900"/>
        <w:jc w:val="both"/>
        <w:rPr>
          <w:rFonts w:ascii="Times New Roman" w:hAnsi="Times New Roman"/>
          <w:color w:val="222222"/>
          <w:sz w:val="24"/>
          <w:szCs w:val="24"/>
          <w:shd w:val="clear" w:color="auto" w:fill="FFFFFF"/>
        </w:rPr>
      </w:pPr>
      <w:r w:rsidRPr="00436C7A">
        <w:rPr>
          <w:rFonts w:ascii="Times New Roman" w:hAnsi="Times New Roman"/>
          <w:color w:val="222222"/>
          <w:sz w:val="24"/>
          <w:szCs w:val="24"/>
          <w:shd w:val="clear" w:color="auto" w:fill="FFFFFF"/>
        </w:rPr>
        <w:t>Matar, D. O. (2023). The role of forensic accounting strategies in reducing financial and administrative corruption cases. </w:t>
      </w:r>
      <w:r w:rsidRPr="00436C7A">
        <w:rPr>
          <w:rFonts w:ascii="Times New Roman" w:hAnsi="Times New Roman"/>
          <w:i/>
          <w:iCs/>
          <w:color w:val="222222"/>
          <w:sz w:val="24"/>
          <w:szCs w:val="24"/>
          <w:shd w:val="clear" w:color="auto" w:fill="FFFFFF"/>
        </w:rPr>
        <w:t>American Academic &amp; Scholarly Research Journal</w:t>
      </w:r>
      <w:r w:rsidRPr="00436C7A">
        <w:rPr>
          <w:rFonts w:ascii="Times New Roman" w:hAnsi="Times New Roman"/>
          <w:color w:val="222222"/>
          <w:sz w:val="24"/>
          <w:szCs w:val="24"/>
          <w:shd w:val="clear" w:color="auto" w:fill="FFFFFF"/>
        </w:rPr>
        <w:t>, </w:t>
      </w:r>
      <w:r w:rsidRPr="00436C7A">
        <w:rPr>
          <w:rFonts w:ascii="Times New Roman" w:hAnsi="Times New Roman"/>
          <w:i/>
          <w:iCs/>
          <w:color w:val="222222"/>
          <w:sz w:val="24"/>
          <w:szCs w:val="24"/>
          <w:shd w:val="clear" w:color="auto" w:fill="FFFFFF"/>
        </w:rPr>
        <w:t>14</w:t>
      </w:r>
      <w:r w:rsidRPr="00436C7A">
        <w:rPr>
          <w:rFonts w:ascii="Times New Roman" w:hAnsi="Times New Roman"/>
          <w:color w:val="222222"/>
          <w:sz w:val="24"/>
          <w:szCs w:val="24"/>
          <w:shd w:val="clear" w:color="auto" w:fill="FFFFFF"/>
        </w:rPr>
        <w:t>(3).</w:t>
      </w:r>
    </w:p>
    <w:p w14:paraId="1C4F91E6" w14:textId="77777777" w:rsidR="0083389C" w:rsidRDefault="0083389C" w:rsidP="00436C7A">
      <w:pPr>
        <w:pStyle w:val="NoSpacing"/>
        <w:spacing w:line="360" w:lineRule="auto"/>
        <w:ind w:left="990" w:hanging="900"/>
        <w:jc w:val="both"/>
        <w:rPr>
          <w:rFonts w:ascii="Times New Roman" w:hAnsi="Times New Roman"/>
          <w:color w:val="222222"/>
          <w:sz w:val="24"/>
          <w:szCs w:val="24"/>
          <w:shd w:val="clear" w:color="auto" w:fill="FFFFFF"/>
        </w:rPr>
      </w:pPr>
      <w:r w:rsidRPr="00436C7A">
        <w:rPr>
          <w:rFonts w:ascii="Times New Roman" w:hAnsi="Times New Roman"/>
          <w:color w:val="222222"/>
          <w:sz w:val="24"/>
          <w:szCs w:val="24"/>
          <w:shd w:val="clear" w:color="auto" w:fill="FFFFFF"/>
        </w:rPr>
        <w:t>Maulidi, A., &amp; Ansell, J. (2022). Corruption as distinct crime: the need to reconceptualise internal control on controlling bureaucratic occupational fraud. </w:t>
      </w:r>
      <w:r w:rsidRPr="00436C7A">
        <w:rPr>
          <w:rFonts w:ascii="Times New Roman" w:hAnsi="Times New Roman"/>
          <w:i/>
          <w:iCs/>
          <w:color w:val="222222"/>
          <w:sz w:val="24"/>
          <w:szCs w:val="24"/>
          <w:shd w:val="clear" w:color="auto" w:fill="FFFFFF"/>
        </w:rPr>
        <w:t>Journal of Financial Crime</w:t>
      </w:r>
      <w:r w:rsidRPr="00436C7A">
        <w:rPr>
          <w:rFonts w:ascii="Times New Roman" w:hAnsi="Times New Roman"/>
          <w:color w:val="222222"/>
          <w:sz w:val="24"/>
          <w:szCs w:val="24"/>
          <w:shd w:val="clear" w:color="auto" w:fill="FFFFFF"/>
        </w:rPr>
        <w:t>, </w:t>
      </w:r>
      <w:r w:rsidRPr="00436C7A">
        <w:rPr>
          <w:rFonts w:ascii="Times New Roman" w:hAnsi="Times New Roman"/>
          <w:i/>
          <w:iCs/>
          <w:color w:val="222222"/>
          <w:sz w:val="24"/>
          <w:szCs w:val="24"/>
          <w:shd w:val="clear" w:color="auto" w:fill="FFFFFF"/>
        </w:rPr>
        <w:t>29</w:t>
      </w:r>
      <w:r w:rsidRPr="00436C7A">
        <w:rPr>
          <w:rFonts w:ascii="Times New Roman" w:hAnsi="Times New Roman"/>
          <w:color w:val="222222"/>
          <w:sz w:val="24"/>
          <w:szCs w:val="24"/>
          <w:shd w:val="clear" w:color="auto" w:fill="FFFFFF"/>
        </w:rPr>
        <w:t>(2), 680-700.</w:t>
      </w:r>
    </w:p>
    <w:p w14:paraId="339CD9C1" w14:textId="77777777" w:rsidR="0083389C" w:rsidRDefault="0083389C" w:rsidP="00436C7A">
      <w:pPr>
        <w:pStyle w:val="NoSpacing"/>
        <w:spacing w:line="360" w:lineRule="auto"/>
        <w:ind w:left="990" w:hanging="900"/>
        <w:jc w:val="both"/>
        <w:rPr>
          <w:rFonts w:ascii="Times New Roman" w:hAnsi="Times New Roman"/>
          <w:color w:val="222222"/>
          <w:sz w:val="24"/>
          <w:szCs w:val="24"/>
          <w:shd w:val="clear" w:color="auto" w:fill="FFFFFF"/>
        </w:rPr>
      </w:pPr>
      <w:r w:rsidRPr="00436C7A">
        <w:rPr>
          <w:rFonts w:ascii="Times New Roman" w:hAnsi="Times New Roman"/>
          <w:color w:val="222222"/>
          <w:sz w:val="24"/>
          <w:szCs w:val="24"/>
          <w:shd w:val="clear" w:color="auto" w:fill="FFFFFF"/>
        </w:rPr>
        <w:t>Mbasiti, T. H., Gyang, J. Y., &amp; Fransis, O. (2021). An assessment of forensic accounting techniques in the prevention of revenue leakages in Nigerian federal universities. </w:t>
      </w:r>
      <w:r w:rsidRPr="00436C7A">
        <w:rPr>
          <w:rFonts w:ascii="Times New Roman" w:hAnsi="Times New Roman"/>
          <w:i/>
          <w:iCs/>
          <w:color w:val="222222"/>
          <w:sz w:val="24"/>
          <w:szCs w:val="24"/>
          <w:shd w:val="clear" w:color="auto" w:fill="FFFFFF"/>
        </w:rPr>
        <w:t>Journal of Accounting</w:t>
      </w:r>
      <w:r w:rsidRPr="00436C7A">
        <w:rPr>
          <w:rFonts w:ascii="Times New Roman" w:hAnsi="Times New Roman"/>
          <w:color w:val="222222"/>
          <w:sz w:val="24"/>
          <w:szCs w:val="24"/>
          <w:shd w:val="clear" w:color="auto" w:fill="FFFFFF"/>
        </w:rPr>
        <w:t>, </w:t>
      </w:r>
      <w:r w:rsidRPr="00436C7A">
        <w:rPr>
          <w:rFonts w:ascii="Times New Roman" w:hAnsi="Times New Roman"/>
          <w:i/>
          <w:iCs/>
          <w:color w:val="222222"/>
          <w:sz w:val="24"/>
          <w:szCs w:val="24"/>
          <w:shd w:val="clear" w:color="auto" w:fill="FFFFFF"/>
        </w:rPr>
        <w:t>4</w:t>
      </w:r>
      <w:r w:rsidRPr="00436C7A">
        <w:rPr>
          <w:rFonts w:ascii="Times New Roman" w:hAnsi="Times New Roman"/>
          <w:color w:val="222222"/>
          <w:sz w:val="24"/>
          <w:szCs w:val="24"/>
          <w:shd w:val="clear" w:color="auto" w:fill="FFFFFF"/>
        </w:rPr>
        <w:t>(1), 1-21.</w:t>
      </w:r>
    </w:p>
    <w:p w14:paraId="235A999B"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Mbasiti, T. H., Gyang, J. Y., &amp; Ojaide, F. (2021). Forensic accounting techniques: Tools for preventing revenue leakages in Nigerian federal Universities. International Journal of Innovative Science and Research Technology, 6(5), 1384-1393.</w:t>
      </w:r>
    </w:p>
    <w:p w14:paraId="65C396A3" w14:textId="77777777" w:rsidR="0083389C" w:rsidRDefault="0083389C" w:rsidP="00436C7A">
      <w:pPr>
        <w:pStyle w:val="NoSpacing"/>
        <w:spacing w:line="360" w:lineRule="auto"/>
        <w:ind w:left="990" w:hanging="900"/>
        <w:jc w:val="both"/>
        <w:rPr>
          <w:rFonts w:ascii="Times New Roman" w:hAnsi="Times New Roman"/>
          <w:color w:val="222222"/>
          <w:sz w:val="24"/>
          <w:szCs w:val="24"/>
          <w:shd w:val="clear" w:color="auto" w:fill="FFFFFF"/>
        </w:rPr>
      </w:pPr>
      <w:r w:rsidRPr="00436C7A">
        <w:rPr>
          <w:rFonts w:ascii="Times New Roman" w:hAnsi="Times New Roman"/>
          <w:color w:val="222222"/>
          <w:sz w:val="24"/>
          <w:szCs w:val="24"/>
          <w:shd w:val="clear" w:color="auto" w:fill="FFFFFF"/>
        </w:rPr>
        <w:t>Mbasiti, T. H., Gyang, J. Y., &amp; Ojaide, F. (2021). Forensic accounting techniques: Tools for preventing revenue leakages in Nigerian federal Universities. </w:t>
      </w:r>
      <w:r w:rsidRPr="00436C7A">
        <w:rPr>
          <w:rFonts w:ascii="Times New Roman" w:hAnsi="Times New Roman"/>
          <w:i/>
          <w:iCs/>
          <w:color w:val="222222"/>
          <w:sz w:val="24"/>
          <w:szCs w:val="24"/>
          <w:shd w:val="clear" w:color="auto" w:fill="FFFFFF"/>
        </w:rPr>
        <w:t>International Journal of Innovative Science and Research Technology</w:t>
      </w:r>
      <w:r w:rsidRPr="00436C7A">
        <w:rPr>
          <w:rFonts w:ascii="Times New Roman" w:hAnsi="Times New Roman"/>
          <w:color w:val="222222"/>
          <w:sz w:val="24"/>
          <w:szCs w:val="24"/>
          <w:shd w:val="clear" w:color="auto" w:fill="FFFFFF"/>
        </w:rPr>
        <w:t>, </w:t>
      </w:r>
      <w:r w:rsidRPr="00436C7A">
        <w:rPr>
          <w:rFonts w:ascii="Times New Roman" w:hAnsi="Times New Roman"/>
          <w:i/>
          <w:iCs/>
          <w:color w:val="222222"/>
          <w:sz w:val="24"/>
          <w:szCs w:val="24"/>
          <w:shd w:val="clear" w:color="auto" w:fill="FFFFFF"/>
        </w:rPr>
        <w:t>6</w:t>
      </w:r>
      <w:r w:rsidRPr="00436C7A">
        <w:rPr>
          <w:rFonts w:ascii="Times New Roman" w:hAnsi="Times New Roman"/>
          <w:color w:val="222222"/>
          <w:sz w:val="24"/>
          <w:szCs w:val="24"/>
          <w:shd w:val="clear" w:color="auto" w:fill="FFFFFF"/>
        </w:rPr>
        <w:t>(5), 1384-1393.</w:t>
      </w:r>
    </w:p>
    <w:p w14:paraId="1B76E86C"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McMullen, D. A., &amp; Sanchez, M. H. (2010). A preliminary investigation of the necessary skills, education requirements, and training requirements for forensic accountants, Journal of Forensic &amp; Investigative Accounting, 2(2), 30-48.</w:t>
      </w:r>
    </w:p>
    <w:p w14:paraId="3BBF3EB7" w14:textId="77777777" w:rsidR="0083389C" w:rsidRPr="00465786" w:rsidRDefault="0083389C" w:rsidP="003D289F">
      <w:pPr>
        <w:pStyle w:val="NoSpacing"/>
        <w:spacing w:line="360" w:lineRule="auto"/>
        <w:ind w:left="990" w:hanging="900"/>
        <w:jc w:val="both"/>
        <w:rPr>
          <w:rFonts w:ascii="Times New Roman" w:hAnsi="Times New Roman"/>
          <w:sz w:val="24"/>
          <w:szCs w:val="24"/>
          <w:shd w:val="clear" w:color="auto" w:fill="FFFFFF"/>
        </w:rPr>
      </w:pPr>
      <w:r w:rsidRPr="00465786">
        <w:rPr>
          <w:rFonts w:ascii="Times New Roman" w:hAnsi="Times New Roman"/>
          <w:sz w:val="24"/>
          <w:szCs w:val="24"/>
          <w:shd w:val="clear" w:color="auto" w:fill="FFFFFF"/>
        </w:rPr>
        <w:t>Mendoza Jimenez, J., Hernandez Lopez, M., &amp; Franco Escobar, S. E. (2019). Sustainable public procurement: From law to practice. </w:t>
      </w:r>
      <w:r w:rsidRPr="00465786">
        <w:rPr>
          <w:rFonts w:ascii="Times New Roman" w:hAnsi="Times New Roman"/>
          <w:i/>
          <w:iCs/>
          <w:sz w:val="24"/>
          <w:szCs w:val="24"/>
          <w:shd w:val="clear" w:color="auto" w:fill="FFFFFF"/>
        </w:rPr>
        <w:t>Sustainability</w:t>
      </w:r>
      <w:r w:rsidRPr="00465786">
        <w:rPr>
          <w:rFonts w:ascii="Times New Roman" w:hAnsi="Times New Roman"/>
          <w:sz w:val="24"/>
          <w:szCs w:val="24"/>
          <w:shd w:val="clear" w:color="auto" w:fill="FFFFFF"/>
        </w:rPr>
        <w:t>, </w:t>
      </w:r>
      <w:r w:rsidRPr="00465786">
        <w:rPr>
          <w:rFonts w:ascii="Times New Roman" w:hAnsi="Times New Roman"/>
          <w:i/>
          <w:iCs/>
          <w:sz w:val="24"/>
          <w:szCs w:val="24"/>
          <w:shd w:val="clear" w:color="auto" w:fill="FFFFFF"/>
        </w:rPr>
        <w:t>11</w:t>
      </w:r>
      <w:r w:rsidRPr="00465786">
        <w:rPr>
          <w:rFonts w:ascii="Times New Roman" w:hAnsi="Times New Roman"/>
          <w:sz w:val="24"/>
          <w:szCs w:val="24"/>
          <w:shd w:val="clear" w:color="auto" w:fill="FFFFFF"/>
        </w:rPr>
        <w:t>(22), 6388.</w:t>
      </w:r>
    </w:p>
    <w:p w14:paraId="32D5D743"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 xml:space="preserve">Mengi, B. T., &amp; Türkmen, </w:t>
      </w:r>
      <w:r>
        <w:rPr>
          <w:rFonts w:ascii="Times New Roman" w:hAnsi="Times New Roman"/>
          <w:sz w:val="24"/>
          <w:szCs w:val="24"/>
          <w:shd w:val="clear" w:color="auto" w:fill="FFFFFF"/>
        </w:rPr>
        <w:t>S</w:t>
      </w:r>
      <w:r w:rsidRPr="008B1465">
        <w:rPr>
          <w:rFonts w:ascii="Times New Roman" w:hAnsi="Times New Roman"/>
          <w:sz w:val="24"/>
          <w:szCs w:val="24"/>
          <w:shd w:val="clear" w:color="auto" w:fill="FFFFFF"/>
        </w:rPr>
        <w:t>. Y. (2013). Yatirim hileleri. </w:t>
      </w:r>
      <w:r w:rsidRPr="008B1465">
        <w:rPr>
          <w:rFonts w:ascii="Times New Roman" w:hAnsi="Times New Roman"/>
          <w:i/>
          <w:iCs/>
          <w:sz w:val="24"/>
          <w:szCs w:val="24"/>
          <w:shd w:val="clear" w:color="auto" w:fill="FFFFFF"/>
        </w:rPr>
        <w:t>Öneri Dergisi</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10</w:t>
      </w:r>
      <w:r w:rsidRPr="008B1465">
        <w:rPr>
          <w:rFonts w:ascii="Times New Roman" w:hAnsi="Times New Roman"/>
          <w:sz w:val="24"/>
          <w:szCs w:val="24"/>
          <w:shd w:val="clear" w:color="auto" w:fill="FFFFFF"/>
        </w:rPr>
        <w:t>(39), 31-39.</w:t>
      </w:r>
    </w:p>
    <w:p w14:paraId="50AFE494" w14:textId="77777777" w:rsidR="0083389C" w:rsidRDefault="0083389C" w:rsidP="00436C7A">
      <w:pPr>
        <w:pStyle w:val="NoSpacing"/>
        <w:spacing w:line="360" w:lineRule="auto"/>
        <w:ind w:left="990" w:hanging="900"/>
        <w:jc w:val="both"/>
        <w:rPr>
          <w:rFonts w:ascii="Times New Roman" w:hAnsi="Times New Roman"/>
          <w:color w:val="222222"/>
          <w:sz w:val="24"/>
          <w:szCs w:val="24"/>
          <w:shd w:val="clear" w:color="auto" w:fill="FFFFFF"/>
        </w:rPr>
      </w:pPr>
      <w:r w:rsidRPr="00436C7A">
        <w:rPr>
          <w:rFonts w:ascii="Times New Roman" w:hAnsi="Times New Roman"/>
          <w:color w:val="222222"/>
          <w:sz w:val="24"/>
          <w:szCs w:val="24"/>
          <w:shd w:val="clear" w:color="auto" w:fill="FFFFFF"/>
        </w:rPr>
        <w:t>Mergel, I., Edelmann, N., &amp; Haug, N. (2019). Defining digital transformation: Results from expert interviews. </w:t>
      </w:r>
      <w:r w:rsidRPr="00436C7A">
        <w:rPr>
          <w:rFonts w:ascii="Times New Roman" w:hAnsi="Times New Roman"/>
          <w:i/>
          <w:iCs/>
          <w:color w:val="222222"/>
          <w:sz w:val="24"/>
          <w:szCs w:val="24"/>
          <w:shd w:val="clear" w:color="auto" w:fill="FFFFFF"/>
        </w:rPr>
        <w:t>Government information quarterly</w:t>
      </w:r>
      <w:r w:rsidRPr="00436C7A">
        <w:rPr>
          <w:rFonts w:ascii="Times New Roman" w:hAnsi="Times New Roman"/>
          <w:color w:val="222222"/>
          <w:sz w:val="24"/>
          <w:szCs w:val="24"/>
          <w:shd w:val="clear" w:color="auto" w:fill="FFFFFF"/>
        </w:rPr>
        <w:t>, </w:t>
      </w:r>
      <w:r w:rsidRPr="00436C7A">
        <w:rPr>
          <w:rFonts w:ascii="Times New Roman" w:hAnsi="Times New Roman"/>
          <w:i/>
          <w:iCs/>
          <w:color w:val="222222"/>
          <w:sz w:val="24"/>
          <w:szCs w:val="24"/>
          <w:shd w:val="clear" w:color="auto" w:fill="FFFFFF"/>
        </w:rPr>
        <w:t>36</w:t>
      </w:r>
      <w:r w:rsidRPr="00436C7A">
        <w:rPr>
          <w:rFonts w:ascii="Times New Roman" w:hAnsi="Times New Roman"/>
          <w:color w:val="222222"/>
          <w:sz w:val="24"/>
          <w:szCs w:val="24"/>
          <w:shd w:val="clear" w:color="auto" w:fill="FFFFFF"/>
        </w:rPr>
        <w:t>(4), 101385.</w:t>
      </w:r>
    </w:p>
    <w:p w14:paraId="06E0E74C"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Migdal, J. S. (1988). Strong societies and weak states: state-society relations and state capabilities in the Third World. Princeton University Press</w:t>
      </w:r>
    </w:p>
    <w:p w14:paraId="7D1606CD"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Milaham, N., &amp; Milaham, M. (2020). Use of forensic accounting in prevention of frauds in bursary department, University of Jos, Nigeria, </w:t>
      </w:r>
      <w:r w:rsidRPr="008B1465">
        <w:rPr>
          <w:rFonts w:ascii="Times New Roman" w:hAnsi="Times New Roman"/>
          <w:i/>
          <w:iCs/>
          <w:sz w:val="24"/>
          <w:szCs w:val="24"/>
        </w:rPr>
        <w:t>Journal of Educational Research in Developing Areas</w:t>
      </w:r>
      <w:r w:rsidRPr="008B1465">
        <w:rPr>
          <w:rFonts w:ascii="Times New Roman" w:hAnsi="Times New Roman"/>
          <w:sz w:val="24"/>
          <w:szCs w:val="24"/>
        </w:rPr>
        <w:t xml:space="preserve">, </w:t>
      </w:r>
      <w:r w:rsidRPr="008B1465">
        <w:rPr>
          <w:rFonts w:ascii="Times New Roman" w:hAnsi="Times New Roman"/>
          <w:i/>
          <w:iCs/>
          <w:sz w:val="24"/>
          <w:szCs w:val="24"/>
        </w:rPr>
        <w:t>1</w:t>
      </w:r>
      <w:r w:rsidRPr="008B1465">
        <w:rPr>
          <w:rFonts w:ascii="Times New Roman" w:hAnsi="Times New Roman"/>
          <w:sz w:val="24"/>
          <w:szCs w:val="24"/>
        </w:rPr>
        <w:t>(1), 80-87</w:t>
      </w:r>
    </w:p>
    <w:p w14:paraId="510FEF84"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Modugu, K. P., &amp; Anyaduba, J. O. (2013). Forensic accounting and financial fraud in Nigeria: An empirical approach. International Journal of business and social science, 4(7), 281-289.</w:t>
      </w:r>
    </w:p>
    <w:p w14:paraId="6B647D55" w14:textId="77777777" w:rsidR="0083389C" w:rsidRDefault="0083389C" w:rsidP="00D44C13">
      <w:pPr>
        <w:pStyle w:val="NoSpacing"/>
        <w:spacing w:line="360" w:lineRule="auto"/>
        <w:ind w:left="990" w:hanging="900"/>
        <w:jc w:val="both"/>
        <w:rPr>
          <w:rFonts w:ascii="Times New Roman" w:hAnsi="Times New Roman"/>
          <w:sz w:val="24"/>
          <w:szCs w:val="24"/>
          <w:shd w:val="clear" w:color="auto" w:fill="FFFFFF"/>
        </w:rPr>
      </w:pPr>
      <w:r w:rsidRPr="00073EEF">
        <w:rPr>
          <w:rFonts w:ascii="Times New Roman" w:hAnsi="Times New Roman"/>
          <w:sz w:val="24"/>
          <w:szCs w:val="24"/>
          <w:shd w:val="clear" w:color="auto" w:fill="FFFFFF"/>
        </w:rPr>
        <w:t>Mohamed, N., Zakaria, N. B., Nazip, N. S. B. M., &amp; Muhamad, N. F. (2021). The influencing factors of employee fraud in Malaysian financial institution: The application of the fraud pentagon theory. </w:t>
      </w:r>
      <w:r w:rsidRPr="00073EEF">
        <w:rPr>
          <w:rFonts w:ascii="Times New Roman" w:hAnsi="Times New Roman"/>
          <w:i/>
          <w:iCs/>
          <w:sz w:val="24"/>
          <w:szCs w:val="24"/>
          <w:shd w:val="clear" w:color="auto" w:fill="FFFFFF"/>
        </w:rPr>
        <w:t>Academy of Strategic Management Journal</w:t>
      </w:r>
      <w:r w:rsidRPr="00073EEF">
        <w:rPr>
          <w:rFonts w:ascii="Times New Roman" w:hAnsi="Times New Roman"/>
          <w:sz w:val="24"/>
          <w:szCs w:val="24"/>
          <w:shd w:val="clear" w:color="auto" w:fill="FFFFFF"/>
        </w:rPr>
        <w:t>, </w:t>
      </w:r>
      <w:r w:rsidRPr="00073EEF">
        <w:rPr>
          <w:rFonts w:ascii="Times New Roman" w:hAnsi="Times New Roman"/>
          <w:i/>
          <w:iCs/>
          <w:sz w:val="24"/>
          <w:szCs w:val="24"/>
          <w:shd w:val="clear" w:color="auto" w:fill="FFFFFF"/>
        </w:rPr>
        <w:t>20</w:t>
      </w:r>
      <w:r w:rsidRPr="00073EEF">
        <w:rPr>
          <w:rFonts w:ascii="Times New Roman" w:hAnsi="Times New Roman"/>
          <w:sz w:val="24"/>
          <w:szCs w:val="24"/>
          <w:shd w:val="clear" w:color="auto" w:fill="FFFFFF"/>
        </w:rPr>
        <w:t>, 1-12.</w:t>
      </w:r>
    </w:p>
    <w:p w14:paraId="092912AE"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Moses, A. I. (2019). Empirical analysis of forensic accounting techniques in curbing creative accounting in Nigeria (Doctoral dissertation, department of management sciences, college of management and social sciences, school of postgraduate studies, Salem University)</w:t>
      </w:r>
    </w:p>
    <w:p w14:paraId="07BE46CD"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Msita, KMIM (2009). Summary of the Decision on Appeal case No 21 of 2008. </w:t>
      </w:r>
      <w:r w:rsidRPr="008B1465">
        <w:rPr>
          <w:rFonts w:ascii="Times New Roman" w:hAnsi="Times New Roman"/>
          <w:i/>
          <w:iCs/>
          <w:sz w:val="24"/>
          <w:szCs w:val="24"/>
        </w:rPr>
        <w:t>Tanzania Construction Business Journal,</w:t>
      </w:r>
      <w:r w:rsidRPr="008B1465">
        <w:rPr>
          <w:rFonts w:ascii="Times New Roman" w:hAnsi="Times New Roman"/>
          <w:sz w:val="24"/>
          <w:szCs w:val="24"/>
        </w:rPr>
        <w:t xml:space="preserve"> 2(1), 9-27.</w:t>
      </w:r>
    </w:p>
    <w:p w14:paraId="29AED2AF"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Muda, I., &amp; Hasibuan, A. N. (2018). Public discovery of the concept of time value of money with economic value of time. In </w:t>
      </w:r>
      <w:r w:rsidRPr="008B1465">
        <w:rPr>
          <w:rFonts w:ascii="Times New Roman" w:hAnsi="Times New Roman"/>
          <w:i/>
          <w:iCs/>
          <w:sz w:val="24"/>
          <w:szCs w:val="24"/>
          <w:shd w:val="clear" w:color="auto" w:fill="FFFFFF"/>
        </w:rPr>
        <w:t>Proceedings of MICoMS 2017</w:t>
      </w:r>
      <w:r w:rsidRPr="008B1465">
        <w:rPr>
          <w:rFonts w:ascii="Times New Roman" w:hAnsi="Times New Roman"/>
          <w:sz w:val="24"/>
          <w:szCs w:val="24"/>
          <w:shd w:val="clear" w:color="auto" w:fill="FFFFFF"/>
        </w:rPr>
        <w:t>. Emerald Publishing Limited.</w:t>
      </w:r>
    </w:p>
    <w:p w14:paraId="32D53D7F" w14:textId="77777777" w:rsidR="0083389C" w:rsidRPr="00465786" w:rsidRDefault="0083389C" w:rsidP="003D289F">
      <w:pPr>
        <w:pStyle w:val="NoSpacing"/>
        <w:spacing w:line="360" w:lineRule="auto"/>
        <w:ind w:left="990" w:hanging="900"/>
        <w:jc w:val="both"/>
        <w:rPr>
          <w:rFonts w:ascii="Times New Roman" w:hAnsi="Times New Roman"/>
          <w:sz w:val="24"/>
          <w:szCs w:val="24"/>
          <w:shd w:val="clear" w:color="auto" w:fill="FFFFFF"/>
        </w:rPr>
      </w:pPr>
      <w:r w:rsidRPr="00465786">
        <w:rPr>
          <w:rFonts w:ascii="Times New Roman" w:hAnsi="Times New Roman"/>
          <w:sz w:val="24"/>
          <w:szCs w:val="24"/>
          <w:shd w:val="clear" w:color="auto" w:fill="FFFFFF"/>
        </w:rPr>
        <w:t>Mudasiru, O. S., &amp; Adeleke, R. A. (2022). Evaluating the impact of plea bargaining on corruption control in Nigeria. </w:t>
      </w:r>
      <w:r w:rsidRPr="00465786">
        <w:rPr>
          <w:rFonts w:ascii="Times New Roman" w:hAnsi="Times New Roman"/>
          <w:i/>
          <w:iCs/>
          <w:sz w:val="24"/>
          <w:szCs w:val="24"/>
          <w:shd w:val="clear" w:color="auto" w:fill="FFFFFF"/>
        </w:rPr>
        <w:t>Academic Journal of Legal Studies and Research</w:t>
      </w:r>
      <w:r w:rsidRPr="00465786">
        <w:rPr>
          <w:rFonts w:ascii="Times New Roman" w:hAnsi="Times New Roman"/>
          <w:sz w:val="24"/>
          <w:szCs w:val="24"/>
          <w:shd w:val="clear" w:color="auto" w:fill="FFFFFF"/>
        </w:rPr>
        <w:t>, </w:t>
      </w:r>
      <w:r w:rsidRPr="00465786">
        <w:rPr>
          <w:rFonts w:ascii="Times New Roman" w:hAnsi="Times New Roman"/>
          <w:i/>
          <w:iCs/>
          <w:sz w:val="24"/>
          <w:szCs w:val="24"/>
          <w:shd w:val="clear" w:color="auto" w:fill="FFFFFF"/>
        </w:rPr>
        <w:t>7</w:t>
      </w:r>
      <w:r w:rsidRPr="00465786">
        <w:rPr>
          <w:rFonts w:ascii="Times New Roman" w:hAnsi="Times New Roman"/>
          <w:sz w:val="24"/>
          <w:szCs w:val="24"/>
          <w:shd w:val="clear" w:color="auto" w:fill="FFFFFF"/>
        </w:rPr>
        <w:t>(6), 18-28.</w:t>
      </w:r>
    </w:p>
    <w:p w14:paraId="39A4F446"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Mukoro, D.</w:t>
      </w:r>
      <w:r>
        <w:rPr>
          <w:rFonts w:ascii="Times New Roman" w:hAnsi="Times New Roman"/>
          <w:sz w:val="24"/>
          <w:szCs w:val="24"/>
        </w:rPr>
        <w:t xml:space="preserve"> </w:t>
      </w:r>
      <w:r w:rsidRPr="008B1465">
        <w:rPr>
          <w:rFonts w:ascii="Times New Roman" w:hAnsi="Times New Roman"/>
          <w:sz w:val="24"/>
          <w:szCs w:val="24"/>
        </w:rPr>
        <w:t>O.</w:t>
      </w:r>
      <w:r>
        <w:rPr>
          <w:rFonts w:ascii="Times New Roman" w:hAnsi="Times New Roman"/>
          <w:sz w:val="24"/>
          <w:szCs w:val="24"/>
        </w:rPr>
        <w:t>,</w:t>
      </w:r>
      <w:r w:rsidRPr="008B1465">
        <w:rPr>
          <w:rFonts w:ascii="Times New Roman" w:hAnsi="Times New Roman"/>
          <w:sz w:val="24"/>
          <w:szCs w:val="24"/>
        </w:rPr>
        <w:t xml:space="preserve"> Faboyede, S.</w:t>
      </w:r>
      <w:r>
        <w:rPr>
          <w:rFonts w:ascii="Times New Roman" w:hAnsi="Times New Roman"/>
          <w:sz w:val="24"/>
          <w:szCs w:val="24"/>
        </w:rPr>
        <w:t xml:space="preserve"> </w:t>
      </w:r>
      <w:r w:rsidRPr="008B1465">
        <w:rPr>
          <w:rFonts w:ascii="Times New Roman" w:hAnsi="Times New Roman"/>
          <w:sz w:val="24"/>
          <w:szCs w:val="24"/>
        </w:rPr>
        <w:t>O.</w:t>
      </w:r>
      <w:r>
        <w:rPr>
          <w:rFonts w:ascii="Times New Roman" w:hAnsi="Times New Roman"/>
          <w:sz w:val="24"/>
          <w:szCs w:val="24"/>
        </w:rPr>
        <w:t>,</w:t>
      </w:r>
      <w:r w:rsidRPr="008B1465">
        <w:rPr>
          <w:rFonts w:ascii="Times New Roman" w:hAnsi="Times New Roman"/>
          <w:sz w:val="24"/>
          <w:szCs w:val="24"/>
        </w:rPr>
        <w:t xml:space="preserve"> &amp; Edafejirhaye, V. I. (2011). Forensic Accounting and Fraud Management Perspective: An Integrated Approach. </w:t>
      </w:r>
      <w:r w:rsidRPr="008B1465">
        <w:rPr>
          <w:rFonts w:ascii="Times New Roman" w:hAnsi="Times New Roman"/>
          <w:i/>
          <w:iCs/>
          <w:sz w:val="24"/>
          <w:szCs w:val="24"/>
        </w:rPr>
        <w:t>H-Link Excel, Lagos</w:t>
      </w:r>
      <w:r w:rsidRPr="008B1465">
        <w:rPr>
          <w:rFonts w:ascii="Times New Roman" w:hAnsi="Times New Roman"/>
          <w:sz w:val="24"/>
          <w:szCs w:val="24"/>
        </w:rPr>
        <w:t>.</w:t>
      </w:r>
    </w:p>
    <w:p w14:paraId="083BF1AE"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Mukoro, D., Yamusa, O., &amp; Faboyede, S. (2013). The Role of forensic accountants in fraud Detection and National security in Nigeria. </w:t>
      </w:r>
      <w:r w:rsidRPr="008B1465">
        <w:rPr>
          <w:rFonts w:ascii="Times New Roman" w:hAnsi="Times New Roman"/>
          <w:i/>
          <w:iCs/>
          <w:sz w:val="24"/>
          <w:szCs w:val="24"/>
        </w:rPr>
        <w:t>Change and Leadership</w:t>
      </w:r>
      <w:r w:rsidRPr="008B1465">
        <w:rPr>
          <w:rFonts w:ascii="Times New Roman" w:hAnsi="Times New Roman"/>
          <w:sz w:val="24"/>
          <w:szCs w:val="24"/>
        </w:rPr>
        <w:t xml:space="preserve">, 17, 90-106. </w:t>
      </w:r>
    </w:p>
    <w:p w14:paraId="7EB3684A"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Musila, J. W. (2020). Anticorruption Strategies in Sub-Saharan Africa: Lessons from Experience and Ingredients of a Successful Strategy. In Contemporary Issues and Prospects in Business Development in Africa. </w:t>
      </w:r>
      <w:r w:rsidRPr="008B1465">
        <w:rPr>
          <w:rFonts w:ascii="Times New Roman" w:hAnsi="Times New Roman"/>
          <w:i/>
          <w:iCs/>
          <w:sz w:val="24"/>
          <w:szCs w:val="24"/>
        </w:rPr>
        <w:t>Routledge</w:t>
      </w:r>
      <w:r w:rsidRPr="008B1465">
        <w:rPr>
          <w:rFonts w:ascii="Times New Roman" w:hAnsi="Times New Roman"/>
          <w:sz w:val="24"/>
          <w:szCs w:val="24"/>
        </w:rPr>
        <w:t xml:space="preserve">, 26-40. </w:t>
      </w:r>
    </w:p>
    <w:p w14:paraId="43B4D50B"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Ndu, O. M., &amp; Nnaemeka, I. E. (2019). Value for Money (VFM) Audit and Public Sector Performance in Afikpo North Local Government Area of Ebonyi State, Nigeria, </w:t>
      </w:r>
      <w:r w:rsidRPr="008B1465">
        <w:rPr>
          <w:rFonts w:ascii="Times New Roman" w:hAnsi="Times New Roman"/>
          <w:i/>
          <w:iCs/>
          <w:sz w:val="24"/>
          <w:szCs w:val="24"/>
        </w:rPr>
        <w:t>International Journal of Public Policy and Administration Research</w:t>
      </w:r>
      <w:r w:rsidRPr="008B1465">
        <w:rPr>
          <w:rFonts w:ascii="Times New Roman" w:hAnsi="Times New Roman"/>
          <w:sz w:val="24"/>
          <w:szCs w:val="24"/>
        </w:rPr>
        <w:t>, 6(2), 147-156.</w:t>
      </w:r>
    </w:p>
    <w:p w14:paraId="0B5DF212"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Newstrom, J. W. 2011. Organisational behaviour: Human behaviour at work (13th Ed.). New York: McGrawHill.</w:t>
      </w:r>
    </w:p>
    <w:p w14:paraId="2E1C65AC"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Nosiri, H., Abiahu, M. F. C., &amp; Uwakwe, T. N. (2021). Forensic Accounting and Tax Fraud Detection in the Nigerian Public Sector. In Forensic accounting and tax fraud detection in the Nigerian public sector. In Taxation, Social Contract and Economic Development</w:t>
      </w:r>
      <w:r w:rsidRPr="008B1465">
        <w:rPr>
          <w:rFonts w:ascii="Times New Roman" w:hAnsi="Times New Roman"/>
          <w:i/>
          <w:iCs/>
          <w:sz w:val="24"/>
          <w:szCs w:val="24"/>
          <w:shd w:val="clear" w:color="auto" w:fill="FFFFFF"/>
        </w:rPr>
        <w:t>. Proceedings of 4th Annual International Academic Conference of the Chartered Institute of Taxation of Nigeria</w:t>
      </w:r>
      <w:r>
        <w:rPr>
          <w:rFonts w:ascii="Times New Roman" w:hAnsi="Times New Roman"/>
          <w:i/>
          <w:iCs/>
          <w:sz w:val="24"/>
          <w:szCs w:val="24"/>
          <w:shd w:val="clear" w:color="auto" w:fill="FFFFFF"/>
        </w:rPr>
        <w:t>.</w:t>
      </w:r>
    </w:p>
    <w:p w14:paraId="127535C1" w14:textId="77777777" w:rsidR="0083389C" w:rsidRDefault="0083389C" w:rsidP="00436C7A">
      <w:pPr>
        <w:pStyle w:val="NoSpacing"/>
        <w:spacing w:line="360" w:lineRule="auto"/>
        <w:ind w:left="990" w:hanging="900"/>
        <w:jc w:val="both"/>
        <w:rPr>
          <w:rFonts w:ascii="Times New Roman" w:hAnsi="Times New Roman"/>
          <w:color w:val="222222"/>
          <w:sz w:val="24"/>
          <w:szCs w:val="24"/>
          <w:shd w:val="clear" w:color="auto" w:fill="FFFFFF"/>
        </w:rPr>
      </w:pPr>
      <w:r w:rsidRPr="00436C7A">
        <w:rPr>
          <w:rFonts w:ascii="Times New Roman" w:hAnsi="Times New Roman"/>
          <w:color w:val="222222"/>
          <w:sz w:val="24"/>
          <w:szCs w:val="24"/>
          <w:shd w:val="clear" w:color="auto" w:fill="FFFFFF"/>
        </w:rPr>
        <w:t>Núñez, R., Allen, M., Gao, R., Miller Rigoli, C., Relaford-Doyle, J., &amp; Semenuks, A. (2019). What happened to cognitive science? </w:t>
      </w:r>
      <w:r w:rsidRPr="00436C7A">
        <w:rPr>
          <w:rFonts w:ascii="Times New Roman" w:hAnsi="Times New Roman"/>
          <w:i/>
          <w:iCs/>
          <w:color w:val="222222"/>
          <w:sz w:val="24"/>
          <w:szCs w:val="24"/>
          <w:shd w:val="clear" w:color="auto" w:fill="FFFFFF"/>
        </w:rPr>
        <w:t>Nature human behaviour</w:t>
      </w:r>
      <w:r w:rsidRPr="00436C7A">
        <w:rPr>
          <w:rFonts w:ascii="Times New Roman" w:hAnsi="Times New Roman"/>
          <w:color w:val="222222"/>
          <w:sz w:val="24"/>
          <w:szCs w:val="24"/>
          <w:shd w:val="clear" w:color="auto" w:fill="FFFFFF"/>
        </w:rPr>
        <w:t>, </w:t>
      </w:r>
      <w:r w:rsidRPr="00436C7A">
        <w:rPr>
          <w:rFonts w:ascii="Times New Roman" w:hAnsi="Times New Roman"/>
          <w:i/>
          <w:iCs/>
          <w:color w:val="222222"/>
          <w:sz w:val="24"/>
          <w:szCs w:val="24"/>
          <w:shd w:val="clear" w:color="auto" w:fill="FFFFFF"/>
        </w:rPr>
        <w:t>3</w:t>
      </w:r>
      <w:r w:rsidRPr="00436C7A">
        <w:rPr>
          <w:rFonts w:ascii="Times New Roman" w:hAnsi="Times New Roman"/>
          <w:color w:val="222222"/>
          <w:sz w:val="24"/>
          <w:szCs w:val="24"/>
          <w:shd w:val="clear" w:color="auto" w:fill="FFFFFF"/>
        </w:rPr>
        <w:t>(8), 782-791.</w:t>
      </w:r>
    </w:p>
    <w:p w14:paraId="359BDE6B"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Nwamgbebu Obinna, P., Oketa Chiamaka, E., Agba Chukwuka, C., &amp; Nwambe, C. O. (2018). Effect of value for money auditing on cost of governance in Nigeria: Evidence from local government councils in Ebonyi State, Nigeria. </w:t>
      </w:r>
    </w:p>
    <w:p w14:paraId="37B07647"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Nwosu, E. M. (2020). Financial Reporting of Public Sector Accounting in Nigeria: A Case of Imo State. </w:t>
      </w:r>
      <w:r w:rsidRPr="008B1465">
        <w:rPr>
          <w:rFonts w:ascii="Times New Roman" w:hAnsi="Times New Roman"/>
          <w:i/>
          <w:iCs/>
          <w:sz w:val="24"/>
          <w:szCs w:val="24"/>
        </w:rPr>
        <w:t>West African Journal of Industrial &amp; Academic Research</w:t>
      </w:r>
      <w:r w:rsidRPr="008B1465">
        <w:rPr>
          <w:rFonts w:ascii="Times New Roman" w:hAnsi="Times New Roman"/>
          <w:sz w:val="24"/>
          <w:szCs w:val="24"/>
        </w:rPr>
        <w:t>, 21(2)</w:t>
      </w:r>
    </w:p>
    <w:p w14:paraId="07B65F9B"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Nwosu, M. E. &amp; Mshelia, M. I. (2015). Value for Money Audit: A Veritable Tool for Expenditure Management. </w:t>
      </w:r>
      <w:r w:rsidRPr="008B1465">
        <w:rPr>
          <w:rFonts w:ascii="Times New Roman" w:hAnsi="Times New Roman"/>
          <w:i/>
          <w:iCs/>
          <w:sz w:val="24"/>
          <w:szCs w:val="24"/>
        </w:rPr>
        <w:t>International Journal of Financial Research</w:t>
      </w:r>
      <w:r w:rsidRPr="008B1465">
        <w:rPr>
          <w:rFonts w:ascii="Times New Roman" w:hAnsi="Times New Roman"/>
          <w:sz w:val="24"/>
          <w:szCs w:val="24"/>
        </w:rPr>
        <w:t>, 6(3), 150-162</w:t>
      </w:r>
    </w:p>
    <w:p w14:paraId="7A7E80AA" w14:textId="77777777" w:rsidR="0083389C" w:rsidRDefault="0083389C" w:rsidP="00436C7A">
      <w:pPr>
        <w:pStyle w:val="NoSpacing"/>
        <w:spacing w:line="360" w:lineRule="auto"/>
        <w:ind w:left="990" w:hanging="900"/>
        <w:jc w:val="both"/>
        <w:rPr>
          <w:rFonts w:ascii="Times New Roman" w:hAnsi="Times New Roman"/>
          <w:color w:val="222222"/>
          <w:sz w:val="24"/>
          <w:szCs w:val="24"/>
          <w:shd w:val="clear" w:color="auto" w:fill="FFFFFF"/>
        </w:rPr>
      </w:pPr>
      <w:r w:rsidRPr="00436C7A">
        <w:rPr>
          <w:rFonts w:ascii="Times New Roman" w:hAnsi="Times New Roman"/>
          <w:color w:val="222222"/>
          <w:sz w:val="24"/>
          <w:szCs w:val="24"/>
          <w:shd w:val="clear" w:color="auto" w:fill="FFFFFF"/>
        </w:rPr>
        <w:t>Obeng-Nyarko, J. K. (2023). </w:t>
      </w:r>
      <w:r w:rsidRPr="00436C7A">
        <w:rPr>
          <w:rFonts w:ascii="Times New Roman" w:hAnsi="Times New Roman"/>
          <w:i/>
          <w:iCs/>
          <w:color w:val="222222"/>
          <w:sz w:val="24"/>
          <w:szCs w:val="24"/>
          <w:shd w:val="clear" w:color="auto" w:fill="FFFFFF"/>
        </w:rPr>
        <w:t>Effects of Sarbanes-Oxley Act 2002 on the Quality of Corporate Reporting by UK Listed Companies</w:t>
      </w:r>
      <w:r w:rsidRPr="00436C7A">
        <w:rPr>
          <w:rFonts w:ascii="Times New Roman" w:hAnsi="Times New Roman"/>
          <w:color w:val="222222"/>
          <w:sz w:val="24"/>
          <w:szCs w:val="24"/>
          <w:shd w:val="clear" w:color="auto" w:fill="FFFFFF"/>
        </w:rPr>
        <w:t> (Doctoral dissertation, University of Essex).</w:t>
      </w:r>
    </w:p>
    <w:p w14:paraId="621B0546"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Oderinde, O. (2020). Ethical Misconduct among Nigerian Church Leaders in the Context of 1 Timothy 3: 1-7. Research on Humanities and Social Sciences, 4, 27-32.</w:t>
      </w:r>
    </w:p>
    <w:p w14:paraId="41A630A9" w14:textId="77777777" w:rsidR="0083389C" w:rsidRDefault="0083389C" w:rsidP="00436C7A">
      <w:pPr>
        <w:pStyle w:val="NoSpacing"/>
        <w:spacing w:line="360" w:lineRule="auto"/>
        <w:ind w:left="990" w:hanging="900"/>
        <w:jc w:val="both"/>
        <w:rPr>
          <w:rFonts w:ascii="Times New Roman" w:hAnsi="Times New Roman"/>
          <w:color w:val="222222"/>
          <w:sz w:val="24"/>
          <w:szCs w:val="24"/>
          <w:shd w:val="clear" w:color="auto" w:fill="FFFFFF"/>
        </w:rPr>
      </w:pPr>
      <w:r w:rsidRPr="00436C7A">
        <w:rPr>
          <w:rFonts w:ascii="Times New Roman" w:hAnsi="Times New Roman"/>
          <w:color w:val="222222"/>
          <w:sz w:val="24"/>
          <w:szCs w:val="24"/>
          <w:shd w:val="clear" w:color="auto" w:fill="FFFFFF"/>
        </w:rPr>
        <w:t>O'Dwyer, B., &amp; Unerman, J. (2020). Shifting the focus of sustainability accounting from impacts to risks and dependencies: Researching the transformative potential of TCFD reporting. </w:t>
      </w:r>
      <w:r w:rsidRPr="00436C7A">
        <w:rPr>
          <w:rFonts w:ascii="Times New Roman" w:hAnsi="Times New Roman"/>
          <w:i/>
          <w:iCs/>
          <w:color w:val="222222"/>
          <w:sz w:val="24"/>
          <w:szCs w:val="24"/>
          <w:shd w:val="clear" w:color="auto" w:fill="FFFFFF"/>
        </w:rPr>
        <w:t>Accounting, Auditing &amp; Accountability Journal</w:t>
      </w:r>
      <w:r w:rsidRPr="00436C7A">
        <w:rPr>
          <w:rFonts w:ascii="Times New Roman" w:hAnsi="Times New Roman"/>
          <w:color w:val="222222"/>
          <w:sz w:val="24"/>
          <w:szCs w:val="24"/>
          <w:shd w:val="clear" w:color="auto" w:fill="FFFFFF"/>
        </w:rPr>
        <w:t>, </w:t>
      </w:r>
      <w:r w:rsidRPr="00436C7A">
        <w:rPr>
          <w:rFonts w:ascii="Times New Roman" w:hAnsi="Times New Roman"/>
          <w:i/>
          <w:iCs/>
          <w:color w:val="222222"/>
          <w:sz w:val="24"/>
          <w:szCs w:val="24"/>
          <w:shd w:val="clear" w:color="auto" w:fill="FFFFFF"/>
        </w:rPr>
        <w:t>33</w:t>
      </w:r>
      <w:r w:rsidRPr="00436C7A">
        <w:rPr>
          <w:rFonts w:ascii="Times New Roman" w:hAnsi="Times New Roman"/>
          <w:color w:val="222222"/>
          <w:sz w:val="24"/>
          <w:szCs w:val="24"/>
          <w:shd w:val="clear" w:color="auto" w:fill="FFFFFF"/>
        </w:rPr>
        <w:t>(5), 1113-1141.</w:t>
      </w:r>
    </w:p>
    <w:p w14:paraId="1FA5A242"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OECD/DAC (2007), “Assessment of Country’s Procurement System” (Tanzania) Tanzania Procurement Journal, 1(5)</w:t>
      </w:r>
      <w:r>
        <w:rPr>
          <w:rFonts w:ascii="Times New Roman" w:hAnsi="Times New Roman"/>
          <w:sz w:val="24"/>
          <w:szCs w:val="24"/>
        </w:rPr>
        <w:t>,</w:t>
      </w:r>
      <w:r w:rsidRPr="008B1465">
        <w:rPr>
          <w:rFonts w:ascii="Times New Roman" w:hAnsi="Times New Roman"/>
          <w:sz w:val="24"/>
          <w:szCs w:val="24"/>
        </w:rPr>
        <w:t xml:space="preserve"> 5 – 21</w:t>
      </w:r>
    </w:p>
    <w:p w14:paraId="304E6FCE"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shd w:val="clear" w:color="auto" w:fill="FFFFFF"/>
        </w:rPr>
        <w:t xml:space="preserve">Ogbeide, S. O., Aribaba, F. O., Fapohunda, F. M., &amp; Omoregie, L. C. (2017). Empirical assessment of factors influencing intention to use forensic accounting services in Nigeria, </w:t>
      </w:r>
      <w:r w:rsidRPr="008B1465">
        <w:rPr>
          <w:rFonts w:ascii="Times New Roman" w:hAnsi="Times New Roman"/>
          <w:i/>
          <w:iCs/>
          <w:sz w:val="24"/>
          <w:szCs w:val="24"/>
        </w:rPr>
        <w:t>International Journal of Research in Business Studies and Management</w:t>
      </w:r>
      <w:r w:rsidRPr="008B1465">
        <w:rPr>
          <w:rFonts w:ascii="Times New Roman" w:hAnsi="Times New Roman"/>
          <w:sz w:val="24"/>
          <w:szCs w:val="24"/>
        </w:rPr>
        <w:t>, 4(4), 24-31</w:t>
      </w:r>
    </w:p>
    <w:p w14:paraId="4C2403A8" w14:textId="77777777" w:rsidR="0083389C" w:rsidRPr="00465786" w:rsidRDefault="0083389C" w:rsidP="003D289F">
      <w:pPr>
        <w:pStyle w:val="NoSpacing"/>
        <w:spacing w:line="360" w:lineRule="auto"/>
        <w:ind w:left="990" w:hanging="900"/>
        <w:jc w:val="both"/>
        <w:rPr>
          <w:rFonts w:ascii="Times New Roman" w:hAnsi="Times New Roman"/>
          <w:sz w:val="24"/>
          <w:szCs w:val="24"/>
          <w:shd w:val="clear" w:color="auto" w:fill="FFFFFF"/>
        </w:rPr>
      </w:pPr>
      <w:r w:rsidRPr="00465786">
        <w:rPr>
          <w:rFonts w:ascii="Times New Roman" w:hAnsi="Times New Roman"/>
          <w:sz w:val="24"/>
          <w:szCs w:val="24"/>
          <w:shd w:val="clear" w:color="auto" w:fill="FFFFFF"/>
        </w:rPr>
        <w:t>Ogunode, N. J., Ohunene, L. A., &amp; Olatunde-Aiyedun, T. G. (2022). A review of factors responsible for high rate of financial corruption in public universities in Nigeria. </w:t>
      </w:r>
      <w:r w:rsidRPr="00465786">
        <w:rPr>
          <w:rFonts w:ascii="Times New Roman" w:hAnsi="Times New Roman"/>
          <w:i/>
          <w:iCs/>
          <w:sz w:val="24"/>
          <w:szCs w:val="24"/>
          <w:shd w:val="clear" w:color="auto" w:fill="FFFFFF"/>
        </w:rPr>
        <w:t>Central Asian Journal of Social Sciences and History</w:t>
      </w:r>
      <w:r w:rsidRPr="00465786">
        <w:rPr>
          <w:rFonts w:ascii="Times New Roman" w:hAnsi="Times New Roman"/>
          <w:sz w:val="24"/>
          <w:szCs w:val="24"/>
          <w:shd w:val="clear" w:color="auto" w:fill="FFFFFF"/>
        </w:rPr>
        <w:t>, </w:t>
      </w:r>
      <w:r w:rsidRPr="00465786">
        <w:rPr>
          <w:rFonts w:ascii="Times New Roman" w:hAnsi="Times New Roman"/>
          <w:i/>
          <w:iCs/>
          <w:sz w:val="24"/>
          <w:szCs w:val="24"/>
          <w:shd w:val="clear" w:color="auto" w:fill="FFFFFF"/>
        </w:rPr>
        <w:t>3</w:t>
      </w:r>
      <w:r w:rsidRPr="00465786">
        <w:rPr>
          <w:rFonts w:ascii="Times New Roman" w:hAnsi="Times New Roman"/>
          <w:sz w:val="24"/>
          <w:szCs w:val="24"/>
          <w:shd w:val="clear" w:color="auto" w:fill="FFFFFF"/>
        </w:rPr>
        <w:t>(7), 30-44.</w:t>
      </w:r>
    </w:p>
    <w:p w14:paraId="1CAD2B5C"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Okafor, T. G. (2018). Environmental costs accounting and reporting on firm financial performance: A survey of quoted Nigerian oil companies. </w:t>
      </w:r>
      <w:r w:rsidRPr="008B1465">
        <w:rPr>
          <w:rFonts w:ascii="Times New Roman" w:hAnsi="Times New Roman"/>
          <w:i/>
          <w:iCs/>
          <w:sz w:val="24"/>
          <w:szCs w:val="24"/>
        </w:rPr>
        <w:t>International Journal of Finance and Accounting</w:t>
      </w:r>
      <w:r w:rsidRPr="008B1465">
        <w:rPr>
          <w:rFonts w:ascii="Times New Roman" w:hAnsi="Times New Roman"/>
          <w:sz w:val="24"/>
          <w:szCs w:val="24"/>
        </w:rPr>
        <w:t>, 7(1), 1-6.</w:t>
      </w:r>
    </w:p>
    <w:p w14:paraId="3A652E68"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Okere, W., Eluyela, F. D., Bassey, I., &amp; Ajetunmobi, O. (2018). Public sector accounting standards and quality of financial reporting: A case of Ogun state government administration in Nigeria. </w:t>
      </w:r>
      <w:r w:rsidRPr="008B1465">
        <w:rPr>
          <w:rFonts w:ascii="Times New Roman" w:hAnsi="Times New Roman"/>
          <w:i/>
          <w:iCs/>
          <w:sz w:val="24"/>
          <w:szCs w:val="24"/>
        </w:rPr>
        <w:t>Business and Management Research Journal</w:t>
      </w:r>
      <w:r w:rsidRPr="008B1465">
        <w:rPr>
          <w:rFonts w:ascii="Times New Roman" w:hAnsi="Times New Roman"/>
          <w:sz w:val="24"/>
          <w:szCs w:val="24"/>
        </w:rPr>
        <w:t>, 7(7), 76-81.</w:t>
      </w:r>
    </w:p>
    <w:p w14:paraId="56B21848"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Okolie A. O. (2014). Audit quality and earnings response coefficients of Quoted Companies in Nigeria. </w:t>
      </w:r>
      <w:r w:rsidRPr="008B1465">
        <w:rPr>
          <w:rFonts w:ascii="Times New Roman" w:hAnsi="Times New Roman"/>
          <w:i/>
          <w:iCs/>
          <w:sz w:val="24"/>
          <w:szCs w:val="24"/>
        </w:rPr>
        <w:t>Journal of Applied Finance &amp; Banking</w:t>
      </w:r>
      <w:r w:rsidRPr="008B1465">
        <w:rPr>
          <w:rFonts w:ascii="Times New Roman" w:hAnsi="Times New Roman"/>
          <w:sz w:val="24"/>
          <w:szCs w:val="24"/>
        </w:rPr>
        <w:t>, 4(2), 139-161</w:t>
      </w:r>
    </w:p>
    <w:p w14:paraId="095A6D75"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Okoye E.</w:t>
      </w:r>
      <w:r>
        <w:rPr>
          <w:rFonts w:ascii="Times New Roman" w:hAnsi="Times New Roman"/>
          <w:sz w:val="24"/>
          <w:szCs w:val="24"/>
        </w:rPr>
        <w:t xml:space="preserve"> </w:t>
      </w:r>
      <w:r w:rsidRPr="008B1465">
        <w:rPr>
          <w:rFonts w:ascii="Times New Roman" w:hAnsi="Times New Roman"/>
          <w:sz w:val="24"/>
          <w:szCs w:val="24"/>
        </w:rPr>
        <w:t xml:space="preserve">I. &amp; Akamobi, N. L. (2009). The role of forensic accounting in fraud investigation and litigation support. </w:t>
      </w:r>
      <w:r w:rsidRPr="008B1465">
        <w:rPr>
          <w:rFonts w:ascii="Times New Roman" w:hAnsi="Times New Roman"/>
          <w:i/>
          <w:iCs/>
          <w:sz w:val="24"/>
          <w:szCs w:val="24"/>
        </w:rPr>
        <w:t>The Nigerian Academic Forum</w:t>
      </w:r>
      <w:r w:rsidRPr="008B1465">
        <w:rPr>
          <w:rFonts w:ascii="Times New Roman" w:hAnsi="Times New Roman"/>
          <w:sz w:val="24"/>
          <w:szCs w:val="24"/>
        </w:rPr>
        <w:t>, 17(1), 2-9.</w:t>
      </w:r>
    </w:p>
    <w:p w14:paraId="6D25D92C"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Okoye, E. (2009). Forensic accounting in developing economies: Problems and prospects. </w:t>
      </w:r>
      <w:r w:rsidRPr="008B1465">
        <w:rPr>
          <w:rFonts w:ascii="Times New Roman" w:hAnsi="Times New Roman"/>
          <w:i/>
          <w:iCs/>
          <w:sz w:val="24"/>
          <w:szCs w:val="24"/>
        </w:rPr>
        <w:t>The University Advanced Research Journal</w:t>
      </w:r>
      <w:r w:rsidRPr="008B1465">
        <w:rPr>
          <w:rFonts w:ascii="Times New Roman" w:hAnsi="Times New Roman"/>
          <w:sz w:val="24"/>
          <w:szCs w:val="24"/>
        </w:rPr>
        <w:t>, 1, 1–13.</w:t>
      </w:r>
    </w:p>
    <w:p w14:paraId="60096B9D"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Okoye, E. I., Adeniyi, S. I., &amp; James, O. N. (2019). Effect of forensic accounting on fraud management on selected firms in Nigeria. </w:t>
      </w:r>
      <w:r w:rsidRPr="008B1465">
        <w:rPr>
          <w:rFonts w:ascii="Times New Roman" w:hAnsi="Times New Roman"/>
          <w:i/>
          <w:iCs/>
          <w:sz w:val="24"/>
          <w:szCs w:val="24"/>
        </w:rPr>
        <w:t>International Journal of Economics, Business and Management Research</w:t>
      </w:r>
      <w:r w:rsidRPr="008B1465">
        <w:rPr>
          <w:rFonts w:ascii="Times New Roman" w:hAnsi="Times New Roman"/>
          <w:sz w:val="24"/>
          <w:szCs w:val="24"/>
        </w:rPr>
        <w:t xml:space="preserve">, </w:t>
      </w:r>
      <w:r w:rsidRPr="008B1465">
        <w:rPr>
          <w:rFonts w:ascii="Times New Roman" w:hAnsi="Times New Roman"/>
          <w:i/>
          <w:iCs/>
          <w:sz w:val="24"/>
          <w:szCs w:val="24"/>
        </w:rPr>
        <w:t>3</w:t>
      </w:r>
      <w:r w:rsidRPr="008B1465">
        <w:rPr>
          <w:rFonts w:ascii="Times New Roman" w:hAnsi="Times New Roman"/>
          <w:sz w:val="24"/>
          <w:szCs w:val="24"/>
        </w:rPr>
        <w:t>(12), 149-158.</w:t>
      </w:r>
    </w:p>
    <w:p w14:paraId="64723EF9"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Okoye, E., &amp; Ndah, E. N. (2019). Forensic accounting and fraud prevention in manufacturing companies in Nigeria. </w:t>
      </w:r>
      <w:r w:rsidRPr="008B1465">
        <w:rPr>
          <w:rFonts w:ascii="Times New Roman" w:hAnsi="Times New Roman"/>
          <w:i/>
          <w:iCs/>
          <w:sz w:val="24"/>
          <w:szCs w:val="24"/>
        </w:rPr>
        <w:t>International Journal of Innovative Finance and Economics Research</w:t>
      </w:r>
      <w:r w:rsidRPr="008B1465">
        <w:rPr>
          <w:rFonts w:ascii="Times New Roman" w:hAnsi="Times New Roman"/>
          <w:sz w:val="24"/>
          <w:szCs w:val="24"/>
        </w:rPr>
        <w:t>, 7(1), 107–116.</w:t>
      </w:r>
    </w:p>
    <w:p w14:paraId="0DE6C79A"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Okoye, P. V. C., Egbunike, F. C., &amp; Meduoye, O. M. (2013). Product cost management via the kaizen costing system: perception of Accountants. </w:t>
      </w:r>
      <w:r w:rsidRPr="008B1465">
        <w:rPr>
          <w:rFonts w:ascii="Times New Roman" w:hAnsi="Times New Roman"/>
          <w:i/>
          <w:iCs/>
          <w:sz w:val="24"/>
          <w:szCs w:val="24"/>
          <w:shd w:val="clear" w:color="auto" w:fill="FFFFFF"/>
        </w:rPr>
        <w:t>Journal of Management And Sustainability</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3</w:t>
      </w:r>
      <w:r w:rsidRPr="008B1465">
        <w:rPr>
          <w:rFonts w:ascii="Times New Roman" w:hAnsi="Times New Roman"/>
          <w:sz w:val="24"/>
          <w:szCs w:val="24"/>
          <w:shd w:val="clear" w:color="auto" w:fill="FFFFFF"/>
        </w:rPr>
        <w:t>, 114.</w:t>
      </w:r>
    </w:p>
    <w:p w14:paraId="69841D0F"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Okunbor, J. A., &amp; Obaretin, O. (2010). Effectiveness of the application of forensic accounting services in Nigerian organizations. </w:t>
      </w:r>
      <w:r w:rsidRPr="008B1465">
        <w:rPr>
          <w:rFonts w:ascii="Times New Roman" w:hAnsi="Times New Roman"/>
          <w:i/>
          <w:iCs/>
          <w:sz w:val="24"/>
          <w:szCs w:val="24"/>
        </w:rPr>
        <w:t>Journal of Management Sciences</w:t>
      </w:r>
      <w:r w:rsidRPr="008B1465">
        <w:rPr>
          <w:rFonts w:ascii="Times New Roman" w:hAnsi="Times New Roman"/>
          <w:sz w:val="24"/>
          <w:szCs w:val="24"/>
        </w:rPr>
        <w:t>, 1(1), 171-184.</w:t>
      </w:r>
    </w:p>
    <w:p w14:paraId="0C5BB88C" w14:textId="77777777" w:rsidR="0083389C" w:rsidRDefault="0083389C" w:rsidP="00436C7A">
      <w:pPr>
        <w:pStyle w:val="NoSpacing"/>
        <w:spacing w:line="360" w:lineRule="auto"/>
        <w:ind w:left="990" w:hanging="900"/>
        <w:jc w:val="both"/>
        <w:rPr>
          <w:rFonts w:ascii="Times New Roman" w:hAnsi="Times New Roman"/>
          <w:sz w:val="24"/>
          <w:szCs w:val="24"/>
        </w:rPr>
      </w:pPr>
      <w:r w:rsidRPr="00436C7A">
        <w:rPr>
          <w:rFonts w:ascii="Times New Roman" w:hAnsi="Times New Roman"/>
          <w:sz w:val="24"/>
          <w:szCs w:val="24"/>
        </w:rPr>
        <w:t>Oladejo, M. T., &amp; Jack, L. (2020). Fraud prevention and detection in a blockchain technology environment: challenges posed to forensic accountants. </w:t>
      </w:r>
      <w:r w:rsidRPr="00436C7A">
        <w:rPr>
          <w:rFonts w:ascii="Times New Roman" w:hAnsi="Times New Roman"/>
          <w:i/>
          <w:iCs/>
          <w:sz w:val="24"/>
          <w:szCs w:val="24"/>
        </w:rPr>
        <w:t>International Journal of Economics and Accounting</w:t>
      </w:r>
      <w:r w:rsidRPr="00436C7A">
        <w:rPr>
          <w:rFonts w:ascii="Times New Roman" w:hAnsi="Times New Roman"/>
          <w:sz w:val="24"/>
          <w:szCs w:val="24"/>
        </w:rPr>
        <w:t>, </w:t>
      </w:r>
      <w:r w:rsidRPr="00436C7A">
        <w:rPr>
          <w:rFonts w:ascii="Times New Roman" w:hAnsi="Times New Roman"/>
          <w:i/>
          <w:iCs/>
          <w:sz w:val="24"/>
          <w:szCs w:val="24"/>
        </w:rPr>
        <w:t>9</w:t>
      </w:r>
      <w:r w:rsidRPr="00436C7A">
        <w:rPr>
          <w:rFonts w:ascii="Times New Roman" w:hAnsi="Times New Roman"/>
          <w:sz w:val="24"/>
          <w:szCs w:val="24"/>
        </w:rPr>
        <w:t>(4), 315-335.</w:t>
      </w:r>
    </w:p>
    <w:p w14:paraId="35C37C25"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Olaoye, C. O., &amp; Olanipekun, C. T. (2018). Impact of forensic accounting and investigation on corporate governance in Ekiti State, Journal</w:t>
      </w:r>
      <w:r w:rsidRPr="008B1465">
        <w:rPr>
          <w:rFonts w:ascii="Times New Roman" w:hAnsi="Times New Roman"/>
          <w:i/>
          <w:iCs/>
          <w:sz w:val="24"/>
          <w:szCs w:val="24"/>
          <w:shd w:val="clear" w:color="auto" w:fill="FFFFFF"/>
        </w:rPr>
        <w:t xml:space="preserve"> of Accounting, Business and Finance Research</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4</w:t>
      </w:r>
      <w:r w:rsidRPr="008B1465">
        <w:rPr>
          <w:rFonts w:ascii="Times New Roman" w:hAnsi="Times New Roman"/>
          <w:sz w:val="24"/>
          <w:szCs w:val="24"/>
          <w:shd w:val="clear" w:color="auto" w:fill="FFFFFF"/>
        </w:rPr>
        <w:t>(1), 28-36.</w:t>
      </w:r>
    </w:p>
    <w:p w14:paraId="277E7481" w14:textId="77777777" w:rsidR="0083389C" w:rsidRPr="008B1465" w:rsidRDefault="0083389C" w:rsidP="00D44C13">
      <w:pPr>
        <w:pStyle w:val="NoSpacing"/>
        <w:spacing w:line="360" w:lineRule="auto"/>
        <w:ind w:left="990" w:hanging="900"/>
        <w:jc w:val="both"/>
        <w:rPr>
          <w:rFonts w:ascii="Times New Roman" w:hAnsi="Times New Roman"/>
          <w:sz w:val="24"/>
          <w:szCs w:val="24"/>
        </w:rPr>
      </w:pPr>
      <w:bookmarkStart w:id="162" w:name="_Hlk122773218"/>
      <w:r w:rsidRPr="008B1465">
        <w:rPr>
          <w:rFonts w:ascii="Times New Roman" w:hAnsi="Times New Roman"/>
          <w:sz w:val="24"/>
          <w:szCs w:val="24"/>
        </w:rPr>
        <w:t xml:space="preserve">Olayinka, O. M., &amp; Owolabi, </w:t>
      </w:r>
      <w:bookmarkEnd w:id="162"/>
      <w:r w:rsidRPr="008B1465">
        <w:rPr>
          <w:rFonts w:ascii="Times New Roman" w:hAnsi="Times New Roman"/>
          <w:sz w:val="24"/>
          <w:szCs w:val="24"/>
        </w:rPr>
        <w:t xml:space="preserve">S. A. (2021). Corporate governance and environmental sustainability reporting: The Nigerian perspective. </w:t>
      </w:r>
      <w:r w:rsidRPr="008B1465">
        <w:rPr>
          <w:rFonts w:ascii="Times New Roman" w:hAnsi="Times New Roman"/>
          <w:i/>
          <w:iCs/>
          <w:sz w:val="24"/>
          <w:szCs w:val="24"/>
        </w:rPr>
        <w:t>International Journal of Scientific and Research Publications</w:t>
      </w:r>
      <w:r w:rsidRPr="008B1465">
        <w:rPr>
          <w:rFonts w:ascii="Times New Roman" w:hAnsi="Times New Roman"/>
          <w:sz w:val="24"/>
          <w:szCs w:val="24"/>
        </w:rPr>
        <w:t xml:space="preserve">, </w:t>
      </w:r>
      <w:r w:rsidRPr="008B1465">
        <w:rPr>
          <w:rFonts w:ascii="Times New Roman" w:hAnsi="Times New Roman"/>
          <w:i/>
          <w:iCs/>
          <w:sz w:val="24"/>
          <w:szCs w:val="24"/>
        </w:rPr>
        <w:t>11</w:t>
      </w:r>
      <w:r w:rsidRPr="008B1465">
        <w:rPr>
          <w:rFonts w:ascii="Times New Roman" w:hAnsi="Times New Roman"/>
          <w:sz w:val="24"/>
          <w:szCs w:val="24"/>
        </w:rPr>
        <w:t>(4), 487-497.</w:t>
      </w:r>
    </w:p>
    <w:p w14:paraId="39484345"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Olayinka, O. M., &amp; Owolabi, S. A. (2021). Corporate governance and environmental sustainability reporting: The Nigerian perspective. </w:t>
      </w:r>
      <w:r w:rsidRPr="008B1465">
        <w:rPr>
          <w:rFonts w:ascii="Times New Roman" w:hAnsi="Times New Roman"/>
          <w:i/>
          <w:iCs/>
          <w:sz w:val="24"/>
          <w:szCs w:val="24"/>
        </w:rPr>
        <w:t>International Journal of Scientific and Research Publications</w:t>
      </w:r>
      <w:r w:rsidRPr="008B1465">
        <w:rPr>
          <w:rFonts w:ascii="Times New Roman" w:hAnsi="Times New Roman"/>
          <w:sz w:val="24"/>
          <w:szCs w:val="24"/>
        </w:rPr>
        <w:t xml:space="preserve">, </w:t>
      </w:r>
      <w:r w:rsidRPr="008B1465">
        <w:rPr>
          <w:rFonts w:ascii="Times New Roman" w:hAnsi="Times New Roman"/>
          <w:i/>
          <w:iCs/>
          <w:sz w:val="24"/>
          <w:szCs w:val="24"/>
        </w:rPr>
        <w:t>11</w:t>
      </w:r>
      <w:r w:rsidRPr="008B1465">
        <w:rPr>
          <w:rFonts w:ascii="Times New Roman" w:hAnsi="Times New Roman"/>
          <w:sz w:val="24"/>
          <w:szCs w:val="24"/>
        </w:rPr>
        <w:t>(4), 487-497.</w:t>
      </w:r>
    </w:p>
    <w:p w14:paraId="24496FB5"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Ololube, N. P. (2016). Education fund misappropriation and mismanagement and the provision of quality higher education in Nigeria, </w:t>
      </w:r>
      <w:r w:rsidRPr="008B1465">
        <w:rPr>
          <w:rFonts w:ascii="Times New Roman" w:hAnsi="Times New Roman"/>
          <w:i/>
          <w:iCs/>
          <w:sz w:val="24"/>
          <w:szCs w:val="24"/>
          <w:shd w:val="clear" w:color="auto" w:fill="FFFFFF"/>
        </w:rPr>
        <w:t>International Journal of Scientific Research in Education</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9</w:t>
      </w:r>
      <w:r w:rsidRPr="008B1465">
        <w:rPr>
          <w:rFonts w:ascii="Times New Roman" w:hAnsi="Times New Roman"/>
          <w:sz w:val="24"/>
          <w:szCs w:val="24"/>
          <w:shd w:val="clear" w:color="auto" w:fill="FFFFFF"/>
        </w:rPr>
        <w:t>(4), 333-349</w:t>
      </w:r>
    </w:p>
    <w:p w14:paraId="304F2ABA"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Olowolaju, E. D., &amp; Adelusi, A. A. (2018). Photosynthetic pigments accumulation and some growth indices of cowpea, maize and tomato in response to interspecific and intraspecific competition stress. </w:t>
      </w:r>
      <w:r w:rsidRPr="008B1465">
        <w:rPr>
          <w:rFonts w:ascii="Times New Roman" w:hAnsi="Times New Roman"/>
          <w:i/>
          <w:iCs/>
          <w:sz w:val="24"/>
          <w:szCs w:val="24"/>
        </w:rPr>
        <w:t>Sciences in Cold and Arid Regions</w:t>
      </w:r>
      <w:r w:rsidRPr="008B1465">
        <w:rPr>
          <w:rFonts w:ascii="Times New Roman" w:hAnsi="Times New Roman"/>
          <w:sz w:val="24"/>
          <w:szCs w:val="24"/>
        </w:rPr>
        <w:t>, 9(2), 120-126.</w:t>
      </w:r>
    </w:p>
    <w:p w14:paraId="6826EF58"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Olowolaju, P., &amp; Adelola, F. (2020). Effect of corporate social responsibility on profitability of selected quoted banks in Nigeria. </w:t>
      </w:r>
      <w:r w:rsidRPr="008B1465">
        <w:rPr>
          <w:rFonts w:ascii="Times New Roman" w:hAnsi="Times New Roman"/>
          <w:i/>
          <w:iCs/>
          <w:sz w:val="24"/>
          <w:szCs w:val="24"/>
        </w:rPr>
        <w:t>International Journal of Economics, Business and Management Research</w:t>
      </w:r>
      <w:r w:rsidRPr="008B1465">
        <w:rPr>
          <w:rFonts w:ascii="Times New Roman" w:hAnsi="Times New Roman"/>
          <w:sz w:val="24"/>
          <w:szCs w:val="24"/>
        </w:rPr>
        <w:t>, 4(7), 15-29.</w:t>
      </w:r>
    </w:p>
    <w:p w14:paraId="38B8F1A3"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Onuorah, A. C., &amp; Appah, E. (2012). Accountability and public sector financial management in Nigeria. </w:t>
      </w:r>
      <w:r w:rsidRPr="008B1465">
        <w:rPr>
          <w:rFonts w:ascii="Times New Roman" w:hAnsi="Times New Roman"/>
          <w:i/>
          <w:iCs/>
          <w:sz w:val="24"/>
          <w:szCs w:val="24"/>
        </w:rPr>
        <w:t>Arabian Journal of Business and Management Review</w:t>
      </w:r>
      <w:r w:rsidRPr="008B1465">
        <w:rPr>
          <w:rFonts w:ascii="Times New Roman" w:hAnsi="Times New Roman"/>
          <w:sz w:val="24"/>
          <w:szCs w:val="24"/>
        </w:rPr>
        <w:t>, 1(6)</w:t>
      </w:r>
    </w:p>
    <w:p w14:paraId="2A1ADEEC"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Organisation for Economic Co-operation and Development (OECD) (1999). Convention on Combating Bribery of Foreign Public Officials in International Business Transactions, Paris, France: OECD.</w:t>
      </w:r>
    </w:p>
    <w:p w14:paraId="63E6BC01"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Oseni, A. I. (2017). Forensic accounting and financial fraud in Nigeria: Problems and prospects. </w:t>
      </w:r>
      <w:r w:rsidRPr="008B1465">
        <w:rPr>
          <w:rFonts w:ascii="Times New Roman" w:hAnsi="Times New Roman"/>
          <w:i/>
          <w:iCs/>
          <w:sz w:val="24"/>
          <w:szCs w:val="24"/>
          <w:shd w:val="clear" w:color="auto" w:fill="FFFFFF"/>
        </w:rPr>
        <w:t>Journal of Accounting and Financial Management</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3</w:t>
      </w:r>
      <w:r w:rsidRPr="008B1465">
        <w:rPr>
          <w:rFonts w:ascii="Times New Roman" w:hAnsi="Times New Roman"/>
          <w:sz w:val="24"/>
          <w:szCs w:val="24"/>
          <w:shd w:val="clear" w:color="auto" w:fill="FFFFFF"/>
        </w:rPr>
        <w:t>(1), 23-33.</w:t>
      </w:r>
    </w:p>
    <w:p w14:paraId="25C75C04"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 Oseni, N. A. (2021) Determinants of Internal Audit Effectiveness in Public Universities in the South-West Nigeria, </w:t>
      </w:r>
      <w:r w:rsidRPr="008B1465">
        <w:rPr>
          <w:rFonts w:ascii="Times New Roman" w:hAnsi="Times New Roman"/>
          <w:i/>
          <w:iCs/>
          <w:sz w:val="24"/>
          <w:szCs w:val="24"/>
        </w:rPr>
        <w:t>Kwara State University (Nigeria) ProQuest Dissertations Publishing</w:t>
      </w:r>
      <w:r w:rsidRPr="008B1465">
        <w:rPr>
          <w:rFonts w:ascii="Times New Roman" w:hAnsi="Times New Roman"/>
          <w:sz w:val="24"/>
          <w:szCs w:val="24"/>
        </w:rPr>
        <w:t>, 1-24.</w:t>
      </w:r>
    </w:p>
    <w:p w14:paraId="6C21BD46"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Osisioma, B.</w:t>
      </w:r>
      <w:r>
        <w:rPr>
          <w:rFonts w:ascii="Times New Roman" w:hAnsi="Times New Roman"/>
          <w:sz w:val="24"/>
          <w:szCs w:val="24"/>
        </w:rPr>
        <w:t xml:space="preserve"> </w:t>
      </w:r>
      <w:r w:rsidRPr="008B1465">
        <w:rPr>
          <w:rFonts w:ascii="Times New Roman" w:hAnsi="Times New Roman"/>
          <w:sz w:val="24"/>
          <w:szCs w:val="24"/>
        </w:rPr>
        <w:t>C. (2013). Combating Fraud &amp; White-Collar Crimes: Lessons from Nigeria. NIM (Chartered).</w:t>
      </w:r>
    </w:p>
    <w:p w14:paraId="65670CA1"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Otusanya, O. J. (2011). The role of multinational companies in tax evasion and tax avoidance: The case of Nigeria. </w:t>
      </w:r>
      <w:r w:rsidRPr="008B1465">
        <w:rPr>
          <w:rFonts w:ascii="Times New Roman" w:hAnsi="Times New Roman"/>
          <w:i/>
          <w:iCs/>
          <w:sz w:val="24"/>
          <w:szCs w:val="24"/>
        </w:rPr>
        <w:t>Critical Perspectives on Accounting</w:t>
      </w:r>
      <w:r w:rsidRPr="008B1465">
        <w:rPr>
          <w:rFonts w:ascii="Times New Roman" w:hAnsi="Times New Roman"/>
          <w:sz w:val="24"/>
          <w:szCs w:val="24"/>
        </w:rPr>
        <w:t>, 22(3), 316-332.</w:t>
      </w:r>
    </w:p>
    <w:p w14:paraId="3D5C7366"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Owojori, A. A., &amp; Asaolu, T. O. (2009). The role of forensic accounting in solving the vexed problem of corporate world, </w:t>
      </w:r>
      <w:r w:rsidRPr="008B1465">
        <w:rPr>
          <w:rFonts w:ascii="Times New Roman" w:hAnsi="Times New Roman"/>
          <w:i/>
          <w:iCs/>
          <w:sz w:val="24"/>
          <w:szCs w:val="24"/>
        </w:rPr>
        <w:t>European Journal of Scientific Research</w:t>
      </w:r>
      <w:r w:rsidRPr="008B1465">
        <w:rPr>
          <w:rFonts w:ascii="Times New Roman" w:hAnsi="Times New Roman"/>
          <w:sz w:val="24"/>
          <w:szCs w:val="24"/>
        </w:rPr>
        <w:t>, 29(2), 183–187</w:t>
      </w:r>
    </w:p>
    <w:p w14:paraId="1EC3F403"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 Owolabi, S. A., Dada, S. O., &amp; Olaoye, S. A. (2013). Application of forensic accounting technique in effective investigation and detection of embezzlement to combat corruption in Nigeria, </w:t>
      </w:r>
      <w:r w:rsidRPr="008B1465">
        <w:rPr>
          <w:rFonts w:ascii="Times New Roman" w:hAnsi="Times New Roman"/>
          <w:i/>
          <w:iCs/>
          <w:sz w:val="24"/>
          <w:szCs w:val="24"/>
        </w:rPr>
        <w:t>Unique Journal of Business Management Research</w:t>
      </w:r>
      <w:r w:rsidRPr="008B1465">
        <w:rPr>
          <w:rFonts w:ascii="Times New Roman" w:hAnsi="Times New Roman"/>
          <w:sz w:val="24"/>
          <w:szCs w:val="24"/>
        </w:rPr>
        <w:t>, 1(4), 65-70</w:t>
      </w:r>
    </w:p>
    <w:p w14:paraId="5E74D667"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Oyebisi, O., Wisdom, O., Olusogo, O., &amp; Ifeoluwa, O. (2018). Forensic accounting and fraud prevention and detection in Nigerian banking industry, </w:t>
      </w:r>
      <w:r w:rsidRPr="008B1465">
        <w:rPr>
          <w:rFonts w:ascii="Times New Roman" w:hAnsi="Times New Roman"/>
          <w:i/>
          <w:iCs/>
          <w:sz w:val="24"/>
          <w:szCs w:val="24"/>
          <w:shd w:val="clear" w:color="auto" w:fill="FFFFFF"/>
        </w:rPr>
        <w:t>COJ Reviews &amp; Research</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1</w:t>
      </w:r>
      <w:r w:rsidRPr="008B1465">
        <w:rPr>
          <w:rFonts w:ascii="Times New Roman" w:hAnsi="Times New Roman"/>
          <w:sz w:val="24"/>
          <w:szCs w:val="24"/>
          <w:shd w:val="clear" w:color="auto" w:fill="FFFFFF"/>
        </w:rPr>
        <w:t>(1), 1-8</w:t>
      </w:r>
    </w:p>
    <w:p w14:paraId="435219EA"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Oyedokun, G. E. (2022). Determinants of Forensic Accounting Techniques and Theories: An Empirical Investigation. </w:t>
      </w:r>
      <w:r w:rsidRPr="008B1465">
        <w:rPr>
          <w:rFonts w:ascii="Times New Roman" w:hAnsi="Times New Roman"/>
          <w:i/>
          <w:iCs/>
          <w:sz w:val="24"/>
          <w:szCs w:val="24"/>
          <w:shd w:val="clear" w:color="auto" w:fill="FFFFFF"/>
        </w:rPr>
        <w:t>Annals of Spiru Haret University. Economic Series</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22</w:t>
      </w:r>
      <w:r w:rsidRPr="008B1465">
        <w:rPr>
          <w:rFonts w:ascii="Times New Roman" w:hAnsi="Times New Roman"/>
          <w:sz w:val="24"/>
          <w:szCs w:val="24"/>
          <w:shd w:val="clear" w:color="auto" w:fill="FFFFFF"/>
        </w:rPr>
        <w:t>(3)</w:t>
      </w:r>
    </w:p>
    <w:p w14:paraId="3FB90072"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Oyedokun, G., &amp; Akinwumi, O. (2018). Forensic Accounting Skills and Corruption Eradication in Nigeria. </w:t>
      </w:r>
      <w:r w:rsidRPr="008B1465">
        <w:rPr>
          <w:rFonts w:ascii="Times New Roman" w:hAnsi="Times New Roman"/>
          <w:i/>
          <w:iCs/>
          <w:sz w:val="24"/>
          <w:szCs w:val="24"/>
          <w:shd w:val="clear" w:color="auto" w:fill="FFFFFF"/>
        </w:rPr>
        <w:t>Journal of African Interdisciplinary Studies</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2</w:t>
      </w:r>
      <w:r w:rsidRPr="008B1465">
        <w:rPr>
          <w:rFonts w:ascii="Times New Roman" w:hAnsi="Times New Roman"/>
          <w:sz w:val="24"/>
          <w:szCs w:val="24"/>
          <w:shd w:val="clear" w:color="auto" w:fill="FFFFFF"/>
        </w:rPr>
        <w:t>(2), 4-16</w:t>
      </w:r>
    </w:p>
    <w:p w14:paraId="3752F878"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Oyedokun, P., &amp; Emmanuel, G. (2015). Integrity of Financial Statements and Forensic Accounting Techniques in Internal Control of Business Organisations. </w:t>
      </w:r>
      <w:r w:rsidRPr="008B1465">
        <w:rPr>
          <w:rFonts w:ascii="Times New Roman" w:hAnsi="Times New Roman"/>
          <w:i/>
          <w:iCs/>
          <w:sz w:val="24"/>
          <w:szCs w:val="24"/>
          <w:shd w:val="clear" w:color="auto" w:fill="FFFFFF"/>
        </w:rPr>
        <w:t>Available at SSRN 2861578</w:t>
      </w:r>
    </w:p>
    <w:p w14:paraId="0512F262"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Oyedokun, P., &amp; Emmanuel, G. (2016). Forensic Accounting Investigation Techniques: Any Rationalization? </w:t>
      </w:r>
      <w:r w:rsidRPr="008B1465">
        <w:rPr>
          <w:rFonts w:ascii="Times New Roman" w:hAnsi="Times New Roman"/>
          <w:i/>
          <w:iCs/>
          <w:sz w:val="24"/>
          <w:szCs w:val="24"/>
        </w:rPr>
        <w:t>Journal of African Interdisciplinary Studies (JAIS)</w:t>
      </w:r>
      <w:r w:rsidRPr="008B1465">
        <w:rPr>
          <w:rFonts w:ascii="Times New Roman" w:hAnsi="Times New Roman"/>
          <w:sz w:val="24"/>
          <w:szCs w:val="24"/>
        </w:rPr>
        <w:t>, 2(3). ISSN 2523-6725</w:t>
      </w:r>
    </w:p>
    <w:p w14:paraId="42E94476"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Ozili, P. K. (2015). Forensic Accounting and Fraud: A Review of Literature and Policy Implications. </w:t>
      </w:r>
      <w:r w:rsidRPr="008B1465">
        <w:rPr>
          <w:rFonts w:ascii="Times New Roman" w:hAnsi="Times New Roman"/>
          <w:i/>
          <w:iCs/>
          <w:sz w:val="24"/>
          <w:szCs w:val="24"/>
          <w:shd w:val="clear" w:color="auto" w:fill="FFFFFF"/>
        </w:rPr>
        <w:t>International Journal of Accounting and Economics Studies</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3</w:t>
      </w:r>
      <w:r w:rsidRPr="008B1465">
        <w:rPr>
          <w:rFonts w:ascii="Times New Roman" w:hAnsi="Times New Roman"/>
          <w:sz w:val="24"/>
          <w:szCs w:val="24"/>
          <w:shd w:val="clear" w:color="auto" w:fill="FFFFFF"/>
        </w:rPr>
        <w:t>(1), 63-68.</w:t>
      </w:r>
    </w:p>
    <w:p w14:paraId="09F438D0"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Ozumba, C. N., Ofor, T. N. &amp; Okoye, P. V. (2016). Forensic accounting and fraud in the public sector. A case of Edo State ministry of finance. </w:t>
      </w:r>
      <w:r w:rsidRPr="008B1465">
        <w:rPr>
          <w:rFonts w:ascii="Times New Roman" w:hAnsi="Times New Roman"/>
          <w:i/>
          <w:iCs/>
          <w:sz w:val="24"/>
          <w:szCs w:val="24"/>
        </w:rPr>
        <w:t>Research Journal of Management Sciences</w:t>
      </w:r>
      <w:r w:rsidRPr="008B1465">
        <w:rPr>
          <w:rFonts w:ascii="Times New Roman" w:hAnsi="Times New Roman"/>
          <w:sz w:val="24"/>
          <w:szCs w:val="24"/>
        </w:rPr>
        <w:t>, 5(12), 1-6.</w:t>
      </w:r>
    </w:p>
    <w:p w14:paraId="79344426"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Pedneault, A., Harris, D. A., &amp; Knight, R. A. (2012). Toward a typology of sexual burglary: Latent class findings. </w:t>
      </w:r>
      <w:r w:rsidRPr="008B1465">
        <w:rPr>
          <w:rFonts w:ascii="Times New Roman" w:hAnsi="Times New Roman"/>
          <w:i/>
          <w:iCs/>
          <w:sz w:val="24"/>
          <w:szCs w:val="24"/>
        </w:rPr>
        <w:t>Journal of Criminal Justice</w:t>
      </w:r>
      <w:r w:rsidRPr="008B1465">
        <w:rPr>
          <w:rFonts w:ascii="Times New Roman" w:hAnsi="Times New Roman"/>
          <w:sz w:val="24"/>
          <w:szCs w:val="24"/>
        </w:rPr>
        <w:t xml:space="preserve">, </w:t>
      </w:r>
      <w:r w:rsidRPr="008B1465">
        <w:rPr>
          <w:rFonts w:ascii="Times New Roman" w:hAnsi="Times New Roman"/>
          <w:i/>
          <w:iCs/>
          <w:sz w:val="24"/>
          <w:szCs w:val="24"/>
        </w:rPr>
        <w:t>40</w:t>
      </w:r>
      <w:r w:rsidRPr="008B1465">
        <w:rPr>
          <w:rFonts w:ascii="Times New Roman" w:hAnsi="Times New Roman"/>
          <w:sz w:val="24"/>
          <w:szCs w:val="24"/>
        </w:rPr>
        <w:t>(4), 278-284.</w:t>
      </w:r>
    </w:p>
    <w:p w14:paraId="652755AC"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Pedneault, S., Sheetz, M., &amp; Rudewicz, F. (2012). Forensic accounting. In H. Silverstone, M. </w:t>
      </w:r>
    </w:p>
    <w:p w14:paraId="310E88AB"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Petrick, J. A., &amp; Scherer, R. F. (2003). The Enron scandal and the neglect of management integrity capacity, </w:t>
      </w:r>
      <w:r w:rsidRPr="008B1465">
        <w:rPr>
          <w:rFonts w:ascii="Times New Roman" w:hAnsi="Times New Roman"/>
          <w:i/>
          <w:iCs/>
          <w:sz w:val="24"/>
          <w:szCs w:val="24"/>
        </w:rPr>
        <w:t>Mid-American Journal of Business</w:t>
      </w:r>
      <w:r w:rsidRPr="008B1465">
        <w:rPr>
          <w:rFonts w:ascii="Times New Roman" w:hAnsi="Times New Roman"/>
          <w:sz w:val="24"/>
          <w:szCs w:val="24"/>
        </w:rPr>
        <w:t>, 18(1)</w:t>
      </w:r>
    </w:p>
    <w:p w14:paraId="159DD227"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Pickett, K. S., &amp; Pickett, J. M. (2002). Financial crime investigation and control. John Wiley &amp; Sons</w:t>
      </w:r>
    </w:p>
    <w:p w14:paraId="6293E753" w14:textId="77777777" w:rsidR="0083389C" w:rsidRDefault="0083389C" w:rsidP="00436C7A">
      <w:pPr>
        <w:pStyle w:val="NoSpacing"/>
        <w:spacing w:line="360" w:lineRule="auto"/>
        <w:ind w:left="990" w:hanging="900"/>
        <w:jc w:val="both"/>
        <w:rPr>
          <w:rFonts w:ascii="Times New Roman" w:hAnsi="Times New Roman"/>
          <w:color w:val="222222"/>
          <w:sz w:val="24"/>
          <w:szCs w:val="24"/>
          <w:shd w:val="clear" w:color="auto" w:fill="FFFFFF"/>
        </w:rPr>
      </w:pPr>
      <w:r w:rsidRPr="00436C7A">
        <w:rPr>
          <w:rFonts w:ascii="Times New Roman" w:hAnsi="Times New Roman"/>
          <w:color w:val="222222"/>
          <w:sz w:val="24"/>
          <w:szCs w:val="24"/>
          <w:shd w:val="clear" w:color="auto" w:fill="FFFFFF"/>
        </w:rPr>
        <w:t>Pircher, B. (2020). EU public procurement policy: the economic crisis as trigger for enhanced harmonisation. </w:t>
      </w:r>
      <w:r w:rsidRPr="00436C7A">
        <w:rPr>
          <w:rFonts w:ascii="Times New Roman" w:hAnsi="Times New Roman"/>
          <w:i/>
          <w:iCs/>
          <w:color w:val="222222"/>
          <w:sz w:val="24"/>
          <w:szCs w:val="24"/>
          <w:shd w:val="clear" w:color="auto" w:fill="FFFFFF"/>
        </w:rPr>
        <w:t>Journal of European Integration</w:t>
      </w:r>
      <w:r w:rsidRPr="00436C7A">
        <w:rPr>
          <w:rFonts w:ascii="Times New Roman" w:hAnsi="Times New Roman"/>
          <w:color w:val="222222"/>
          <w:sz w:val="24"/>
          <w:szCs w:val="24"/>
          <w:shd w:val="clear" w:color="auto" w:fill="FFFFFF"/>
        </w:rPr>
        <w:t>, </w:t>
      </w:r>
      <w:r w:rsidRPr="00436C7A">
        <w:rPr>
          <w:rFonts w:ascii="Times New Roman" w:hAnsi="Times New Roman"/>
          <w:i/>
          <w:iCs/>
          <w:color w:val="222222"/>
          <w:sz w:val="24"/>
          <w:szCs w:val="24"/>
          <w:shd w:val="clear" w:color="auto" w:fill="FFFFFF"/>
        </w:rPr>
        <w:t>42</w:t>
      </w:r>
      <w:r w:rsidRPr="00436C7A">
        <w:rPr>
          <w:rFonts w:ascii="Times New Roman" w:hAnsi="Times New Roman"/>
          <w:color w:val="222222"/>
          <w:sz w:val="24"/>
          <w:szCs w:val="24"/>
          <w:shd w:val="clear" w:color="auto" w:fill="FFFFFF"/>
        </w:rPr>
        <w:t>(4), 509-525.</w:t>
      </w:r>
    </w:p>
    <w:p w14:paraId="5F1E4E17"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Podobnik, B., Shao, J., Njavro, D., Ivanov, P.C., </w:t>
      </w:r>
      <w:r>
        <w:rPr>
          <w:rFonts w:ascii="Times New Roman" w:hAnsi="Times New Roman"/>
          <w:sz w:val="24"/>
          <w:szCs w:val="24"/>
        </w:rPr>
        <w:t>&amp;</w:t>
      </w:r>
      <w:r w:rsidRPr="008B1465">
        <w:rPr>
          <w:rFonts w:ascii="Times New Roman" w:hAnsi="Times New Roman"/>
          <w:sz w:val="24"/>
          <w:szCs w:val="24"/>
        </w:rPr>
        <w:t xml:space="preserve"> Stanley, H.E. 2008. Influence of corruption on economic growth rate and foreign investment. </w:t>
      </w:r>
      <w:r w:rsidRPr="008B1465">
        <w:rPr>
          <w:rFonts w:ascii="Times New Roman" w:hAnsi="Times New Roman"/>
          <w:i/>
          <w:iCs/>
          <w:sz w:val="24"/>
          <w:szCs w:val="24"/>
        </w:rPr>
        <w:t>The European Physical Journal B-Condensed Matter and Complex Systems</w:t>
      </w:r>
      <w:r w:rsidRPr="008B1465">
        <w:rPr>
          <w:rFonts w:ascii="Times New Roman" w:hAnsi="Times New Roman"/>
          <w:sz w:val="24"/>
          <w:szCs w:val="24"/>
        </w:rPr>
        <w:t>, 63(4)</w:t>
      </w:r>
      <w:r>
        <w:rPr>
          <w:rFonts w:ascii="Times New Roman" w:hAnsi="Times New Roman"/>
          <w:sz w:val="24"/>
          <w:szCs w:val="24"/>
        </w:rPr>
        <w:t>,</w:t>
      </w:r>
      <w:r w:rsidRPr="008B1465">
        <w:rPr>
          <w:rFonts w:ascii="Times New Roman" w:hAnsi="Times New Roman"/>
          <w:sz w:val="24"/>
          <w:szCs w:val="24"/>
        </w:rPr>
        <w:t xml:space="preserve"> 547.</w:t>
      </w:r>
    </w:p>
    <w:p w14:paraId="28A6BA9F"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Polinsky, A. M., &amp; Shavell, S. (2000). The economic theory of public enforcement of law, </w:t>
      </w:r>
      <w:r w:rsidRPr="008B1465">
        <w:rPr>
          <w:rFonts w:ascii="Times New Roman" w:hAnsi="Times New Roman"/>
          <w:i/>
          <w:iCs/>
          <w:sz w:val="24"/>
          <w:szCs w:val="24"/>
        </w:rPr>
        <w:t>Journal of Economic Literature</w:t>
      </w:r>
      <w:r w:rsidRPr="008B1465">
        <w:rPr>
          <w:rFonts w:ascii="Times New Roman" w:hAnsi="Times New Roman"/>
          <w:sz w:val="24"/>
          <w:szCs w:val="24"/>
        </w:rPr>
        <w:t xml:space="preserve">, </w:t>
      </w:r>
      <w:r w:rsidRPr="008B1465">
        <w:rPr>
          <w:rFonts w:ascii="Times New Roman" w:hAnsi="Times New Roman"/>
          <w:i/>
          <w:iCs/>
          <w:sz w:val="24"/>
          <w:szCs w:val="24"/>
        </w:rPr>
        <w:t>38</w:t>
      </w:r>
      <w:r w:rsidRPr="008B1465">
        <w:rPr>
          <w:rFonts w:ascii="Times New Roman" w:hAnsi="Times New Roman"/>
          <w:sz w:val="24"/>
          <w:szCs w:val="24"/>
        </w:rPr>
        <w:t>(1), 45-76.</w:t>
      </w:r>
    </w:p>
    <w:p w14:paraId="1F523FAE"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Poon, D. (1995). Exposure to the Foreign Corrupt Practices Act: A Guide for US Companies with Activities in the People's Republic of China to Minimize Liability. </w:t>
      </w:r>
      <w:r w:rsidRPr="008B1465">
        <w:rPr>
          <w:rFonts w:ascii="Times New Roman" w:hAnsi="Times New Roman"/>
          <w:i/>
          <w:iCs/>
          <w:sz w:val="24"/>
          <w:szCs w:val="24"/>
          <w:shd w:val="clear" w:color="auto" w:fill="FFFFFF"/>
        </w:rPr>
        <w:t>Hastings Int'l &amp; Comp. L. Rev.</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19</w:t>
      </w:r>
      <w:r w:rsidRPr="008B1465">
        <w:rPr>
          <w:rFonts w:ascii="Times New Roman" w:hAnsi="Times New Roman"/>
          <w:sz w:val="24"/>
          <w:szCs w:val="24"/>
          <w:shd w:val="clear" w:color="auto" w:fill="FFFFFF"/>
        </w:rPr>
        <w:t>, 327</w:t>
      </w:r>
    </w:p>
    <w:p w14:paraId="3161A87D"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Popoola, O. M. J., Che-Ahmad, A., &amp; Samsudin, R. S. (2013). Forensic accounting knowledge and skills on task performance fraud risk assessment: Nigerian public sector experience. In </w:t>
      </w:r>
      <w:r w:rsidRPr="008B1465">
        <w:rPr>
          <w:rFonts w:ascii="Times New Roman" w:hAnsi="Times New Roman"/>
          <w:i/>
          <w:iCs/>
          <w:sz w:val="24"/>
          <w:szCs w:val="24"/>
          <w:shd w:val="clear" w:color="auto" w:fill="FFFFFF"/>
        </w:rPr>
        <w:t>Proceedings of the Global Symposium on Social Sciences (IBSSS, 2013), Okinawa, Japan</w:t>
      </w:r>
    </w:p>
    <w:p w14:paraId="0A8998AF" w14:textId="77777777" w:rsidR="0083389C" w:rsidRPr="00465786" w:rsidRDefault="0083389C" w:rsidP="003D289F">
      <w:pPr>
        <w:pStyle w:val="NoSpacing"/>
        <w:spacing w:line="360" w:lineRule="auto"/>
        <w:ind w:left="990" w:hanging="900"/>
        <w:jc w:val="both"/>
        <w:rPr>
          <w:rFonts w:ascii="Times New Roman" w:hAnsi="Times New Roman"/>
          <w:sz w:val="24"/>
          <w:szCs w:val="24"/>
          <w:shd w:val="clear" w:color="auto" w:fill="FFFFFF"/>
        </w:rPr>
      </w:pPr>
      <w:r w:rsidRPr="00465786">
        <w:rPr>
          <w:rFonts w:ascii="Times New Roman" w:hAnsi="Times New Roman"/>
          <w:sz w:val="24"/>
          <w:szCs w:val="24"/>
          <w:shd w:val="clear" w:color="auto" w:fill="FFFFFF"/>
        </w:rPr>
        <w:t>Porter, M. E., &amp; Kramer, M. R. (2018). Creating shared value: How to reinvent capitalism—And unleash a wave of innovation and growth. In </w:t>
      </w:r>
      <w:r w:rsidRPr="00465786">
        <w:rPr>
          <w:rFonts w:ascii="Times New Roman" w:hAnsi="Times New Roman"/>
          <w:i/>
          <w:iCs/>
          <w:sz w:val="24"/>
          <w:szCs w:val="24"/>
          <w:shd w:val="clear" w:color="auto" w:fill="FFFFFF"/>
        </w:rPr>
        <w:t>Managing sustainable business: An executive education case and textbook</w:t>
      </w:r>
      <w:r w:rsidRPr="00465786">
        <w:rPr>
          <w:rFonts w:ascii="Times New Roman" w:hAnsi="Times New Roman"/>
          <w:sz w:val="24"/>
          <w:szCs w:val="24"/>
          <w:shd w:val="clear" w:color="auto" w:fill="FFFFFF"/>
        </w:rPr>
        <w:t> (323-346). Dordrecht: Springer Netherlands.</w:t>
      </w:r>
    </w:p>
    <w:p w14:paraId="5BB319CF"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Price Water House Cooper (2003). Glabal economic crime suyvey, Available: </w:t>
      </w:r>
      <w:hyperlink r:id="rId31" w:history="1">
        <w:r w:rsidRPr="008B1465">
          <w:rPr>
            <w:rStyle w:val="Hyperlink"/>
            <w:rFonts w:ascii="Times New Roman" w:hAnsi="Times New Roman"/>
            <w:color w:val="auto"/>
            <w:sz w:val="24"/>
            <w:szCs w:val="24"/>
            <w:u w:val="none"/>
          </w:rPr>
          <w:t>http://www.pwc.com/extraweb/ncsurvers.nsf</w:t>
        </w:r>
      </w:hyperlink>
      <w:r w:rsidRPr="008B1465">
        <w:rPr>
          <w:rFonts w:ascii="Times New Roman" w:hAnsi="Times New Roman"/>
          <w:sz w:val="24"/>
          <w:szCs w:val="24"/>
        </w:rPr>
        <w:t xml:space="preserve"> </w:t>
      </w:r>
    </w:p>
    <w:p w14:paraId="00F208CC"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Pulliam, S. (2003). Ordered to commit fraud, a staffer balked, then caved. </w:t>
      </w:r>
      <w:r w:rsidRPr="008B1465">
        <w:rPr>
          <w:rFonts w:ascii="Times New Roman" w:hAnsi="Times New Roman"/>
          <w:i/>
          <w:iCs/>
          <w:sz w:val="24"/>
          <w:szCs w:val="24"/>
          <w:shd w:val="clear" w:color="auto" w:fill="FFFFFF"/>
        </w:rPr>
        <w:t>The Wall Street Journal</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241</w:t>
      </w:r>
      <w:r w:rsidRPr="008B1465">
        <w:rPr>
          <w:rFonts w:ascii="Times New Roman" w:hAnsi="Times New Roman"/>
          <w:sz w:val="24"/>
          <w:szCs w:val="24"/>
          <w:shd w:val="clear" w:color="auto" w:fill="FFFFFF"/>
        </w:rPr>
        <w:t>, A1</w:t>
      </w:r>
    </w:p>
    <w:p w14:paraId="6048317B"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Qasim, A., &amp; Kharbat, F. F. (2020). Blockchain technology, business data analytics, and artificial intelligence: Use in the accounting profession and ideas for inclusion into the accounting curriculum. </w:t>
      </w:r>
      <w:r w:rsidRPr="008B1465">
        <w:rPr>
          <w:rFonts w:ascii="Times New Roman" w:hAnsi="Times New Roman"/>
          <w:i/>
          <w:iCs/>
          <w:sz w:val="24"/>
          <w:szCs w:val="24"/>
          <w:shd w:val="clear" w:color="auto" w:fill="FFFFFF"/>
        </w:rPr>
        <w:t>Journal of emerging technologies in accounting</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17</w:t>
      </w:r>
      <w:r w:rsidRPr="008B1465">
        <w:rPr>
          <w:rFonts w:ascii="Times New Roman" w:hAnsi="Times New Roman"/>
          <w:sz w:val="24"/>
          <w:szCs w:val="24"/>
          <w:shd w:val="clear" w:color="auto" w:fill="FFFFFF"/>
        </w:rPr>
        <w:t>(1), 107-117</w:t>
      </w:r>
    </w:p>
    <w:p w14:paraId="4C9F1E71" w14:textId="77777777" w:rsidR="0083389C" w:rsidRDefault="0083389C" w:rsidP="00436C7A">
      <w:pPr>
        <w:pStyle w:val="NoSpacing"/>
        <w:spacing w:line="360" w:lineRule="auto"/>
        <w:ind w:left="990" w:hanging="900"/>
        <w:jc w:val="both"/>
        <w:rPr>
          <w:rFonts w:ascii="Times New Roman" w:hAnsi="Times New Roman"/>
          <w:sz w:val="24"/>
          <w:szCs w:val="24"/>
        </w:rPr>
      </w:pPr>
      <w:r w:rsidRPr="00436C7A">
        <w:rPr>
          <w:rFonts w:ascii="Times New Roman" w:hAnsi="Times New Roman"/>
          <w:sz w:val="24"/>
          <w:szCs w:val="24"/>
        </w:rPr>
        <w:t>Qira, E. (2023). A Game of Fraud: Uncovering Corruption Within FIFA's Decision to Award Qatar the World Cup 2022.</w:t>
      </w:r>
    </w:p>
    <w:p w14:paraId="0F5FA36E"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Quinot, G., &amp; Arrowsmith, S. (2013). Public Procurement Regulations in Africa (Anne Schmidt). VRÜ Verfassung und Recht in Übersee, 46(3), 349-351.</w:t>
      </w:r>
    </w:p>
    <w:p w14:paraId="630D6649" w14:textId="77777777" w:rsidR="0083389C" w:rsidRDefault="0083389C" w:rsidP="00436C7A">
      <w:pPr>
        <w:pStyle w:val="NoSpacing"/>
        <w:spacing w:line="360" w:lineRule="auto"/>
        <w:ind w:left="990" w:hanging="900"/>
        <w:jc w:val="both"/>
        <w:rPr>
          <w:rFonts w:ascii="Times New Roman" w:hAnsi="Times New Roman"/>
          <w:color w:val="222222"/>
          <w:sz w:val="24"/>
          <w:szCs w:val="24"/>
          <w:shd w:val="clear" w:color="auto" w:fill="FFFFFF"/>
        </w:rPr>
      </w:pPr>
      <w:r w:rsidRPr="00436C7A">
        <w:rPr>
          <w:rFonts w:ascii="Times New Roman" w:hAnsi="Times New Roman"/>
          <w:color w:val="222222"/>
          <w:sz w:val="24"/>
          <w:szCs w:val="24"/>
          <w:shd w:val="clear" w:color="auto" w:fill="FFFFFF"/>
        </w:rPr>
        <w:t>Rabbi, H. N. E. (2022). of Thesis: Statutory audit versus forensic audit: impact on financial performance. </w:t>
      </w:r>
      <w:r w:rsidRPr="00436C7A">
        <w:rPr>
          <w:rFonts w:ascii="Times New Roman" w:hAnsi="Times New Roman"/>
          <w:i/>
          <w:iCs/>
          <w:color w:val="222222"/>
          <w:sz w:val="24"/>
          <w:szCs w:val="24"/>
          <w:shd w:val="clear" w:color="auto" w:fill="FFFFFF"/>
        </w:rPr>
        <w:t>Accounting Review</w:t>
      </w:r>
      <w:r w:rsidRPr="00436C7A">
        <w:rPr>
          <w:rFonts w:ascii="Times New Roman" w:hAnsi="Times New Roman"/>
          <w:color w:val="222222"/>
          <w:sz w:val="24"/>
          <w:szCs w:val="24"/>
          <w:shd w:val="clear" w:color="auto" w:fill="FFFFFF"/>
        </w:rPr>
        <w:t>, </w:t>
      </w:r>
      <w:r w:rsidRPr="00436C7A">
        <w:rPr>
          <w:rFonts w:ascii="Times New Roman" w:hAnsi="Times New Roman"/>
          <w:i/>
          <w:iCs/>
          <w:color w:val="222222"/>
          <w:sz w:val="24"/>
          <w:szCs w:val="24"/>
          <w:shd w:val="clear" w:color="auto" w:fill="FFFFFF"/>
        </w:rPr>
        <w:t>82</w:t>
      </w:r>
      <w:r w:rsidRPr="00436C7A">
        <w:rPr>
          <w:rFonts w:ascii="Times New Roman" w:hAnsi="Times New Roman"/>
          <w:color w:val="222222"/>
          <w:sz w:val="24"/>
          <w:szCs w:val="24"/>
          <w:shd w:val="clear" w:color="auto" w:fill="FFFFFF"/>
        </w:rPr>
        <w:t>(4), 803-835.</w:t>
      </w:r>
    </w:p>
    <w:p w14:paraId="1419E89F"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Ramamoorti, S. (2008). The Psychology and Sociology of Fraud: Integrating the Behavioral Sciences Component into Fraud and Forensic Accounting Curricula. </w:t>
      </w:r>
      <w:r w:rsidRPr="008B1465">
        <w:rPr>
          <w:rFonts w:ascii="Times New Roman" w:hAnsi="Times New Roman"/>
          <w:i/>
          <w:iCs/>
          <w:sz w:val="24"/>
          <w:szCs w:val="24"/>
        </w:rPr>
        <w:t>Issues in Accounting Education</w:t>
      </w:r>
      <w:r w:rsidRPr="008B1465">
        <w:rPr>
          <w:rFonts w:ascii="Times New Roman" w:hAnsi="Times New Roman"/>
          <w:sz w:val="24"/>
          <w:szCs w:val="24"/>
        </w:rPr>
        <w:t xml:space="preserve">, 23(4), </w:t>
      </w:r>
      <w:hyperlink r:id="rId32" w:history="1">
        <w:r w:rsidRPr="008B1465">
          <w:rPr>
            <w:rStyle w:val="Hyperlink"/>
            <w:rFonts w:ascii="Times New Roman" w:hAnsi="Times New Roman"/>
            <w:color w:val="auto"/>
            <w:sz w:val="24"/>
            <w:szCs w:val="24"/>
            <w:u w:val="none"/>
          </w:rPr>
          <w:t>https://doi.org/10.2308/iace.2008.23.4.521</w:t>
        </w:r>
      </w:hyperlink>
    </w:p>
    <w:p w14:paraId="40FDD708"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Ramamoorti, S. M., &amp; Daven-Koletar, J. W. (2009). Bringing Freud to Fraud: Understanding the State-of-Mind of the C-Level Suite/White Collar Offender Through. </w:t>
      </w:r>
      <w:r w:rsidRPr="008B1465">
        <w:rPr>
          <w:rFonts w:ascii="Times New Roman" w:hAnsi="Times New Roman"/>
          <w:i/>
          <w:iCs/>
          <w:sz w:val="24"/>
          <w:szCs w:val="24"/>
          <w:shd w:val="clear" w:color="auto" w:fill="FFFFFF"/>
        </w:rPr>
        <w:t>ABC” Analysis”, University of Dayton, Accounting Faculty Publications</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71</w:t>
      </w:r>
    </w:p>
    <w:p w14:paraId="652F1B61"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rPr>
        <w:t xml:space="preserve">Ramaswamy, V. (2005). Corporate governance and the forensic accountant, </w:t>
      </w:r>
      <w:r w:rsidRPr="008B1465">
        <w:rPr>
          <w:rFonts w:ascii="Times New Roman" w:hAnsi="Times New Roman"/>
          <w:i/>
          <w:iCs/>
          <w:sz w:val="24"/>
          <w:szCs w:val="24"/>
          <w:shd w:val="clear" w:color="auto" w:fill="FFFFFF"/>
        </w:rPr>
        <w:t>The CPA Journal</w:t>
      </w:r>
      <w:r w:rsidRPr="008B1465">
        <w:rPr>
          <w:rFonts w:ascii="Times New Roman" w:hAnsi="Times New Roman"/>
          <w:sz w:val="24"/>
          <w:szCs w:val="24"/>
          <w:shd w:val="clear" w:color="auto" w:fill="FFFFFF"/>
        </w:rPr>
        <w:t>, 6870.</w:t>
      </w:r>
    </w:p>
    <w:p w14:paraId="5B3A5165" w14:textId="77777777" w:rsidR="0083389C" w:rsidRDefault="0083389C" w:rsidP="00436C7A">
      <w:pPr>
        <w:pStyle w:val="NoSpacing"/>
        <w:spacing w:line="360" w:lineRule="auto"/>
        <w:ind w:left="990" w:hanging="900"/>
        <w:jc w:val="both"/>
        <w:rPr>
          <w:rFonts w:ascii="Times New Roman" w:hAnsi="Times New Roman"/>
          <w:color w:val="222222"/>
          <w:sz w:val="24"/>
          <w:szCs w:val="24"/>
          <w:shd w:val="clear" w:color="auto" w:fill="FFFFFF"/>
        </w:rPr>
      </w:pPr>
      <w:r w:rsidRPr="00436C7A">
        <w:rPr>
          <w:rFonts w:ascii="Times New Roman" w:hAnsi="Times New Roman"/>
          <w:color w:val="222222"/>
          <w:sz w:val="24"/>
          <w:szCs w:val="24"/>
          <w:shd w:val="clear" w:color="auto" w:fill="FFFFFF"/>
        </w:rPr>
        <w:t>Rashid, M., Khan, N. U., Riaz, U., &amp; Burton, B. (2023). Auditors' perspectives on financial fraud in Pakistan–audacity and the need for legitimacy. </w:t>
      </w:r>
      <w:r w:rsidRPr="00436C7A">
        <w:rPr>
          <w:rFonts w:ascii="Times New Roman" w:hAnsi="Times New Roman"/>
          <w:i/>
          <w:iCs/>
          <w:color w:val="222222"/>
          <w:sz w:val="24"/>
          <w:szCs w:val="24"/>
          <w:shd w:val="clear" w:color="auto" w:fill="FFFFFF"/>
        </w:rPr>
        <w:t>Journal of Accounting in Emerging Economies</w:t>
      </w:r>
      <w:r w:rsidRPr="00436C7A">
        <w:rPr>
          <w:rFonts w:ascii="Times New Roman" w:hAnsi="Times New Roman"/>
          <w:color w:val="222222"/>
          <w:sz w:val="24"/>
          <w:szCs w:val="24"/>
          <w:shd w:val="clear" w:color="auto" w:fill="FFFFFF"/>
        </w:rPr>
        <w:t>, </w:t>
      </w:r>
      <w:r w:rsidRPr="00436C7A">
        <w:rPr>
          <w:rFonts w:ascii="Times New Roman" w:hAnsi="Times New Roman"/>
          <w:i/>
          <w:iCs/>
          <w:color w:val="222222"/>
          <w:sz w:val="24"/>
          <w:szCs w:val="24"/>
          <w:shd w:val="clear" w:color="auto" w:fill="FFFFFF"/>
        </w:rPr>
        <w:t>13</w:t>
      </w:r>
      <w:r w:rsidRPr="00436C7A">
        <w:rPr>
          <w:rFonts w:ascii="Times New Roman" w:hAnsi="Times New Roman"/>
          <w:color w:val="222222"/>
          <w:sz w:val="24"/>
          <w:szCs w:val="24"/>
          <w:shd w:val="clear" w:color="auto" w:fill="FFFFFF"/>
        </w:rPr>
        <w:t>(1), 167-194.</w:t>
      </w:r>
    </w:p>
    <w:p w14:paraId="675184E1"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Raza, M. A., &amp; Nawaz, M. M. (2011). Impact of job enlargement on employees' job satisfaction, motivation and organizational commitment: Evidence from public sector of Pakistan. </w:t>
      </w:r>
      <w:r w:rsidRPr="008B1465">
        <w:rPr>
          <w:rFonts w:ascii="Times New Roman" w:hAnsi="Times New Roman"/>
          <w:i/>
          <w:iCs/>
          <w:sz w:val="24"/>
          <w:szCs w:val="24"/>
          <w:shd w:val="clear" w:color="auto" w:fill="FFFFFF"/>
        </w:rPr>
        <w:t>International Journal of Business and Social Science</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2</w:t>
      </w:r>
      <w:r w:rsidRPr="008B1465">
        <w:rPr>
          <w:rFonts w:ascii="Times New Roman" w:hAnsi="Times New Roman"/>
          <w:sz w:val="24"/>
          <w:szCs w:val="24"/>
          <w:shd w:val="clear" w:color="auto" w:fill="FFFFFF"/>
        </w:rPr>
        <w:t>(18)</w:t>
      </w:r>
    </w:p>
    <w:p w14:paraId="3D6388E0" w14:textId="77777777" w:rsidR="0083389C" w:rsidRDefault="0083389C" w:rsidP="00D44C13">
      <w:pPr>
        <w:pStyle w:val="NoSpacing"/>
        <w:spacing w:line="360" w:lineRule="auto"/>
        <w:ind w:left="990" w:hanging="900"/>
        <w:jc w:val="both"/>
        <w:rPr>
          <w:rStyle w:val="Hyperlink"/>
          <w:rFonts w:ascii="Times New Roman" w:hAnsi="Times New Roman"/>
          <w:color w:val="auto"/>
          <w:sz w:val="24"/>
          <w:szCs w:val="24"/>
          <w:u w:val="none"/>
          <w:shd w:val="clear" w:color="auto" w:fill="FFFFFF"/>
        </w:rPr>
      </w:pPr>
      <w:r w:rsidRPr="007F5378">
        <w:rPr>
          <w:rStyle w:val="Hyperlink"/>
          <w:rFonts w:ascii="Times New Roman" w:hAnsi="Times New Roman"/>
          <w:color w:val="auto"/>
          <w:sz w:val="24"/>
          <w:szCs w:val="24"/>
          <w:u w:val="none"/>
          <w:shd w:val="clear" w:color="auto" w:fill="FFFFFF"/>
        </w:rPr>
        <w:t>Razali, N. M., &amp; Wah, Y. B. (2011). Power comparisons of shapiro-wilk, kolmogorov-smirnov, lilliefors and anderson-darling tests. Journal of statistical modeling and analytics, 2(1), 21-33</w:t>
      </w:r>
    </w:p>
    <w:p w14:paraId="2E86CAC0" w14:textId="77777777" w:rsidR="0083389C" w:rsidRPr="008B1465" w:rsidRDefault="0083389C" w:rsidP="00185371">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rPr>
        <w:t>Razee, Crumbley, Elmore.</w:t>
      </w:r>
      <w:r>
        <w:rPr>
          <w:rFonts w:ascii="Times New Roman" w:hAnsi="Times New Roman"/>
          <w:sz w:val="24"/>
          <w:szCs w:val="24"/>
        </w:rPr>
        <w:t xml:space="preserve"> (2009)</w:t>
      </w:r>
      <w:r w:rsidRPr="008B1465">
        <w:rPr>
          <w:rFonts w:ascii="Times New Roman" w:hAnsi="Times New Roman"/>
          <w:sz w:val="24"/>
          <w:szCs w:val="24"/>
        </w:rPr>
        <w:t xml:space="preserve"> Forensic accounting education: a survey of academicians and practitioners. Commerce Clearing House View Project; 200</w:t>
      </w:r>
      <w:r>
        <w:rPr>
          <w:rFonts w:ascii="Times New Roman" w:hAnsi="Times New Roman"/>
          <w:sz w:val="24"/>
          <w:szCs w:val="24"/>
        </w:rPr>
        <w:t>9</w:t>
      </w:r>
    </w:p>
    <w:p w14:paraId="041CE545"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Rehman, A., &amp; Hashim, F. (2022). Forensic Accounting Is a Necessity in Today’s Corporate World and Not an Extra Option. 276–293. </w:t>
      </w:r>
      <w:hyperlink r:id="rId33" w:history="1">
        <w:r w:rsidRPr="008B1465">
          <w:rPr>
            <w:rStyle w:val="Hyperlink"/>
            <w:rFonts w:ascii="Times New Roman" w:hAnsi="Times New Roman"/>
            <w:color w:val="auto"/>
            <w:sz w:val="24"/>
            <w:szCs w:val="24"/>
            <w:u w:val="none"/>
          </w:rPr>
          <w:t>https://doi.org/10.4018/978-1-7998-8754-6.ch014</w:t>
        </w:r>
      </w:hyperlink>
    </w:p>
    <w:p w14:paraId="63944069"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Rehman, A., &amp; Hashim, F. (2022). Forensic Accounting Is a Necessity in Today's Corporate World and Not an Extra Option: A Conceptual Framework. </w:t>
      </w:r>
      <w:r w:rsidRPr="008B1465">
        <w:rPr>
          <w:rFonts w:ascii="Times New Roman" w:hAnsi="Times New Roman"/>
          <w:i/>
          <w:iCs/>
          <w:sz w:val="24"/>
          <w:szCs w:val="24"/>
        </w:rPr>
        <w:t xml:space="preserve">In Handbook of Research on the Significance of Forensic Accounting Techniques in Corporate Governance, </w:t>
      </w:r>
      <w:r w:rsidRPr="008B1465">
        <w:rPr>
          <w:rFonts w:ascii="Times New Roman" w:hAnsi="Times New Roman"/>
          <w:sz w:val="24"/>
          <w:szCs w:val="24"/>
        </w:rPr>
        <w:t>276-293, IGI Global</w:t>
      </w:r>
    </w:p>
    <w:p w14:paraId="4977ECC3"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Rezaee, Z., Lambert, K. R., &amp; Ken Harmon, W. (2006). Electronic commerce education: Analysis of existing courses. Accounting Education: </w:t>
      </w:r>
      <w:r w:rsidRPr="008B1465">
        <w:rPr>
          <w:rFonts w:ascii="Times New Roman" w:hAnsi="Times New Roman"/>
          <w:i/>
          <w:iCs/>
          <w:sz w:val="24"/>
          <w:szCs w:val="24"/>
        </w:rPr>
        <w:t>An International Journal</w:t>
      </w:r>
      <w:r w:rsidRPr="008B1465">
        <w:rPr>
          <w:rFonts w:ascii="Times New Roman" w:hAnsi="Times New Roman"/>
          <w:sz w:val="24"/>
          <w:szCs w:val="24"/>
        </w:rPr>
        <w:t>, 15(01), 73-88.</w:t>
      </w:r>
    </w:p>
    <w:p w14:paraId="18C2CEE8"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Ribadu, N. </w:t>
      </w:r>
      <w:r>
        <w:rPr>
          <w:rFonts w:ascii="Times New Roman" w:hAnsi="Times New Roman"/>
          <w:sz w:val="24"/>
          <w:szCs w:val="24"/>
        </w:rPr>
        <w:t>(</w:t>
      </w:r>
      <w:r w:rsidRPr="008B1465">
        <w:rPr>
          <w:rFonts w:ascii="Times New Roman" w:hAnsi="Times New Roman"/>
          <w:sz w:val="24"/>
          <w:szCs w:val="24"/>
        </w:rPr>
        <w:t>2004</w:t>
      </w:r>
      <w:r>
        <w:rPr>
          <w:rFonts w:ascii="Times New Roman" w:hAnsi="Times New Roman"/>
          <w:sz w:val="24"/>
          <w:szCs w:val="24"/>
        </w:rPr>
        <w:t>)</w:t>
      </w:r>
      <w:r w:rsidRPr="008B1465">
        <w:rPr>
          <w:rFonts w:ascii="Times New Roman" w:hAnsi="Times New Roman"/>
          <w:sz w:val="24"/>
          <w:szCs w:val="24"/>
        </w:rPr>
        <w:t xml:space="preserve">. "Obstacles to effective prosecution of corrupt practices and financial crime cases in    Nigeria, Paper presented at the 1st stakeholders submits on corrupt practices and financial crimes in Nigeria organized by House of Representatives committee on anti- corruption, national ethics and values at the International Conference Centre trade fare complex." EFCC Publication, Kaduna. </w:t>
      </w:r>
    </w:p>
    <w:p w14:paraId="04885A80"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Roy, A. </w:t>
      </w:r>
      <w:r>
        <w:rPr>
          <w:rFonts w:ascii="Times New Roman" w:hAnsi="Times New Roman"/>
          <w:sz w:val="24"/>
          <w:szCs w:val="24"/>
        </w:rPr>
        <w:t>(</w:t>
      </w:r>
      <w:r w:rsidRPr="008B1465">
        <w:rPr>
          <w:rFonts w:ascii="Times New Roman" w:hAnsi="Times New Roman"/>
          <w:sz w:val="24"/>
          <w:szCs w:val="24"/>
        </w:rPr>
        <w:t>2008</w:t>
      </w:r>
      <w:r>
        <w:rPr>
          <w:rFonts w:ascii="Times New Roman" w:hAnsi="Times New Roman"/>
          <w:sz w:val="24"/>
          <w:szCs w:val="24"/>
        </w:rPr>
        <w:t>)</w:t>
      </w:r>
      <w:r w:rsidRPr="008B1465">
        <w:rPr>
          <w:rFonts w:ascii="Times New Roman" w:hAnsi="Times New Roman"/>
          <w:sz w:val="24"/>
          <w:szCs w:val="24"/>
        </w:rPr>
        <w:t xml:space="preserve">. Bribes Vs. Gifts. </w:t>
      </w:r>
      <w:r w:rsidRPr="008B1465">
        <w:rPr>
          <w:rFonts w:ascii="Times New Roman" w:hAnsi="Times New Roman"/>
          <w:i/>
          <w:iCs/>
          <w:sz w:val="24"/>
          <w:szCs w:val="24"/>
        </w:rPr>
        <w:t>International Journal of Knowledge, Culture and Change Management</w:t>
      </w:r>
      <w:r w:rsidRPr="008B1465">
        <w:rPr>
          <w:rFonts w:ascii="Times New Roman" w:hAnsi="Times New Roman"/>
          <w:sz w:val="24"/>
          <w:szCs w:val="24"/>
        </w:rPr>
        <w:t>, 8(9)</w:t>
      </w:r>
      <w:r>
        <w:rPr>
          <w:rFonts w:ascii="Times New Roman" w:hAnsi="Times New Roman"/>
          <w:sz w:val="24"/>
          <w:szCs w:val="24"/>
        </w:rPr>
        <w:t>,</w:t>
      </w:r>
      <w:r w:rsidRPr="008B1465">
        <w:rPr>
          <w:rFonts w:ascii="Times New Roman" w:hAnsi="Times New Roman"/>
          <w:sz w:val="24"/>
          <w:szCs w:val="24"/>
        </w:rPr>
        <w:t xml:space="preserve"> 143–151. </w:t>
      </w:r>
    </w:p>
    <w:p w14:paraId="7E048729" w14:textId="77777777" w:rsidR="0083389C" w:rsidRPr="00465786" w:rsidRDefault="0083389C" w:rsidP="003D289F">
      <w:pPr>
        <w:pStyle w:val="NoSpacing"/>
        <w:spacing w:line="360" w:lineRule="auto"/>
        <w:ind w:left="990" w:hanging="900"/>
        <w:jc w:val="both"/>
        <w:rPr>
          <w:rFonts w:ascii="Times New Roman" w:hAnsi="Times New Roman"/>
          <w:sz w:val="24"/>
          <w:szCs w:val="24"/>
          <w:shd w:val="clear" w:color="auto" w:fill="FFFFFF"/>
        </w:rPr>
      </w:pPr>
      <w:r w:rsidRPr="00465786">
        <w:rPr>
          <w:rFonts w:ascii="Times New Roman" w:hAnsi="Times New Roman"/>
          <w:sz w:val="24"/>
          <w:szCs w:val="24"/>
          <w:shd w:val="clear" w:color="auto" w:fill="FFFFFF"/>
        </w:rPr>
        <w:t>Rustiarini, N. W., Nurkholis, N., &amp; Andayani, W. (2019). Why people commit public procurement fraud? The fraud diamond view. </w:t>
      </w:r>
      <w:r w:rsidRPr="00465786">
        <w:rPr>
          <w:rFonts w:ascii="Times New Roman" w:hAnsi="Times New Roman"/>
          <w:i/>
          <w:iCs/>
          <w:sz w:val="24"/>
          <w:szCs w:val="24"/>
          <w:shd w:val="clear" w:color="auto" w:fill="FFFFFF"/>
        </w:rPr>
        <w:t>Journal of public procurement</w:t>
      </w:r>
      <w:r w:rsidRPr="00465786">
        <w:rPr>
          <w:rFonts w:ascii="Times New Roman" w:hAnsi="Times New Roman"/>
          <w:sz w:val="24"/>
          <w:szCs w:val="24"/>
          <w:shd w:val="clear" w:color="auto" w:fill="FFFFFF"/>
        </w:rPr>
        <w:t>, </w:t>
      </w:r>
      <w:r w:rsidRPr="00465786">
        <w:rPr>
          <w:rFonts w:ascii="Times New Roman" w:hAnsi="Times New Roman"/>
          <w:i/>
          <w:iCs/>
          <w:sz w:val="24"/>
          <w:szCs w:val="24"/>
          <w:shd w:val="clear" w:color="auto" w:fill="FFFFFF"/>
        </w:rPr>
        <w:t>19</w:t>
      </w:r>
      <w:r w:rsidRPr="00465786">
        <w:rPr>
          <w:rFonts w:ascii="Times New Roman" w:hAnsi="Times New Roman"/>
          <w:sz w:val="24"/>
          <w:szCs w:val="24"/>
          <w:shd w:val="clear" w:color="auto" w:fill="FFFFFF"/>
        </w:rPr>
        <w:t>(4), 345-362.</w:t>
      </w:r>
    </w:p>
    <w:p w14:paraId="0EC2259C"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rPr>
        <w:t>Rustiarini, N. W., Yuesti, A., &amp; Gama, A. W. S. (2020). Public accounting profession and fraud detection responsibility, Journal</w:t>
      </w:r>
      <w:r w:rsidRPr="008B1465">
        <w:rPr>
          <w:rFonts w:ascii="Times New Roman" w:hAnsi="Times New Roman"/>
          <w:i/>
          <w:iCs/>
          <w:sz w:val="24"/>
          <w:szCs w:val="24"/>
        </w:rPr>
        <w:t xml:space="preserve"> of Financial Crime</w:t>
      </w:r>
      <w:r w:rsidRPr="008B1465">
        <w:rPr>
          <w:rFonts w:ascii="Times New Roman" w:hAnsi="Times New Roman"/>
          <w:sz w:val="24"/>
          <w:szCs w:val="24"/>
        </w:rPr>
        <w:t xml:space="preserve">, </w:t>
      </w:r>
      <w:r w:rsidRPr="008B1465">
        <w:rPr>
          <w:rFonts w:ascii="Times New Roman" w:hAnsi="Times New Roman"/>
          <w:sz w:val="24"/>
          <w:szCs w:val="24"/>
          <w:shd w:val="clear" w:color="auto" w:fill="FFFFFF"/>
        </w:rPr>
        <w:t xml:space="preserve">28(2), 613-627, </w:t>
      </w:r>
      <w:hyperlink r:id="rId34" w:history="1">
        <w:r w:rsidRPr="008B1465">
          <w:rPr>
            <w:rStyle w:val="Hyperlink"/>
            <w:rFonts w:ascii="Times New Roman" w:hAnsi="Times New Roman"/>
            <w:color w:val="auto"/>
            <w:sz w:val="24"/>
            <w:szCs w:val="24"/>
            <w:u w:val="none"/>
            <w:shd w:val="clear" w:color="auto" w:fill="FFFFFF"/>
          </w:rPr>
          <w:t>https://doi.org/ 10.1108/JFC-07-2020-0140</w:t>
        </w:r>
      </w:hyperlink>
    </w:p>
    <w:p w14:paraId="492992EF" w14:textId="77777777" w:rsidR="0083389C" w:rsidRPr="008B1465" w:rsidRDefault="0083389C" w:rsidP="006E30E0">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Ryder, N. (2011). Financial crime in the 21st century: law and policy. Gloucestershire: </w:t>
      </w:r>
    </w:p>
    <w:p w14:paraId="5AF6BCAE" w14:textId="77777777" w:rsidR="0083389C" w:rsidRDefault="0083389C" w:rsidP="00D44C13">
      <w:pPr>
        <w:pStyle w:val="NoSpacing"/>
        <w:spacing w:line="360" w:lineRule="auto"/>
        <w:ind w:left="990" w:hanging="900"/>
        <w:jc w:val="both"/>
        <w:rPr>
          <w:rStyle w:val="Hyperlink"/>
          <w:rFonts w:ascii="Times New Roman" w:hAnsi="Times New Roman"/>
          <w:color w:val="auto"/>
          <w:sz w:val="24"/>
          <w:szCs w:val="24"/>
          <w:u w:val="none"/>
          <w:shd w:val="clear" w:color="auto" w:fill="FFFFFF"/>
        </w:rPr>
      </w:pPr>
      <w:r w:rsidRPr="00845E55">
        <w:rPr>
          <w:rStyle w:val="Hyperlink"/>
          <w:rFonts w:ascii="Times New Roman" w:hAnsi="Times New Roman"/>
          <w:color w:val="auto"/>
          <w:sz w:val="24"/>
          <w:szCs w:val="24"/>
          <w:u w:val="none"/>
          <w:shd w:val="clear" w:color="auto" w:fill="FFFFFF"/>
        </w:rPr>
        <w:t>Saccenti, E., Hoefsloot, H. C., Smilde, A. K., Westerhuis, J. A., &amp; Hendriks, M. M. (2014). Reflections on univariate and multivariate analysis of metabolomics data. Metabolomics, 10, 361-374.</w:t>
      </w:r>
    </w:p>
    <w:p w14:paraId="46B14197" w14:textId="77777777" w:rsidR="0083389C" w:rsidRPr="008B1465" w:rsidRDefault="0083389C" w:rsidP="00D44C13">
      <w:pPr>
        <w:pStyle w:val="NoSpacing"/>
        <w:spacing w:line="360" w:lineRule="auto"/>
        <w:ind w:left="990" w:hanging="900"/>
        <w:jc w:val="both"/>
        <w:rPr>
          <w:rStyle w:val="Hyperlink"/>
          <w:rFonts w:ascii="Times New Roman" w:hAnsi="Times New Roman"/>
          <w:color w:val="auto"/>
          <w:sz w:val="24"/>
          <w:szCs w:val="24"/>
          <w:u w:val="none"/>
          <w:shd w:val="clear" w:color="auto" w:fill="FFFFFF"/>
        </w:rPr>
      </w:pPr>
      <w:r w:rsidRPr="008B1465">
        <w:rPr>
          <w:rFonts w:ascii="Times New Roman" w:hAnsi="Times New Roman"/>
          <w:sz w:val="24"/>
          <w:szCs w:val="24"/>
        </w:rPr>
        <w:t xml:space="preserve">Sa'id, S. U., &amp; Azmi, K. S. A. (2020). Challenges of combating fraudulent practices: evidence from Nigerian public sector. </w:t>
      </w:r>
      <w:r w:rsidRPr="008B1465">
        <w:rPr>
          <w:rFonts w:ascii="Times New Roman" w:hAnsi="Times New Roman"/>
          <w:i/>
          <w:iCs/>
          <w:sz w:val="24"/>
          <w:szCs w:val="24"/>
        </w:rPr>
        <w:t>Journal of Financial Crime</w:t>
      </w:r>
      <w:r w:rsidRPr="008B1465">
        <w:rPr>
          <w:rFonts w:ascii="Times New Roman" w:hAnsi="Times New Roman"/>
          <w:sz w:val="24"/>
          <w:szCs w:val="24"/>
        </w:rPr>
        <w:t>,</w:t>
      </w:r>
      <w:r w:rsidRPr="008B1465">
        <w:rPr>
          <w:rFonts w:ascii="Times New Roman" w:hAnsi="Times New Roman"/>
          <w:sz w:val="24"/>
          <w:szCs w:val="24"/>
          <w:shd w:val="clear" w:color="auto" w:fill="FFFFFF"/>
        </w:rPr>
        <w:t xml:space="preserve"> 29(4), 1406-1419. </w:t>
      </w:r>
      <w:hyperlink r:id="rId35" w:history="1">
        <w:r w:rsidRPr="008B1465">
          <w:rPr>
            <w:rStyle w:val="Hyperlink"/>
            <w:rFonts w:ascii="Times New Roman" w:hAnsi="Times New Roman"/>
            <w:color w:val="auto"/>
            <w:sz w:val="24"/>
            <w:szCs w:val="24"/>
            <w:u w:val="none"/>
            <w:shd w:val="clear" w:color="auto" w:fill="FFFFFF"/>
          </w:rPr>
          <w:t>https://doi.org/ 10.1108/ JFC-04-2020-0075</w:t>
        </w:r>
      </w:hyperlink>
    </w:p>
    <w:p w14:paraId="192E2AA7"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Samuel, W., &amp; Moulds, E. (1986). Effect of Crime Severity on Perceptions of Fair Punishment: A California Case Study, the </w:t>
      </w:r>
      <w:r w:rsidRPr="008B1465">
        <w:rPr>
          <w:rFonts w:ascii="Times New Roman" w:hAnsi="Times New Roman"/>
          <w:i/>
          <w:iCs/>
          <w:sz w:val="24"/>
          <w:szCs w:val="24"/>
        </w:rPr>
        <w:t>Journal of Crime, Litigation &amp; Criminology</w:t>
      </w:r>
      <w:r w:rsidRPr="008B1465">
        <w:rPr>
          <w:rFonts w:ascii="Times New Roman" w:hAnsi="Times New Roman"/>
          <w:sz w:val="24"/>
          <w:szCs w:val="24"/>
        </w:rPr>
        <w:t xml:space="preserve">, </w:t>
      </w:r>
      <w:r w:rsidRPr="008B1465">
        <w:rPr>
          <w:rFonts w:ascii="Times New Roman" w:hAnsi="Times New Roman"/>
          <w:i/>
          <w:iCs/>
          <w:sz w:val="24"/>
          <w:szCs w:val="24"/>
        </w:rPr>
        <w:t>77</w:t>
      </w:r>
      <w:r w:rsidRPr="008B1465">
        <w:rPr>
          <w:rFonts w:ascii="Times New Roman" w:hAnsi="Times New Roman"/>
          <w:sz w:val="24"/>
          <w:szCs w:val="24"/>
        </w:rPr>
        <w:t>, 931.</w:t>
      </w:r>
    </w:p>
    <w:p w14:paraId="1B27189E"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Sanchez, M. (2012). the Role of the Forensic Accountant in a Medicare Fraud Identity Theft Case. </w:t>
      </w:r>
      <w:r w:rsidRPr="008B1465">
        <w:rPr>
          <w:rFonts w:ascii="Times New Roman" w:hAnsi="Times New Roman"/>
          <w:i/>
          <w:iCs/>
          <w:sz w:val="24"/>
          <w:szCs w:val="24"/>
        </w:rPr>
        <w:t>Global Journal of Business Research (GJBR)</w:t>
      </w:r>
      <w:r w:rsidRPr="008B1465">
        <w:rPr>
          <w:rFonts w:ascii="Times New Roman" w:hAnsi="Times New Roman"/>
          <w:sz w:val="24"/>
          <w:szCs w:val="24"/>
        </w:rPr>
        <w:t xml:space="preserve">, 6(3), 85–92. </w:t>
      </w:r>
    </w:p>
    <w:p w14:paraId="45E837F8"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Schuchter, A., &amp; Levi, M. (2015). Beyond the fraud triangle: Swiss and Austrian elite fraudsters. </w:t>
      </w:r>
      <w:r w:rsidRPr="008B1465">
        <w:rPr>
          <w:rFonts w:ascii="Times New Roman" w:hAnsi="Times New Roman"/>
          <w:i/>
          <w:iCs/>
          <w:sz w:val="24"/>
          <w:szCs w:val="24"/>
        </w:rPr>
        <w:t>Journal of Accounting Forum,</w:t>
      </w:r>
      <w:r w:rsidRPr="008B1465">
        <w:rPr>
          <w:rFonts w:ascii="Times New Roman" w:hAnsi="Times New Roman"/>
          <w:sz w:val="24"/>
          <w:szCs w:val="24"/>
        </w:rPr>
        <w:t xml:space="preserve"> 39(3), 176-187</w:t>
      </w:r>
    </w:p>
    <w:p w14:paraId="78B80560" w14:textId="77777777" w:rsidR="0083389C" w:rsidRDefault="0083389C" w:rsidP="00436C7A">
      <w:pPr>
        <w:pStyle w:val="NoSpacing"/>
        <w:spacing w:line="360" w:lineRule="auto"/>
        <w:ind w:left="990" w:hanging="900"/>
        <w:jc w:val="both"/>
        <w:rPr>
          <w:rFonts w:ascii="Times New Roman" w:hAnsi="Times New Roman"/>
          <w:color w:val="222222"/>
          <w:sz w:val="24"/>
          <w:szCs w:val="24"/>
          <w:shd w:val="clear" w:color="auto" w:fill="FFFFFF"/>
        </w:rPr>
      </w:pPr>
      <w:bookmarkStart w:id="163" w:name="_Hlk145530946"/>
      <w:r w:rsidRPr="00436C7A">
        <w:rPr>
          <w:rFonts w:ascii="Times New Roman" w:hAnsi="Times New Roman"/>
          <w:color w:val="222222"/>
          <w:sz w:val="24"/>
          <w:szCs w:val="24"/>
          <w:shd w:val="clear" w:color="auto" w:fill="FFFFFF"/>
        </w:rPr>
        <w:t>Schweikl, S., &amp; Obermaier, R. (2020). Lessons from three decades of IT productivity research: towards a better understanding of IT-induced productivity effects. </w:t>
      </w:r>
      <w:r w:rsidRPr="00436C7A">
        <w:rPr>
          <w:rFonts w:ascii="Times New Roman" w:hAnsi="Times New Roman"/>
          <w:i/>
          <w:iCs/>
          <w:color w:val="222222"/>
          <w:sz w:val="24"/>
          <w:szCs w:val="24"/>
          <w:shd w:val="clear" w:color="auto" w:fill="FFFFFF"/>
        </w:rPr>
        <w:t>Management Review Quarterly</w:t>
      </w:r>
      <w:r w:rsidRPr="00436C7A">
        <w:rPr>
          <w:rFonts w:ascii="Times New Roman" w:hAnsi="Times New Roman"/>
          <w:color w:val="222222"/>
          <w:sz w:val="24"/>
          <w:szCs w:val="24"/>
          <w:shd w:val="clear" w:color="auto" w:fill="FFFFFF"/>
        </w:rPr>
        <w:t>, </w:t>
      </w:r>
      <w:r w:rsidRPr="00436C7A">
        <w:rPr>
          <w:rFonts w:ascii="Times New Roman" w:hAnsi="Times New Roman"/>
          <w:i/>
          <w:iCs/>
          <w:color w:val="222222"/>
          <w:sz w:val="24"/>
          <w:szCs w:val="24"/>
          <w:shd w:val="clear" w:color="auto" w:fill="FFFFFF"/>
        </w:rPr>
        <w:t>70</w:t>
      </w:r>
      <w:r w:rsidRPr="00436C7A">
        <w:rPr>
          <w:rFonts w:ascii="Times New Roman" w:hAnsi="Times New Roman"/>
          <w:color w:val="222222"/>
          <w:sz w:val="24"/>
          <w:szCs w:val="24"/>
          <w:shd w:val="clear" w:color="auto" w:fill="FFFFFF"/>
        </w:rPr>
        <w:t>(4), 461-507.</w:t>
      </w:r>
    </w:p>
    <w:p w14:paraId="46B31D60"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Seda, M., &amp; Kramer, B. K. P. (2014). An Examination of the Availability and Composition of Forensic Accounting Education in the United States and Other Countries. </w:t>
      </w:r>
      <w:r w:rsidRPr="008B1465">
        <w:rPr>
          <w:rFonts w:ascii="Times New Roman" w:hAnsi="Times New Roman"/>
          <w:i/>
          <w:iCs/>
          <w:sz w:val="24"/>
          <w:szCs w:val="24"/>
        </w:rPr>
        <w:t>Journal of Forensic and Investigative Accounting</w:t>
      </w:r>
      <w:r w:rsidRPr="008B1465">
        <w:rPr>
          <w:rFonts w:ascii="Times New Roman" w:hAnsi="Times New Roman"/>
          <w:sz w:val="24"/>
          <w:szCs w:val="24"/>
        </w:rPr>
        <w:t>, 6(1)</w:t>
      </w:r>
    </w:p>
    <w:bookmarkEnd w:id="163"/>
    <w:p w14:paraId="607ABC1F" w14:textId="77777777" w:rsidR="0083389C" w:rsidRDefault="0083389C" w:rsidP="00436C7A">
      <w:pPr>
        <w:pStyle w:val="NoSpacing"/>
        <w:spacing w:line="360" w:lineRule="auto"/>
        <w:ind w:left="990" w:hanging="900"/>
        <w:jc w:val="both"/>
        <w:rPr>
          <w:rFonts w:ascii="Times New Roman" w:hAnsi="Times New Roman"/>
          <w:color w:val="222222"/>
          <w:sz w:val="24"/>
          <w:szCs w:val="24"/>
          <w:shd w:val="clear" w:color="auto" w:fill="FFFFFF"/>
        </w:rPr>
      </w:pPr>
      <w:r w:rsidRPr="00436C7A">
        <w:rPr>
          <w:rFonts w:ascii="Times New Roman" w:hAnsi="Times New Roman"/>
          <w:color w:val="222222"/>
          <w:sz w:val="24"/>
          <w:szCs w:val="24"/>
          <w:shd w:val="clear" w:color="auto" w:fill="FFFFFF"/>
        </w:rPr>
        <w:t>Senan, N., &amp; Swalih, M. M. (2019). A brief overview of forensic accounting and its present position in a Middle East country. </w:t>
      </w:r>
      <w:r w:rsidRPr="00436C7A">
        <w:rPr>
          <w:rFonts w:ascii="Times New Roman" w:hAnsi="Times New Roman"/>
          <w:i/>
          <w:iCs/>
          <w:color w:val="222222"/>
          <w:sz w:val="24"/>
          <w:szCs w:val="24"/>
          <w:shd w:val="clear" w:color="auto" w:fill="FFFFFF"/>
        </w:rPr>
        <w:t>Pacific Business Review International</w:t>
      </w:r>
      <w:r w:rsidRPr="00436C7A">
        <w:rPr>
          <w:rFonts w:ascii="Times New Roman" w:hAnsi="Times New Roman"/>
          <w:color w:val="222222"/>
          <w:sz w:val="24"/>
          <w:szCs w:val="24"/>
          <w:shd w:val="clear" w:color="auto" w:fill="FFFFFF"/>
        </w:rPr>
        <w:t>, </w:t>
      </w:r>
      <w:r w:rsidRPr="00436C7A">
        <w:rPr>
          <w:rFonts w:ascii="Times New Roman" w:hAnsi="Times New Roman"/>
          <w:i/>
          <w:iCs/>
          <w:color w:val="222222"/>
          <w:sz w:val="24"/>
          <w:szCs w:val="24"/>
          <w:shd w:val="clear" w:color="auto" w:fill="FFFFFF"/>
        </w:rPr>
        <w:t>12</w:t>
      </w:r>
      <w:r w:rsidRPr="00436C7A">
        <w:rPr>
          <w:rFonts w:ascii="Times New Roman" w:hAnsi="Times New Roman"/>
          <w:color w:val="222222"/>
          <w:sz w:val="24"/>
          <w:szCs w:val="24"/>
          <w:shd w:val="clear" w:color="auto" w:fill="FFFFFF"/>
        </w:rPr>
        <w:t>(1), 108-115.</w:t>
      </w:r>
    </w:p>
    <w:p w14:paraId="5F8FDFB4"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Sesay, M. (1995). State capacity and the politics of economic reform in Sierra Leone, </w:t>
      </w:r>
      <w:r w:rsidRPr="008B1465">
        <w:rPr>
          <w:rFonts w:ascii="Times New Roman" w:hAnsi="Times New Roman"/>
          <w:i/>
          <w:iCs/>
          <w:sz w:val="24"/>
          <w:szCs w:val="24"/>
        </w:rPr>
        <w:t>Journal of Contemporary African Studies</w:t>
      </w:r>
      <w:r w:rsidRPr="008B1465">
        <w:rPr>
          <w:rFonts w:ascii="Times New Roman" w:hAnsi="Times New Roman"/>
          <w:sz w:val="24"/>
          <w:szCs w:val="24"/>
        </w:rPr>
        <w:t>, 13(2), 165-192.</w:t>
      </w:r>
    </w:p>
    <w:p w14:paraId="2D85F28E"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Sevim, Ş., Yildiz, B., &amp; Dalkiliç, N. (2016). Risk Assessment for Accounting Professional Liability Insurance. </w:t>
      </w:r>
      <w:r w:rsidRPr="008B1465">
        <w:rPr>
          <w:rFonts w:ascii="Times New Roman" w:hAnsi="Times New Roman"/>
          <w:i/>
          <w:iCs/>
          <w:sz w:val="24"/>
          <w:szCs w:val="24"/>
        </w:rPr>
        <w:t>Sosyoekonom</w:t>
      </w:r>
      <w:r w:rsidRPr="008B1465">
        <w:rPr>
          <w:rFonts w:ascii="Times New Roman" w:hAnsi="Times New Roman"/>
          <w:sz w:val="24"/>
          <w:szCs w:val="24"/>
        </w:rPr>
        <w:t>i, 24(29), 93-112.</w:t>
      </w:r>
    </w:p>
    <w:p w14:paraId="06B6F639"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Shao, J., Ivanov, P.C., Podobnik, B., and Stanley, H.E. 2007. Quantitative Relations Between Corruption and Economic Factors. </w:t>
      </w:r>
      <w:r w:rsidRPr="008B1465">
        <w:rPr>
          <w:rFonts w:ascii="Times New Roman" w:hAnsi="Times New Roman"/>
          <w:i/>
          <w:iCs/>
          <w:sz w:val="24"/>
          <w:szCs w:val="24"/>
        </w:rPr>
        <w:t>The European Physical Journal B-Condensed Matter and Complex Systems</w:t>
      </w:r>
      <w:r w:rsidRPr="008B1465">
        <w:rPr>
          <w:rFonts w:ascii="Times New Roman" w:hAnsi="Times New Roman"/>
          <w:sz w:val="24"/>
          <w:szCs w:val="24"/>
        </w:rPr>
        <w:t>, 56(2)</w:t>
      </w:r>
      <w:r>
        <w:rPr>
          <w:rFonts w:ascii="Times New Roman" w:hAnsi="Times New Roman"/>
          <w:sz w:val="24"/>
          <w:szCs w:val="24"/>
        </w:rPr>
        <w:t>,</w:t>
      </w:r>
      <w:r w:rsidRPr="008B1465">
        <w:rPr>
          <w:rFonts w:ascii="Times New Roman" w:hAnsi="Times New Roman"/>
          <w:sz w:val="24"/>
          <w:szCs w:val="24"/>
        </w:rPr>
        <w:t xml:space="preserve"> 157–166.</w:t>
      </w:r>
    </w:p>
    <w:p w14:paraId="3410AADF" w14:textId="77777777" w:rsidR="0083389C" w:rsidRPr="008B1465" w:rsidRDefault="0083389C" w:rsidP="00D44C13">
      <w:pPr>
        <w:pStyle w:val="NoSpacing"/>
        <w:spacing w:line="360" w:lineRule="auto"/>
        <w:ind w:left="990" w:hanging="900"/>
        <w:jc w:val="both"/>
        <w:rPr>
          <w:rStyle w:val="Hyperlink"/>
          <w:rFonts w:ascii="Times New Roman" w:hAnsi="Times New Roman"/>
          <w:color w:val="auto"/>
          <w:sz w:val="24"/>
          <w:szCs w:val="24"/>
          <w:u w:val="none"/>
          <w:shd w:val="clear" w:color="auto" w:fill="FFFFFF"/>
        </w:rPr>
      </w:pPr>
      <w:r w:rsidRPr="00F0524D">
        <w:rPr>
          <w:rStyle w:val="Hyperlink"/>
          <w:rFonts w:ascii="Times New Roman" w:hAnsi="Times New Roman"/>
          <w:color w:val="auto"/>
          <w:sz w:val="24"/>
          <w:szCs w:val="24"/>
          <w:u w:val="none"/>
          <w:shd w:val="clear" w:color="auto" w:fill="FFFFFF"/>
        </w:rPr>
        <w:t xml:space="preserve">Shapiro, S. S., &amp; Wilk, M. B. (1965). An analysis of variance test for normality (complete samples). </w:t>
      </w:r>
      <w:r w:rsidRPr="00151947">
        <w:rPr>
          <w:rStyle w:val="Hyperlink"/>
          <w:rFonts w:ascii="Times New Roman" w:hAnsi="Times New Roman"/>
          <w:i/>
          <w:iCs/>
          <w:color w:val="auto"/>
          <w:sz w:val="24"/>
          <w:szCs w:val="24"/>
          <w:u w:val="none"/>
          <w:shd w:val="clear" w:color="auto" w:fill="FFFFFF"/>
        </w:rPr>
        <w:t>Biometrika,</w:t>
      </w:r>
      <w:r w:rsidRPr="00F0524D">
        <w:rPr>
          <w:rStyle w:val="Hyperlink"/>
          <w:rFonts w:ascii="Times New Roman" w:hAnsi="Times New Roman"/>
          <w:color w:val="auto"/>
          <w:sz w:val="24"/>
          <w:szCs w:val="24"/>
          <w:u w:val="none"/>
          <w:shd w:val="clear" w:color="auto" w:fill="FFFFFF"/>
        </w:rPr>
        <w:t xml:space="preserve"> 52(3/4), 591-611.</w:t>
      </w:r>
    </w:p>
    <w:p w14:paraId="7E77EF65" w14:textId="77777777" w:rsidR="0083389C" w:rsidRDefault="0083389C" w:rsidP="00436C7A">
      <w:pPr>
        <w:pStyle w:val="NoSpacing"/>
        <w:spacing w:line="360" w:lineRule="auto"/>
        <w:ind w:left="990" w:hanging="900"/>
        <w:jc w:val="both"/>
        <w:rPr>
          <w:rFonts w:ascii="Times New Roman" w:hAnsi="Times New Roman"/>
          <w:color w:val="222222"/>
          <w:sz w:val="24"/>
          <w:szCs w:val="24"/>
          <w:shd w:val="clear" w:color="auto" w:fill="FFFFFF"/>
        </w:rPr>
      </w:pPr>
      <w:r w:rsidRPr="00436C7A">
        <w:rPr>
          <w:rFonts w:ascii="Times New Roman" w:hAnsi="Times New Roman"/>
          <w:color w:val="222222"/>
          <w:sz w:val="24"/>
          <w:szCs w:val="24"/>
          <w:shd w:val="clear" w:color="auto" w:fill="FFFFFF"/>
        </w:rPr>
        <w:t>Sharifi, S., Vaez, S. A., &amp; Basirat, M. (2022). Designing a Forensic Accounting Model with a Focus on Protecting of Shareholders Rights of Petrochemical Companies: Fuzzy Network Analysis. </w:t>
      </w:r>
      <w:r w:rsidRPr="00436C7A">
        <w:rPr>
          <w:rFonts w:ascii="Times New Roman" w:hAnsi="Times New Roman"/>
          <w:i/>
          <w:iCs/>
          <w:color w:val="222222"/>
          <w:sz w:val="24"/>
          <w:szCs w:val="24"/>
          <w:shd w:val="clear" w:color="auto" w:fill="FFFFFF"/>
        </w:rPr>
        <w:t>Petroleum Business Review</w:t>
      </w:r>
      <w:r w:rsidRPr="00436C7A">
        <w:rPr>
          <w:rFonts w:ascii="Times New Roman" w:hAnsi="Times New Roman"/>
          <w:color w:val="222222"/>
          <w:sz w:val="24"/>
          <w:szCs w:val="24"/>
          <w:shd w:val="clear" w:color="auto" w:fill="FFFFFF"/>
        </w:rPr>
        <w:t>, </w:t>
      </w:r>
      <w:r w:rsidRPr="00436C7A">
        <w:rPr>
          <w:rFonts w:ascii="Times New Roman" w:hAnsi="Times New Roman"/>
          <w:i/>
          <w:iCs/>
          <w:color w:val="222222"/>
          <w:sz w:val="24"/>
          <w:szCs w:val="24"/>
          <w:shd w:val="clear" w:color="auto" w:fill="FFFFFF"/>
        </w:rPr>
        <w:t>6</w:t>
      </w:r>
      <w:r w:rsidRPr="00436C7A">
        <w:rPr>
          <w:rFonts w:ascii="Times New Roman" w:hAnsi="Times New Roman"/>
          <w:color w:val="222222"/>
          <w:sz w:val="24"/>
          <w:szCs w:val="24"/>
          <w:shd w:val="clear" w:color="auto" w:fill="FFFFFF"/>
        </w:rPr>
        <w:t>(1), 23-41.</w:t>
      </w:r>
    </w:p>
    <w:p w14:paraId="5A27F358"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Sharma, A. (2014). Frauds in India and Forensic Accounting. </w:t>
      </w:r>
      <w:r w:rsidRPr="008B1465">
        <w:rPr>
          <w:rFonts w:ascii="Times New Roman" w:hAnsi="Times New Roman"/>
          <w:i/>
          <w:iCs/>
          <w:sz w:val="24"/>
          <w:szCs w:val="24"/>
        </w:rPr>
        <w:t>International Journal of Research &amp; Development in Technology and Management Science –Kailash,</w:t>
      </w:r>
      <w:r w:rsidRPr="008B1465">
        <w:rPr>
          <w:rFonts w:ascii="Times New Roman" w:hAnsi="Times New Roman"/>
          <w:sz w:val="24"/>
          <w:szCs w:val="24"/>
        </w:rPr>
        <w:t xml:space="preserve"> 21(5)</w:t>
      </w:r>
    </w:p>
    <w:p w14:paraId="49AF6856"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Sheetz, </w:t>
      </w:r>
      <w:r>
        <w:rPr>
          <w:rFonts w:ascii="Times New Roman" w:hAnsi="Times New Roman"/>
          <w:sz w:val="24"/>
          <w:szCs w:val="24"/>
        </w:rPr>
        <w:t>M</w:t>
      </w:r>
      <w:r w:rsidRPr="008B1465">
        <w:rPr>
          <w:rFonts w:ascii="Times New Roman" w:hAnsi="Times New Roman"/>
          <w:sz w:val="24"/>
          <w:szCs w:val="24"/>
        </w:rPr>
        <w:t>.</w:t>
      </w:r>
      <w:r>
        <w:rPr>
          <w:rFonts w:ascii="Times New Roman" w:hAnsi="Times New Roman"/>
          <w:sz w:val="24"/>
          <w:szCs w:val="24"/>
        </w:rPr>
        <w:t>,</w:t>
      </w:r>
      <w:r w:rsidRPr="008B1465">
        <w:rPr>
          <w:rFonts w:ascii="Times New Roman" w:hAnsi="Times New Roman"/>
          <w:sz w:val="24"/>
          <w:szCs w:val="24"/>
        </w:rPr>
        <w:t xml:space="preserve"> Pedneault,</w:t>
      </w:r>
      <w:r>
        <w:rPr>
          <w:rFonts w:ascii="Times New Roman" w:hAnsi="Times New Roman"/>
          <w:sz w:val="24"/>
          <w:szCs w:val="24"/>
        </w:rPr>
        <w:t xml:space="preserve"> S.,</w:t>
      </w:r>
      <w:r w:rsidRPr="008B1465">
        <w:rPr>
          <w:rFonts w:ascii="Times New Roman" w:hAnsi="Times New Roman"/>
          <w:sz w:val="24"/>
          <w:szCs w:val="24"/>
        </w:rPr>
        <w:t xml:space="preserve"> &amp; Rudewicz,</w:t>
      </w:r>
      <w:r>
        <w:rPr>
          <w:rFonts w:ascii="Times New Roman" w:hAnsi="Times New Roman"/>
          <w:sz w:val="24"/>
          <w:szCs w:val="24"/>
        </w:rPr>
        <w:t xml:space="preserve"> </w:t>
      </w:r>
      <w:r w:rsidRPr="008B1465">
        <w:rPr>
          <w:rFonts w:ascii="Times New Roman" w:hAnsi="Times New Roman"/>
          <w:sz w:val="24"/>
          <w:szCs w:val="24"/>
        </w:rPr>
        <w:t>F.  Forensic accounting and fraud investigation for non-experts (1-15). New York: John Wiley &amp; Sons, Inc.</w:t>
      </w:r>
    </w:p>
    <w:p w14:paraId="69427E43" w14:textId="77777777" w:rsidR="0083389C" w:rsidRPr="00465786" w:rsidRDefault="0083389C" w:rsidP="003D289F">
      <w:pPr>
        <w:pStyle w:val="NoSpacing"/>
        <w:spacing w:line="360" w:lineRule="auto"/>
        <w:ind w:left="990" w:hanging="900"/>
        <w:jc w:val="both"/>
        <w:rPr>
          <w:rFonts w:ascii="Times New Roman" w:hAnsi="Times New Roman"/>
          <w:sz w:val="24"/>
          <w:szCs w:val="24"/>
          <w:shd w:val="clear" w:color="auto" w:fill="FFFFFF"/>
        </w:rPr>
      </w:pPr>
      <w:r w:rsidRPr="00465786">
        <w:rPr>
          <w:rFonts w:ascii="Times New Roman" w:hAnsi="Times New Roman"/>
          <w:sz w:val="24"/>
          <w:szCs w:val="24"/>
          <w:shd w:val="clear" w:color="auto" w:fill="FFFFFF"/>
        </w:rPr>
        <w:t>Shonhadji, N., &amp; Maulidi, A. (2021). The roles of whistleblowing system and fraud awareness as financial statement fraud deterrent. </w:t>
      </w:r>
      <w:r w:rsidRPr="00465786">
        <w:rPr>
          <w:rFonts w:ascii="Times New Roman" w:hAnsi="Times New Roman"/>
          <w:i/>
          <w:iCs/>
          <w:sz w:val="24"/>
          <w:szCs w:val="24"/>
          <w:shd w:val="clear" w:color="auto" w:fill="FFFFFF"/>
        </w:rPr>
        <w:t>International Journal of Ethics and Systems</w:t>
      </w:r>
      <w:r w:rsidRPr="00465786">
        <w:rPr>
          <w:rFonts w:ascii="Times New Roman" w:hAnsi="Times New Roman"/>
          <w:sz w:val="24"/>
          <w:szCs w:val="24"/>
          <w:shd w:val="clear" w:color="auto" w:fill="FFFFFF"/>
        </w:rPr>
        <w:t>, </w:t>
      </w:r>
      <w:r w:rsidRPr="00465786">
        <w:rPr>
          <w:rFonts w:ascii="Times New Roman" w:hAnsi="Times New Roman"/>
          <w:i/>
          <w:iCs/>
          <w:sz w:val="24"/>
          <w:szCs w:val="24"/>
          <w:shd w:val="clear" w:color="auto" w:fill="FFFFFF"/>
        </w:rPr>
        <w:t>37</w:t>
      </w:r>
      <w:r w:rsidRPr="00465786">
        <w:rPr>
          <w:rFonts w:ascii="Times New Roman" w:hAnsi="Times New Roman"/>
          <w:sz w:val="24"/>
          <w:szCs w:val="24"/>
          <w:shd w:val="clear" w:color="auto" w:fill="FFFFFF"/>
        </w:rPr>
        <w:t>(3), 370-389.</w:t>
      </w:r>
    </w:p>
    <w:p w14:paraId="36F2B412"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Silverstone, H., Sheetz, M. (2007). Forensic Accounting and Fraud Investigation for Non-Experts Second ed. Hoboken, New Jersey: John Wiley &amp; Sons. </w:t>
      </w:r>
    </w:p>
    <w:p w14:paraId="17F2E751"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Silverstone, H., Sheetz, M., Pedneault, S., &amp; Rudewicz, F. (2012). Forensic accounting and fraud investigation for non-experts. John Wiley &amp; Sons</w:t>
      </w:r>
    </w:p>
    <w:p w14:paraId="5CA0BA8F"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Singleton, T. W., &amp; Singleton, A. J. (2010). Fraud auditing and forensic accounting, 11. John Wiley &amp; Sons</w:t>
      </w:r>
    </w:p>
    <w:p w14:paraId="1D21D944"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Skousen, C. J., &amp; Wright, C. J. (2008). Assessing fraud risk: how does the oil and gas industry stack up? </w:t>
      </w:r>
      <w:r w:rsidRPr="008B1465">
        <w:rPr>
          <w:rFonts w:ascii="Times New Roman" w:hAnsi="Times New Roman"/>
          <w:i/>
          <w:iCs/>
          <w:sz w:val="24"/>
          <w:szCs w:val="24"/>
        </w:rPr>
        <w:t>Petroleum Accounting and Financial Management Journal</w:t>
      </w:r>
      <w:r w:rsidRPr="008B1465">
        <w:rPr>
          <w:rFonts w:ascii="Times New Roman" w:hAnsi="Times New Roman"/>
          <w:sz w:val="24"/>
          <w:szCs w:val="24"/>
        </w:rPr>
        <w:t>, 27(2), 61</w:t>
      </w:r>
    </w:p>
    <w:p w14:paraId="3698CCF6"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Smith, E. P. (2012). The basics of business valuation, fraud and forensic accounting, and dispute resolution services, </w:t>
      </w:r>
      <w:r w:rsidRPr="008B1465">
        <w:rPr>
          <w:rFonts w:ascii="Times New Roman" w:hAnsi="Times New Roman"/>
          <w:i/>
          <w:iCs/>
          <w:sz w:val="24"/>
          <w:szCs w:val="24"/>
        </w:rPr>
        <w:t>The CPA Journal</w:t>
      </w:r>
      <w:r w:rsidRPr="008B1465">
        <w:rPr>
          <w:rFonts w:ascii="Times New Roman" w:hAnsi="Times New Roman"/>
          <w:sz w:val="24"/>
          <w:szCs w:val="24"/>
        </w:rPr>
        <w:t>, 82(6), 6.</w:t>
      </w:r>
    </w:p>
    <w:p w14:paraId="1EFBC93E"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Smith, G. S., &amp; Crumbley, D. L. (2009). How Divergent Are Pedagogical Views Toward the Fraud/Forensic Accounting Curriculum? </w:t>
      </w:r>
      <w:r w:rsidRPr="008B1465">
        <w:rPr>
          <w:rFonts w:ascii="Times New Roman" w:hAnsi="Times New Roman"/>
          <w:i/>
          <w:iCs/>
          <w:sz w:val="24"/>
          <w:szCs w:val="24"/>
        </w:rPr>
        <w:t>Global Perspectives on Accounting Education</w:t>
      </w:r>
      <w:r w:rsidRPr="008B1465">
        <w:rPr>
          <w:rFonts w:ascii="Times New Roman" w:hAnsi="Times New Roman"/>
          <w:sz w:val="24"/>
          <w:szCs w:val="24"/>
        </w:rPr>
        <w:t xml:space="preserve">, 6, 1–24. </w:t>
      </w:r>
    </w:p>
    <w:p w14:paraId="3C641B20" w14:textId="77777777" w:rsidR="0083389C" w:rsidRPr="008B1465" w:rsidRDefault="0083389C" w:rsidP="00D44C13">
      <w:pPr>
        <w:pStyle w:val="NoSpacing"/>
        <w:spacing w:line="360" w:lineRule="auto"/>
        <w:ind w:left="990" w:hanging="900"/>
        <w:jc w:val="both"/>
        <w:rPr>
          <w:rStyle w:val="Hyperlink"/>
          <w:rFonts w:ascii="Times New Roman" w:hAnsi="Times New Roman"/>
          <w:color w:val="auto"/>
          <w:sz w:val="24"/>
          <w:szCs w:val="24"/>
          <w:u w:val="none"/>
        </w:rPr>
      </w:pPr>
      <w:r w:rsidRPr="008B1465">
        <w:rPr>
          <w:rFonts w:ascii="Times New Roman" w:hAnsi="Times New Roman"/>
          <w:sz w:val="24"/>
          <w:szCs w:val="24"/>
        </w:rPr>
        <w:t xml:space="preserve">Sorunke, O. A. (2018). Forensic Accounting Investigation Techniques and Successful Prosecution of Corruption Cases in Nigeria, </w:t>
      </w:r>
      <w:r w:rsidRPr="008B1465">
        <w:rPr>
          <w:rFonts w:ascii="Times New Roman" w:hAnsi="Times New Roman"/>
          <w:i/>
          <w:iCs/>
          <w:sz w:val="24"/>
          <w:szCs w:val="24"/>
        </w:rPr>
        <w:t>International Journal of Academic Research in Accounting, Finance and Management Sciences</w:t>
      </w:r>
      <w:r w:rsidRPr="008B1465">
        <w:rPr>
          <w:rFonts w:ascii="Times New Roman" w:hAnsi="Times New Roman"/>
          <w:sz w:val="24"/>
          <w:szCs w:val="24"/>
        </w:rPr>
        <w:t xml:space="preserve">, 8(3), </w:t>
      </w:r>
      <w:hyperlink r:id="rId36" w:history="1">
        <w:r w:rsidRPr="008B1465">
          <w:rPr>
            <w:rStyle w:val="Hyperlink"/>
            <w:rFonts w:ascii="Times New Roman" w:hAnsi="Times New Roman"/>
            <w:color w:val="auto"/>
            <w:sz w:val="24"/>
            <w:szCs w:val="24"/>
            <w:u w:val="none"/>
          </w:rPr>
          <w:t>https://doi.org/10.6007/ijarafms/v8-i3/4450</w:t>
        </w:r>
      </w:hyperlink>
    </w:p>
    <w:p w14:paraId="67717F07"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Sorunke, O. A. (2018). Forensic accounting investigation techniques and successful prosecution of corruption cases in Nigeria, </w:t>
      </w:r>
      <w:r w:rsidRPr="008B1465">
        <w:rPr>
          <w:rFonts w:ascii="Times New Roman" w:hAnsi="Times New Roman"/>
          <w:i/>
          <w:iCs/>
          <w:sz w:val="24"/>
          <w:szCs w:val="24"/>
        </w:rPr>
        <w:t>International Journal of Academic Research in Accounting, Finance and Management Sciences</w:t>
      </w:r>
      <w:r w:rsidRPr="008B1465">
        <w:rPr>
          <w:rFonts w:ascii="Times New Roman" w:hAnsi="Times New Roman"/>
          <w:sz w:val="24"/>
          <w:szCs w:val="24"/>
        </w:rPr>
        <w:t xml:space="preserve">, </w:t>
      </w:r>
      <w:r w:rsidRPr="008B1465">
        <w:rPr>
          <w:rFonts w:ascii="Times New Roman" w:hAnsi="Times New Roman"/>
          <w:i/>
          <w:iCs/>
          <w:sz w:val="24"/>
          <w:szCs w:val="24"/>
        </w:rPr>
        <w:t>8</w:t>
      </w:r>
      <w:r w:rsidRPr="008B1465">
        <w:rPr>
          <w:rFonts w:ascii="Times New Roman" w:hAnsi="Times New Roman"/>
          <w:sz w:val="24"/>
          <w:szCs w:val="24"/>
        </w:rPr>
        <w:t>(3), 37-44,</w:t>
      </w:r>
    </w:p>
    <w:p w14:paraId="082318AC"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Stephen, J. F. (1883). Foundations of the government of India, The Nineteenth century and after: </w:t>
      </w:r>
      <w:r w:rsidRPr="008B1465">
        <w:rPr>
          <w:rFonts w:ascii="Times New Roman" w:hAnsi="Times New Roman"/>
          <w:i/>
          <w:iCs/>
          <w:sz w:val="24"/>
          <w:szCs w:val="24"/>
        </w:rPr>
        <w:t>A Monthly Review</w:t>
      </w:r>
      <w:r w:rsidRPr="008B1465">
        <w:rPr>
          <w:rFonts w:ascii="Times New Roman" w:hAnsi="Times New Roman"/>
          <w:sz w:val="24"/>
          <w:szCs w:val="24"/>
        </w:rPr>
        <w:t>, 14(80), 541-568.</w:t>
      </w:r>
    </w:p>
    <w:p w14:paraId="45762BE4"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Stiglitz, J. E. (2001). Bankruptcy laws: Basic economic principles. Resolution of financial distress: </w:t>
      </w:r>
      <w:r w:rsidRPr="008B1465">
        <w:rPr>
          <w:rFonts w:ascii="Times New Roman" w:hAnsi="Times New Roman"/>
          <w:i/>
          <w:iCs/>
          <w:sz w:val="24"/>
          <w:szCs w:val="24"/>
        </w:rPr>
        <w:t>An international perspective on the design of bankruptcy laws</w:t>
      </w:r>
      <w:r w:rsidRPr="008B1465">
        <w:rPr>
          <w:rFonts w:ascii="Times New Roman" w:hAnsi="Times New Roman"/>
          <w:sz w:val="24"/>
          <w:szCs w:val="24"/>
        </w:rPr>
        <w:t>, 1-23.</w:t>
      </w:r>
    </w:p>
    <w:p w14:paraId="617EA683"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Stotland, E. (1977). White collar criminals. </w:t>
      </w:r>
      <w:r w:rsidRPr="008B1465">
        <w:rPr>
          <w:rFonts w:ascii="Times New Roman" w:hAnsi="Times New Roman"/>
          <w:i/>
          <w:iCs/>
          <w:sz w:val="24"/>
          <w:szCs w:val="24"/>
        </w:rPr>
        <w:t>Journal of social issues</w:t>
      </w:r>
      <w:r w:rsidRPr="008B1465">
        <w:rPr>
          <w:rFonts w:ascii="Times New Roman" w:hAnsi="Times New Roman"/>
          <w:sz w:val="24"/>
          <w:szCs w:val="24"/>
        </w:rPr>
        <w:t xml:space="preserve">, </w:t>
      </w:r>
      <w:r w:rsidRPr="008B1465">
        <w:rPr>
          <w:rFonts w:ascii="Times New Roman" w:hAnsi="Times New Roman"/>
          <w:i/>
          <w:iCs/>
          <w:sz w:val="24"/>
          <w:szCs w:val="24"/>
        </w:rPr>
        <w:t>33</w:t>
      </w:r>
      <w:r w:rsidRPr="008B1465">
        <w:rPr>
          <w:rFonts w:ascii="Times New Roman" w:hAnsi="Times New Roman"/>
          <w:sz w:val="24"/>
          <w:szCs w:val="24"/>
        </w:rPr>
        <w:t>(4), 179-196</w:t>
      </w:r>
    </w:p>
    <w:p w14:paraId="52C6E3E1"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Sujeewa, G. M. M., Yajid, M. S. A. Khatibi, A., Azam, S. M. F. and Dharmaratne, I. (2018). The new fraud triangle theory - integrating ethical values of employees, </w:t>
      </w:r>
      <w:r w:rsidRPr="008B1465">
        <w:rPr>
          <w:rFonts w:ascii="Times New Roman" w:hAnsi="Times New Roman"/>
          <w:i/>
          <w:iCs/>
          <w:sz w:val="24"/>
          <w:szCs w:val="24"/>
        </w:rPr>
        <w:t>International Journal of Business, Economics and Law</w:t>
      </w:r>
      <w:r w:rsidRPr="008B1465">
        <w:rPr>
          <w:rFonts w:ascii="Times New Roman" w:hAnsi="Times New Roman"/>
          <w:sz w:val="24"/>
          <w:szCs w:val="24"/>
        </w:rPr>
        <w:t>, 16(5), 52-57.</w:t>
      </w:r>
    </w:p>
    <w:p w14:paraId="332104FB"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Sule, S., Ibrahim, S. S., &amp; Sani, A. U. A. (2019). The effect of forensic accounting investigation in detecting financial fraud: A study in Nigeria. </w:t>
      </w:r>
      <w:r w:rsidRPr="008B1465">
        <w:rPr>
          <w:rFonts w:ascii="Times New Roman" w:hAnsi="Times New Roman"/>
          <w:i/>
          <w:iCs/>
          <w:sz w:val="24"/>
          <w:szCs w:val="24"/>
          <w:shd w:val="clear" w:color="auto" w:fill="FFFFFF"/>
        </w:rPr>
        <w:t>International Journal of Academic Research in Business and Social Sciences</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9</w:t>
      </w:r>
      <w:r w:rsidRPr="008B1465">
        <w:rPr>
          <w:rFonts w:ascii="Times New Roman" w:hAnsi="Times New Roman"/>
          <w:sz w:val="24"/>
          <w:szCs w:val="24"/>
          <w:shd w:val="clear" w:color="auto" w:fill="FFFFFF"/>
        </w:rPr>
        <w:t>(2), 545-553.</w:t>
      </w:r>
    </w:p>
    <w:p w14:paraId="14C8EDA6"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Suleiman, N., &amp; Othman, Z. (2016). Forensic Accounting Investigation for Fighting Public Sector Corruption in Nigeria: A Conceptual Paper. Qualitative Research Conference (QRC), 194–202. </w:t>
      </w:r>
    </w:p>
    <w:p w14:paraId="7B51B252"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Suleiman, N., &amp; Othman, Z. (2021). Forensic accounting investigation of public sector corruption in Nigeria: The Goya methodology. </w:t>
      </w:r>
      <w:r w:rsidRPr="008B1465">
        <w:rPr>
          <w:rFonts w:ascii="Times New Roman" w:hAnsi="Times New Roman"/>
          <w:i/>
          <w:iCs/>
          <w:sz w:val="24"/>
          <w:szCs w:val="24"/>
          <w:shd w:val="clear" w:color="auto" w:fill="FFFFFF"/>
        </w:rPr>
        <w:t>The Qualitative Report</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26</w:t>
      </w:r>
      <w:r w:rsidRPr="008B1465">
        <w:rPr>
          <w:rFonts w:ascii="Times New Roman" w:hAnsi="Times New Roman"/>
          <w:sz w:val="24"/>
          <w:szCs w:val="24"/>
          <w:shd w:val="clear" w:color="auto" w:fill="FFFFFF"/>
        </w:rPr>
        <w:t>(3), 1021-1032.</w:t>
      </w:r>
    </w:p>
    <w:p w14:paraId="0832FCC3"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Sutherland, E. H. (1947). Principles of Criminology (4th ed.). Philadelphia: J. B. Lippincott. </w:t>
      </w:r>
    </w:p>
    <w:p w14:paraId="271779D1"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Sutherland, E. H. (1983). White Collar crime: the uncut version. New haven, Ct: Yale University Press.</w:t>
      </w:r>
    </w:p>
    <w:p w14:paraId="4AA90A83"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Tapang, A. T., &amp; Ihendinihu, J. U. (2020). Effect of forensic accounting services on unethical practices in Nigerian banking industry. </w:t>
      </w:r>
      <w:r w:rsidRPr="008B1465">
        <w:rPr>
          <w:rFonts w:ascii="Times New Roman" w:hAnsi="Times New Roman"/>
          <w:i/>
          <w:iCs/>
          <w:sz w:val="24"/>
          <w:szCs w:val="24"/>
          <w:shd w:val="clear" w:color="auto" w:fill="FFFFFF"/>
        </w:rPr>
        <w:t>The Journal of Accounting and Management</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10</w:t>
      </w:r>
      <w:r w:rsidRPr="008B1465">
        <w:rPr>
          <w:rFonts w:ascii="Times New Roman" w:hAnsi="Times New Roman"/>
          <w:sz w:val="24"/>
          <w:szCs w:val="24"/>
          <w:shd w:val="clear" w:color="auto" w:fill="FFFFFF"/>
        </w:rPr>
        <w:t>(1)</w:t>
      </w:r>
    </w:p>
    <w:p w14:paraId="52051749"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The Telegraph (2006). Chancellor throws his forensic accountants into the fray. Retrieved April 3, 2016, from </w:t>
      </w:r>
      <w:hyperlink r:id="rId37" w:history="1">
        <w:r w:rsidRPr="008B1465">
          <w:rPr>
            <w:rStyle w:val="Hyperlink"/>
            <w:rFonts w:ascii="Times New Roman" w:hAnsi="Times New Roman"/>
            <w:color w:val="auto"/>
            <w:sz w:val="24"/>
            <w:szCs w:val="24"/>
            <w:u w:val="none"/>
          </w:rPr>
          <w:t>http://www.telegraph.co.uk/news/uknews/1531108/Chancellor-throws-his-forensicaccountants-into-the-fray.html</w:t>
        </w:r>
      </w:hyperlink>
    </w:p>
    <w:p w14:paraId="285B213D" w14:textId="77777777" w:rsidR="0083389C" w:rsidRDefault="0083389C" w:rsidP="00300BF6">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Todaro, M.</w:t>
      </w:r>
      <w:r>
        <w:rPr>
          <w:rFonts w:ascii="Times New Roman" w:hAnsi="Times New Roman"/>
          <w:sz w:val="24"/>
          <w:szCs w:val="24"/>
        </w:rPr>
        <w:t xml:space="preserve"> </w:t>
      </w:r>
      <w:r w:rsidRPr="008B1465">
        <w:rPr>
          <w:rFonts w:ascii="Times New Roman" w:hAnsi="Times New Roman"/>
          <w:sz w:val="24"/>
          <w:szCs w:val="24"/>
        </w:rPr>
        <w:t>P.</w:t>
      </w:r>
      <w:r>
        <w:rPr>
          <w:rFonts w:ascii="Times New Roman" w:hAnsi="Times New Roman"/>
          <w:sz w:val="24"/>
          <w:szCs w:val="24"/>
        </w:rPr>
        <w:t xml:space="preserve"> (</w:t>
      </w:r>
      <w:r w:rsidRPr="008B1465">
        <w:rPr>
          <w:rFonts w:ascii="Times New Roman" w:hAnsi="Times New Roman"/>
          <w:sz w:val="24"/>
          <w:szCs w:val="24"/>
        </w:rPr>
        <w:t>1989</w:t>
      </w:r>
      <w:r>
        <w:rPr>
          <w:rFonts w:ascii="Times New Roman" w:hAnsi="Times New Roman"/>
          <w:sz w:val="24"/>
          <w:szCs w:val="24"/>
        </w:rPr>
        <w:t>)</w:t>
      </w:r>
      <w:r w:rsidRPr="008B1465">
        <w:rPr>
          <w:rFonts w:ascii="Times New Roman" w:hAnsi="Times New Roman"/>
          <w:sz w:val="24"/>
          <w:szCs w:val="24"/>
        </w:rPr>
        <w:t>, Economic development in the Third World (Longman, New York).</w:t>
      </w:r>
    </w:p>
    <w:p w14:paraId="4B16F335" w14:textId="77777777" w:rsidR="0083389C" w:rsidRDefault="0083389C" w:rsidP="00436C7A">
      <w:pPr>
        <w:pStyle w:val="NoSpacing"/>
        <w:spacing w:line="360" w:lineRule="auto"/>
        <w:ind w:left="990" w:hanging="900"/>
        <w:jc w:val="both"/>
        <w:rPr>
          <w:rFonts w:ascii="Times New Roman" w:hAnsi="Times New Roman"/>
          <w:color w:val="222222"/>
          <w:sz w:val="24"/>
          <w:szCs w:val="24"/>
          <w:shd w:val="clear" w:color="auto" w:fill="FFFFFF"/>
        </w:rPr>
      </w:pPr>
      <w:r w:rsidRPr="00436C7A">
        <w:rPr>
          <w:rFonts w:ascii="Times New Roman" w:hAnsi="Times New Roman"/>
          <w:color w:val="222222"/>
          <w:sz w:val="24"/>
          <w:szCs w:val="24"/>
          <w:shd w:val="clear" w:color="auto" w:fill="FFFFFF"/>
        </w:rPr>
        <w:t>Toms, S. (2019). Financial scandals: a historical overview. </w:t>
      </w:r>
      <w:r w:rsidRPr="00436C7A">
        <w:rPr>
          <w:rFonts w:ascii="Times New Roman" w:hAnsi="Times New Roman"/>
          <w:i/>
          <w:iCs/>
          <w:color w:val="222222"/>
          <w:sz w:val="24"/>
          <w:szCs w:val="24"/>
          <w:shd w:val="clear" w:color="auto" w:fill="FFFFFF"/>
        </w:rPr>
        <w:t>Accounting and Business Research</w:t>
      </w:r>
      <w:r w:rsidRPr="00436C7A">
        <w:rPr>
          <w:rFonts w:ascii="Times New Roman" w:hAnsi="Times New Roman"/>
          <w:color w:val="222222"/>
          <w:sz w:val="24"/>
          <w:szCs w:val="24"/>
          <w:shd w:val="clear" w:color="auto" w:fill="FFFFFF"/>
        </w:rPr>
        <w:t>, </w:t>
      </w:r>
      <w:r w:rsidRPr="00436C7A">
        <w:rPr>
          <w:rFonts w:ascii="Times New Roman" w:hAnsi="Times New Roman"/>
          <w:i/>
          <w:iCs/>
          <w:color w:val="222222"/>
          <w:sz w:val="24"/>
          <w:szCs w:val="24"/>
          <w:shd w:val="clear" w:color="auto" w:fill="FFFFFF"/>
        </w:rPr>
        <w:t>49</w:t>
      </w:r>
      <w:r w:rsidRPr="00436C7A">
        <w:rPr>
          <w:rFonts w:ascii="Times New Roman" w:hAnsi="Times New Roman"/>
          <w:color w:val="222222"/>
          <w:sz w:val="24"/>
          <w:szCs w:val="24"/>
          <w:shd w:val="clear" w:color="auto" w:fill="FFFFFF"/>
        </w:rPr>
        <w:t>(5), 477-499.</w:t>
      </w:r>
    </w:p>
    <w:p w14:paraId="4A7D0E1F" w14:textId="77777777" w:rsidR="0083389C" w:rsidRPr="008B1465" w:rsidRDefault="0083389C" w:rsidP="00300BF6">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Transparency international Secretariat Corruption perceptions index, </w:t>
      </w:r>
      <w:r>
        <w:rPr>
          <w:rFonts w:ascii="Times New Roman" w:hAnsi="Times New Roman"/>
          <w:sz w:val="24"/>
          <w:szCs w:val="24"/>
        </w:rPr>
        <w:t>(</w:t>
      </w:r>
      <w:r w:rsidRPr="008B1465">
        <w:rPr>
          <w:rFonts w:ascii="Times New Roman" w:hAnsi="Times New Roman"/>
          <w:sz w:val="24"/>
          <w:szCs w:val="24"/>
        </w:rPr>
        <w:t>2016</w:t>
      </w:r>
      <w:r>
        <w:rPr>
          <w:rFonts w:ascii="Times New Roman" w:hAnsi="Times New Roman"/>
          <w:sz w:val="24"/>
          <w:szCs w:val="24"/>
        </w:rPr>
        <w:t>)</w:t>
      </w:r>
      <w:r w:rsidRPr="008B1465">
        <w:rPr>
          <w:rFonts w:ascii="Times New Roman" w:hAnsi="Times New Roman"/>
          <w:sz w:val="24"/>
          <w:szCs w:val="24"/>
        </w:rPr>
        <w:t>, retrieved from http://www.transparency .org/news/feature-perceptions-index-2016.</w:t>
      </w:r>
    </w:p>
    <w:p w14:paraId="3A939B3F" w14:textId="77777777" w:rsidR="0083389C" w:rsidRPr="008B1465" w:rsidRDefault="0083389C" w:rsidP="00D44C13">
      <w:pPr>
        <w:pStyle w:val="NoSpacing"/>
        <w:spacing w:line="360" w:lineRule="auto"/>
        <w:ind w:left="990" w:hanging="900"/>
        <w:jc w:val="both"/>
        <w:rPr>
          <w:rStyle w:val="Hyperlink"/>
          <w:rFonts w:ascii="Times New Roman" w:hAnsi="Times New Roman"/>
          <w:color w:val="auto"/>
          <w:sz w:val="24"/>
          <w:szCs w:val="24"/>
          <w:u w:val="none"/>
        </w:rPr>
      </w:pPr>
      <w:r w:rsidRPr="008B1465">
        <w:rPr>
          <w:rFonts w:ascii="Times New Roman" w:hAnsi="Times New Roman"/>
          <w:sz w:val="24"/>
          <w:szCs w:val="24"/>
        </w:rPr>
        <w:t xml:space="preserve">Transparency International. Corruption Perceptions Index </w:t>
      </w:r>
      <w:r>
        <w:rPr>
          <w:rFonts w:ascii="Times New Roman" w:hAnsi="Times New Roman"/>
          <w:sz w:val="24"/>
          <w:szCs w:val="24"/>
        </w:rPr>
        <w:t>(</w:t>
      </w:r>
      <w:r w:rsidRPr="008B1465">
        <w:rPr>
          <w:rFonts w:ascii="Times New Roman" w:hAnsi="Times New Roman"/>
          <w:sz w:val="24"/>
          <w:szCs w:val="24"/>
        </w:rPr>
        <w:t>2016</w:t>
      </w:r>
      <w:r>
        <w:rPr>
          <w:rFonts w:ascii="Times New Roman" w:hAnsi="Times New Roman"/>
          <w:sz w:val="24"/>
          <w:szCs w:val="24"/>
        </w:rPr>
        <w:t>)</w:t>
      </w:r>
      <w:r w:rsidRPr="008B1465">
        <w:rPr>
          <w:rFonts w:ascii="Times New Roman" w:hAnsi="Times New Roman"/>
          <w:sz w:val="24"/>
          <w:szCs w:val="24"/>
        </w:rPr>
        <w:t xml:space="preserve">. Available at </w:t>
      </w:r>
      <w:hyperlink r:id="rId38" w:history="1">
        <w:r w:rsidRPr="008B1465">
          <w:rPr>
            <w:rStyle w:val="Hyperlink"/>
            <w:rFonts w:ascii="Times New Roman" w:hAnsi="Times New Roman"/>
            <w:color w:val="auto"/>
            <w:sz w:val="24"/>
            <w:szCs w:val="24"/>
            <w:u w:val="none"/>
          </w:rPr>
          <w:t>www.transparency.org</w:t>
        </w:r>
      </w:hyperlink>
    </w:p>
    <w:p w14:paraId="4BB78D83" w14:textId="77777777" w:rsidR="0083389C" w:rsidRDefault="0083389C" w:rsidP="00436C7A">
      <w:pPr>
        <w:pStyle w:val="NoSpacing"/>
        <w:spacing w:line="360" w:lineRule="auto"/>
        <w:ind w:left="990" w:hanging="900"/>
        <w:jc w:val="both"/>
        <w:rPr>
          <w:rFonts w:ascii="Times New Roman" w:hAnsi="Times New Roman"/>
          <w:color w:val="222222"/>
          <w:sz w:val="24"/>
          <w:szCs w:val="24"/>
          <w:shd w:val="clear" w:color="auto" w:fill="FFFFFF"/>
        </w:rPr>
      </w:pPr>
      <w:r w:rsidRPr="00436C7A">
        <w:rPr>
          <w:rFonts w:ascii="Times New Roman" w:hAnsi="Times New Roman"/>
          <w:color w:val="222222"/>
          <w:sz w:val="24"/>
          <w:szCs w:val="24"/>
          <w:shd w:val="clear" w:color="auto" w:fill="FFFFFF"/>
        </w:rPr>
        <w:t>Treadwell, G. W. (2022). internal auditors: helping businesses prevent new and deter ongoing employee frauds. </w:t>
      </w:r>
      <w:r w:rsidRPr="00436C7A">
        <w:rPr>
          <w:rFonts w:ascii="Times New Roman" w:hAnsi="Times New Roman"/>
          <w:i/>
          <w:iCs/>
          <w:color w:val="222222"/>
          <w:sz w:val="24"/>
          <w:szCs w:val="24"/>
          <w:shd w:val="clear" w:color="auto" w:fill="FFFFFF"/>
        </w:rPr>
        <w:t>Journal of Business and Accounting</w:t>
      </w:r>
      <w:r w:rsidRPr="00436C7A">
        <w:rPr>
          <w:rFonts w:ascii="Times New Roman" w:hAnsi="Times New Roman"/>
          <w:color w:val="222222"/>
          <w:sz w:val="24"/>
          <w:szCs w:val="24"/>
          <w:shd w:val="clear" w:color="auto" w:fill="FFFFFF"/>
        </w:rPr>
        <w:t>, </w:t>
      </w:r>
      <w:r w:rsidRPr="00436C7A">
        <w:rPr>
          <w:rFonts w:ascii="Times New Roman" w:hAnsi="Times New Roman"/>
          <w:i/>
          <w:iCs/>
          <w:color w:val="222222"/>
          <w:sz w:val="24"/>
          <w:szCs w:val="24"/>
          <w:shd w:val="clear" w:color="auto" w:fill="FFFFFF"/>
        </w:rPr>
        <w:t>15</w:t>
      </w:r>
      <w:r w:rsidRPr="00436C7A">
        <w:rPr>
          <w:rFonts w:ascii="Times New Roman" w:hAnsi="Times New Roman"/>
          <w:color w:val="222222"/>
          <w:sz w:val="24"/>
          <w:szCs w:val="24"/>
          <w:shd w:val="clear" w:color="auto" w:fill="FFFFFF"/>
        </w:rPr>
        <w:t>(1), 20-31.</w:t>
      </w:r>
    </w:p>
    <w:p w14:paraId="5BBCBB52"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Trevino, L. K. (1992). The social effects of punishment in organizations: A justice perspective. </w:t>
      </w:r>
      <w:r w:rsidRPr="008B1465">
        <w:rPr>
          <w:rFonts w:ascii="Times New Roman" w:hAnsi="Times New Roman"/>
          <w:i/>
          <w:iCs/>
          <w:sz w:val="24"/>
          <w:szCs w:val="24"/>
        </w:rPr>
        <w:t>Academy of Management Review</w:t>
      </w:r>
      <w:r w:rsidRPr="008B1465">
        <w:rPr>
          <w:rFonts w:ascii="Times New Roman" w:hAnsi="Times New Roman"/>
          <w:sz w:val="24"/>
          <w:szCs w:val="24"/>
        </w:rPr>
        <w:t xml:space="preserve">, </w:t>
      </w:r>
      <w:r w:rsidRPr="008B1465">
        <w:rPr>
          <w:rFonts w:ascii="Times New Roman" w:hAnsi="Times New Roman"/>
          <w:i/>
          <w:iCs/>
          <w:sz w:val="24"/>
          <w:szCs w:val="24"/>
        </w:rPr>
        <w:t>17</w:t>
      </w:r>
      <w:r w:rsidRPr="008B1465">
        <w:rPr>
          <w:rFonts w:ascii="Times New Roman" w:hAnsi="Times New Roman"/>
          <w:sz w:val="24"/>
          <w:szCs w:val="24"/>
        </w:rPr>
        <w:t>(4), 647-676.</w:t>
      </w:r>
    </w:p>
    <w:p w14:paraId="726B25BB"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Trevino, L. K., &amp; Youngblood, S. A. (1990). Bad apples in bad barrels: A causal analysis of ethical decision-making behavior. </w:t>
      </w:r>
      <w:r w:rsidRPr="008B1465">
        <w:rPr>
          <w:rFonts w:ascii="Times New Roman" w:hAnsi="Times New Roman"/>
          <w:i/>
          <w:iCs/>
          <w:sz w:val="24"/>
          <w:szCs w:val="24"/>
        </w:rPr>
        <w:t>Journal of Applied psychology</w:t>
      </w:r>
      <w:r w:rsidRPr="008B1465">
        <w:rPr>
          <w:rFonts w:ascii="Times New Roman" w:hAnsi="Times New Roman"/>
          <w:sz w:val="24"/>
          <w:szCs w:val="24"/>
        </w:rPr>
        <w:t xml:space="preserve">, </w:t>
      </w:r>
      <w:r w:rsidRPr="008B1465">
        <w:rPr>
          <w:rFonts w:ascii="Times New Roman" w:hAnsi="Times New Roman"/>
          <w:i/>
          <w:iCs/>
          <w:sz w:val="24"/>
          <w:szCs w:val="24"/>
        </w:rPr>
        <w:t>75</w:t>
      </w:r>
      <w:r w:rsidRPr="008B1465">
        <w:rPr>
          <w:rFonts w:ascii="Times New Roman" w:hAnsi="Times New Roman"/>
          <w:sz w:val="24"/>
          <w:szCs w:val="24"/>
        </w:rPr>
        <w:t>(4), 378</w:t>
      </w:r>
    </w:p>
    <w:p w14:paraId="13937B2F"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Trunga, N. Q., &amp; Thuana, L. D. (2020). New Essential Demand for Forensic Accounting Course in Accounting Education. </w:t>
      </w:r>
      <w:r w:rsidRPr="008B1465">
        <w:rPr>
          <w:rFonts w:ascii="Times New Roman" w:hAnsi="Times New Roman"/>
          <w:i/>
          <w:iCs/>
          <w:sz w:val="24"/>
          <w:szCs w:val="24"/>
        </w:rPr>
        <w:t>Sustainable Development in Accounting, Auditing and Finance</w:t>
      </w:r>
      <w:r w:rsidRPr="008B1465">
        <w:rPr>
          <w:rFonts w:ascii="Times New Roman" w:hAnsi="Times New Roman"/>
          <w:sz w:val="24"/>
          <w:szCs w:val="24"/>
        </w:rPr>
        <w:t>, 166</w:t>
      </w:r>
    </w:p>
    <w:p w14:paraId="1BE9847B"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Uchehara, C. C., &amp; Ogbonna, P. I. (2017). The challenges confronting public sector accounting and financial management: a perspective of professional accounting practice in Nigeria. </w:t>
      </w:r>
      <w:r w:rsidRPr="008B1465">
        <w:rPr>
          <w:rFonts w:ascii="Times New Roman" w:hAnsi="Times New Roman"/>
          <w:i/>
          <w:iCs/>
          <w:sz w:val="24"/>
          <w:szCs w:val="24"/>
        </w:rPr>
        <w:t>European Journal of Management and Marketing Studies</w:t>
      </w:r>
      <w:r w:rsidRPr="008B1465">
        <w:rPr>
          <w:rFonts w:ascii="Times New Roman" w:hAnsi="Times New Roman"/>
          <w:sz w:val="24"/>
          <w:szCs w:val="24"/>
        </w:rPr>
        <w:t>, 2(1), 12</w:t>
      </w:r>
    </w:p>
    <w:p w14:paraId="688C2452"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Ufomba, E. C., &amp; Newstyle, D. (2022). Value for money audit and financial performance of listed consumer goods manufacturing firms in Nigeria, </w:t>
      </w:r>
      <w:r w:rsidRPr="008B1465">
        <w:rPr>
          <w:rFonts w:ascii="Times New Roman" w:hAnsi="Times New Roman"/>
          <w:i/>
          <w:iCs/>
          <w:sz w:val="24"/>
          <w:szCs w:val="24"/>
        </w:rPr>
        <w:t>BW Academic Journal</w:t>
      </w:r>
      <w:r w:rsidRPr="008B1465">
        <w:rPr>
          <w:rFonts w:ascii="Times New Roman" w:hAnsi="Times New Roman"/>
          <w:sz w:val="24"/>
          <w:szCs w:val="24"/>
        </w:rPr>
        <w:t>, 15-15</w:t>
      </w:r>
    </w:p>
    <w:p w14:paraId="635A3C1F"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Ugwu, J. I. (2021). Forensic Accounting and Fraud Control in Nigeria: A Critical Review. </w:t>
      </w:r>
      <w:r w:rsidRPr="008B1465">
        <w:rPr>
          <w:rFonts w:ascii="Times New Roman" w:hAnsi="Times New Roman"/>
          <w:i/>
          <w:iCs/>
          <w:sz w:val="24"/>
          <w:szCs w:val="24"/>
        </w:rPr>
        <w:t>Research Journal of Finance and Accounting</w:t>
      </w:r>
      <w:r w:rsidRPr="008B1465">
        <w:rPr>
          <w:rFonts w:ascii="Times New Roman" w:hAnsi="Times New Roman"/>
          <w:sz w:val="24"/>
          <w:szCs w:val="24"/>
        </w:rPr>
        <w:t>, 12(10), 112-120.</w:t>
      </w:r>
    </w:p>
    <w:p w14:paraId="17C16567"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Ukoma, A. P. (2019). Effect of forensic auditing on reducing fraud cases in Nigeria money deposit banks, </w:t>
      </w:r>
      <w:r w:rsidRPr="008B1465">
        <w:rPr>
          <w:rFonts w:ascii="Times New Roman" w:hAnsi="Times New Roman"/>
          <w:i/>
          <w:iCs/>
          <w:sz w:val="24"/>
          <w:szCs w:val="24"/>
          <w:shd w:val="clear" w:color="auto" w:fill="FFFFFF"/>
        </w:rPr>
        <w:t>IGWEBUIKE: African Journal of Arts and Humanities</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5</w:t>
      </w:r>
      <w:r w:rsidRPr="008B1465">
        <w:rPr>
          <w:rFonts w:ascii="Times New Roman" w:hAnsi="Times New Roman"/>
          <w:sz w:val="24"/>
          <w:szCs w:val="24"/>
          <w:shd w:val="clear" w:color="auto" w:fill="FFFFFF"/>
        </w:rPr>
        <w:t>(2).</w:t>
      </w:r>
    </w:p>
    <w:p w14:paraId="715BE8B9" w14:textId="77777777" w:rsidR="0083389C" w:rsidRDefault="0083389C" w:rsidP="00436C7A">
      <w:pPr>
        <w:pStyle w:val="NoSpacing"/>
        <w:spacing w:line="360" w:lineRule="auto"/>
        <w:ind w:left="990" w:hanging="900"/>
        <w:jc w:val="both"/>
        <w:rPr>
          <w:rFonts w:ascii="Times New Roman" w:hAnsi="Times New Roman"/>
          <w:color w:val="222222"/>
          <w:sz w:val="24"/>
          <w:szCs w:val="24"/>
          <w:shd w:val="clear" w:color="auto" w:fill="FFFFFF"/>
        </w:rPr>
      </w:pPr>
      <w:r w:rsidRPr="00436C7A">
        <w:rPr>
          <w:rFonts w:ascii="Times New Roman" w:hAnsi="Times New Roman"/>
          <w:color w:val="222222"/>
          <w:sz w:val="24"/>
          <w:szCs w:val="24"/>
          <w:shd w:val="clear" w:color="auto" w:fill="FFFFFF"/>
        </w:rPr>
        <w:t>Umanhonlen, F. O., Otakefe, J. P., &amp; Osikhenaogiedu, K. (2020). Combating economic and financial crimes in Nigeria: The role of the forensic accountant. </w:t>
      </w:r>
      <w:r w:rsidRPr="00436C7A">
        <w:rPr>
          <w:rFonts w:ascii="Times New Roman" w:hAnsi="Times New Roman"/>
          <w:i/>
          <w:iCs/>
          <w:color w:val="222222"/>
          <w:sz w:val="24"/>
          <w:szCs w:val="24"/>
          <w:shd w:val="clear" w:color="auto" w:fill="FFFFFF"/>
        </w:rPr>
        <w:t>Journal of Management and Science</w:t>
      </w:r>
      <w:r w:rsidRPr="00436C7A">
        <w:rPr>
          <w:rFonts w:ascii="Times New Roman" w:hAnsi="Times New Roman"/>
          <w:color w:val="222222"/>
          <w:sz w:val="24"/>
          <w:szCs w:val="24"/>
          <w:shd w:val="clear" w:color="auto" w:fill="FFFFFF"/>
        </w:rPr>
        <w:t>, </w:t>
      </w:r>
      <w:r w:rsidRPr="00436C7A">
        <w:rPr>
          <w:rFonts w:ascii="Times New Roman" w:hAnsi="Times New Roman"/>
          <w:i/>
          <w:iCs/>
          <w:color w:val="222222"/>
          <w:sz w:val="24"/>
          <w:szCs w:val="24"/>
          <w:shd w:val="clear" w:color="auto" w:fill="FFFFFF"/>
        </w:rPr>
        <w:t>10</w:t>
      </w:r>
      <w:r w:rsidRPr="00436C7A">
        <w:rPr>
          <w:rFonts w:ascii="Times New Roman" w:hAnsi="Times New Roman"/>
          <w:color w:val="222222"/>
          <w:sz w:val="24"/>
          <w:szCs w:val="24"/>
          <w:shd w:val="clear" w:color="auto" w:fill="FFFFFF"/>
        </w:rPr>
        <w:t>(4), 12-28.</w:t>
      </w:r>
    </w:p>
    <w:p w14:paraId="6DFBE5E8"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Uslaner, E.</w:t>
      </w:r>
      <w:r>
        <w:rPr>
          <w:rFonts w:ascii="Times New Roman" w:hAnsi="Times New Roman"/>
          <w:sz w:val="24"/>
          <w:szCs w:val="24"/>
        </w:rPr>
        <w:t xml:space="preserve"> </w:t>
      </w:r>
      <w:r w:rsidRPr="008B1465">
        <w:rPr>
          <w:rFonts w:ascii="Times New Roman" w:hAnsi="Times New Roman"/>
          <w:sz w:val="24"/>
          <w:szCs w:val="24"/>
        </w:rPr>
        <w:t>M.</w:t>
      </w:r>
      <w:r>
        <w:rPr>
          <w:rFonts w:ascii="Times New Roman" w:hAnsi="Times New Roman"/>
          <w:sz w:val="24"/>
          <w:szCs w:val="24"/>
        </w:rPr>
        <w:t>,</w:t>
      </w:r>
      <w:r w:rsidRPr="008B1465">
        <w:rPr>
          <w:rFonts w:ascii="Times New Roman" w:hAnsi="Times New Roman"/>
          <w:sz w:val="24"/>
          <w:szCs w:val="24"/>
        </w:rPr>
        <w:t xml:space="preserve"> </w:t>
      </w:r>
      <w:r>
        <w:rPr>
          <w:rFonts w:ascii="Times New Roman" w:hAnsi="Times New Roman"/>
          <w:sz w:val="24"/>
          <w:szCs w:val="24"/>
        </w:rPr>
        <w:t>&amp;</w:t>
      </w:r>
      <w:r w:rsidRPr="008B1465">
        <w:rPr>
          <w:rFonts w:ascii="Times New Roman" w:hAnsi="Times New Roman"/>
          <w:sz w:val="24"/>
          <w:szCs w:val="24"/>
        </w:rPr>
        <w:t xml:space="preserve"> Rothstein, B. </w:t>
      </w:r>
      <w:r>
        <w:rPr>
          <w:rFonts w:ascii="Times New Roman" w:hAnsi="Times New Roman"/>
          <w:sz w:val="24"/>
          <w:szCs w:val="24"/>
        </w:rPr>
        <w:t>(</w:t>
      </w:r>
      <w:r w:rsidRPr="008B1465">
        <w:rPr>
          <w:rFonts w:ascii="Times New Roman" w:hAnsi="Times New Roman"/>
          <w:sz w:val="24"/>
          <w:szCs w:val="24"/>
        </w:rPr>
        <w:t>2012</w:t>
      </w:r>
      <w:r>
        <w:rPr>
          <w:rFonts w:ascii="Times New Roman" w:hAnsi="Times New Roman"/>
          <w:sz w:val="24"/>
          <w:szCs w:val="24"/>
        </w:rPr>
        <w:t>)</w:t>
      </w:r>
      <w:r w:rsidRPr="008B1465">
        <w:rPr>
          <w:rFonts w:ascii="Times New Roman" w:hAnsi="Times New Roman"/>
          <w:sz w:val="24"/>
          <w:szCs w:val="24"/>
        </w:rPr>
        <w:t>. The Roots of Corruption: Mass Education, Economic Inequality and State Building, Glasgow: CSPP Studies in Public Policy No. 493.</w:t>
      </w:r>
    </w:p>
    <w:p w14:paraId="73AFFA47"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Utomwen, O., &amp; Danjuma, E. (2015). The role of forensic accounting in mitigating financial crimes. </w:t>
      </w:r>
      <w:r w:rsidRPr="008B1465">
        <w:rPr>
          <w:rFonts w:ascii="Times New Roman" w:hAnsi="Times New Roman"/>
          <w:i/>
          <w:iCs/>
          <w:sz w:val="24"/>
          <w:szCs w:val="24"/>
          <w:shd w:val="clear" w:color="auto" w:fill="FFFFFF"/>
        </w:rPr>
        <w:t>International Journal of Commerce and Management research</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1</w:t>
      </w:r>
      <w:r w:rsidRPr="008B1465">
        <w:rPr>
          <w:rFonts w:ascii="Times New Roman" w:hAnsi="Times New Roman"/>
          <w:sz w:val="24"/>
          <w:szCs w:val="24"/>
          <w:shd w:val="clear" w:color="auto" w:fill="FFFFFF"/>
        </w:rPr>
        <w:t>(1), 40-47.</w:t>
      </w:r>
    </w:p>
    <w:p w14:paraId="41215F84"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Venter, J. C. (2007). </w:t>
      </w:r>
      <w:r w:rsidRPr="008B1465">
        <w:rPr>
          <w:rFonts w:ascii="Times New Roman" w:hAnsi="Times New Roman"/>
          <w:i/>
          <w:iCs/>
          <w:sz w:val="24"/>
          <w:szCs w:val="24"/>
        </w:rPr>
        <w:t>A life decoded: My genome, my life</w:t>
      </w:r>
      <w:r w:rsidRPr="008B1465">
        <w:rPr>
          <w:rFonts w:ascii="Times New Roman" w:hAnsi="Times New Roman"/>
          <w:sz w:val="24"/>
          <w:szCs w:val="24"/>
        </w:rPr>
        <w:t>. Penguin</w:t>
      </w:r>
    </w:p>
    <w:p w14:paraId="385A302F" w14:textId="77777777" w:rsidR="0083389C" w:rsidRPr="008B1465" w:rsidRDefault="0083389C" w:rsidP="00D44C13">
      <w:pPr>
        <w:pStyle w:val="NoSpacing"/>
        <w:spacing w:line="360" w:lineRule="auto"/>
        <w:ind w:left="990" w:hanging="900"/>
        <w:jc w:val="both"/>
        <w:rPr>
          <w:rStyle w:val="Hyperlink"/>
          <w:rFonts w:ascii="Times New Roman" w:hAnsi="Times New Roman"/>
          <w:color w:val="auto"/>
          <w:sz w:val="24"/>
          <w:szCs w:val="24"/>
          <w:u w:val="none"/>
          <w:shd w:val="clear" w:color="auto" w:fill="FFFFFF"/>
        </w:rPr>
      </w:pPr>
      <w:r w:rsidRPr="008B1465">
        <w:rPr>
          <w:rFonts w:ascii="Times New Roman" w:hAnsi="Times New Roman"/>
          <w:sz w:val="24"/>
          <w:szCs w:val="24"/>
        </w:rPr>
        <w:t xml:space="preserve">Wahyuni-TD, I. S., Haron, H., &amp; Fernando, Y. (2021). The effects of good governance and fraud prevention on performance of the zakat institutions in Indonesia: a Sharīah forensic accounting perspective. </w:t>
      </w:r>
      <w:r w:rsidRPr="008B1465">
        <w:rPr>
          <w:rFonts w:ascii="Times New Roman" w:hAnsi="Times New Roman"/>
          <w:i/>
          <w:iCs/>
          <w:sz w:val="24"/>
          <w:szCs w:val="24"/>
        </w:rPr>
        <w:t>International Journal of Islamic and Middle Eastern Finance and Management</w:t>
      </w:r>
      <w:r w:rsidRPr="008B1465">
        <w:rPr>
          <w:rFonts w:ascii="Times New Roman" w:hAnsi="Times New Roman"/>
          <w:sz w:val="24"/>
          <w:szCs w:val="24"/>
        </w:rPr>
        <w:t xml:space="preserve">, </w:t>
      </w:r>
      <w:r w:rsidRPr="008B1465">
        <w:rPr>
          <w:rFonts w:ascii="Times New Roman" w:hAnsi="Times New Roman"/>
          <w:sz w:val="24"/>
          <w:szCs w:val="24"/>
          <w:shd w:val="clear" w:color="auto" w:fill="FFFFFF"/>
        </w:rPr>
        <w:t>14(4), 692-712. </w:t>
      </w:r>
      <w:hyperlink r:id="rId39" w:tooltip="DOI: https://doi.org/10.1108/IMEFM-03-2019-0089" w:history="1">
        <w:r w:rsidRPr="008B1465">
          <w:rPr>
            <w:rStyle w:val="Hyperlink"/>
            <w:rFonts w:ascii="Times New Roman" w:hAnsi="Times New Roman"/>
            <w:color w:val="auto"/>
            <w:sz w:val="24"/>
            <w:szCs w:val="24"/>
            <w:u w:val="none"/>
            <w:shd w:val="clear" w:color="auto" w:fill="FFFFFF"/>
          </w:rPr>
          <w:t>https://doi.org/10.1108/IMEFM-03-2019-0089</w:t>
        </w:r>
      </w:hyperlink>
    </w:p>
    <w:p w14:paraId="76F73DC2" w14:textId="77777777" w:rsidR="0083389C" w:rsidRPr="00436C7A" w:rsidRDefault="0083389C" w:rsidP="00436C7A">
      <w:pPr>
        <w:pStyle w:val="NoSpacing"/>
        <w:spacing w:line="360" w:lineRule="auto"/>
        <w:ind w:left="990" w:hanging="900"/>
        <w:jc w:val="both"/>
        <w:rPr>
          <w:rFonts w:ascii="Times New Roman" w:hAnsi="Times New Roman"/>
          <w:sz w:val="24"/>
          <w:szCs w:val="24"/>
          <w:shd w:val="clear" w:color="auto" w:fill="FFFFFF"/>
        </w:rPr>
      </w:pPr>
      <w:r w:rsidRPr="00436C7A">
        <w:rPr>
          <w:rFonts w:ascii="Times New Roman" w:hAnsi="Times New Roman"/>
          <w:color w:val="222222"/>
          <w:sz w:val="24"/>
          <w:szCs w:val="24"/>
          <w:shd w:val="clear" w:color="auto" w:fill="FFFFFF"/>
        </w:rPr>
        <w:t>Wahyuni-TD, I. S., Haron, H., &amp; Fernando, Y. (2021). The effects of good governance and fraud prevention on performance of the zakat institutions in Indonesia: a Sharīʿah forensic accounting perspective. </w:t>
      </w:r>
      <w:r w:rsidRPr="00436C7A">
        <w:rPr>
          <w:rFonts w:ascii="Times New Roman" w:hAnsi="Times New Roman"/>
          <w:i/>
          <w:iCs/>
          <w:color w:val="222222"/>
          <w:sz w:val="24"/>
          <w:szCs w:val="24"/>
          <w:shd w:val="clear" w:color="auto" w:fill="FFFFFF"/>
        </w:rPr>
        <w:t>International Journal of Islamic and Middle Eastern Finance and Management</w:t>
      </w:r>
      <w:r w:rsidRPr="00436C7A">
        <w:rPr>
          <w:rFonts w:ascii="Times New Roman" w:hAnsi="Times New Roman"/>
          <w:color w:val="222222"/>
          <w:sz w:val="24"/>
          <w:szCs w:val="24"/>
          <w:shd w:val="clear" w:color="auto" w:fill="FFFFFF"/>
        </w:rPr>
        <w:t>, </w:t>
      </w:r>
      <w:r w:rsidRPr="00436C7A">
        <w:rPr>
          <w:rFonts w:ascii="Times New Roman" w:hAnsi="Times New Roman"/>
          <w:i/>
          <w:iCs/>
          <w:color w:val="222222"/>
          <w:sz w:val="24"/>
          <w:szCs w:val="24"/>
          <w:shd w:val="clear" w:color="auto" w:fill="FFFFFF"/>
        </w:rPr>
        <w:t>14</w:t>
      </w:r>
      <w:r w:rsidRPr="00436C7A">
        <w:rPr>
          <w:rFonts w:ascii="Times New Roman" w:hAnsi="Times New Roman"/>
          <w:color w:val="222222"/>
          <w:sz w:val="24"/>
          <w:szCs w:val="24"/>
          <w:shd w:val="clear" w:color="auto" w:fill="FFFFFF"/>
        </w:rPr>
        <w:t>(4), 692-712.</w:t>
      </w:r>
    </w:p>
    <w:p w14:paraId="06092EA5"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Watts, R.</w:t>
      </w:r>
      <w:r>
        <w:rPr>
          <w:rFonts w:ascii="Times New Roman" w:hAnsi="Times New Roman"/>
          <w:sz w:val="24"/>
          <w:szCs w:val="24"/>
        </w:rPr>
        <w:t xml:space="preserve"> </w:t>
      </w:r>
      <w:r w:rsidRPr="008B1465">
        <w:rPr>
          <w:rFonts w:ascii="Times New Roman" w:hAnsi="Times New Roman"/>
          <w:sz w:val="24"/>
          <w:szCs w:val="24"/>
        </w:rPr>
        <w:t xml:space="preserve">L. </w:t>
      </w:r>
      <w:r>
        <w:rPr>
          <w:rFonts w:ascii="Times New Roman" w:hAnsi="Times New Roman"/>
          <w:sz w:val="24"/>
          <w:szCs w:val="24"/>
        </w:rPr>
        <w:t>&amp;</w:t>
      </w:r>
      <w:r w:rsidRPr="008B1465">
        <w:rPr>
          <w:rFonts w:ascii="Times New Roman" w:hAnsi="Times New Roman"/>
          <w:sz w:val="24"/>
          <w:szCs w:val="24"/>
        </w:rPr>
        <w:t xml:space="preserve"> Zimmerman, J. (1986). Positive Accounting Theory, Englewood Cliffs, NJ: Prentice-Hall.</w:t>
      </w:r>
    </w:p>
    <w:p w14:paraId="294F2A76"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Weisburd, D., Waring, E., &amp; Chayet, E. F. (2001). </w:t>
      </w:r>
      <w:r w:rsidRPr="008B1465">
        <w:rPr>
          <w:rFonts w:ascii="Times New Roman" w:hAnsi="Times New Roman"/>
          <w:i/>
          <w:iCs/>
          <w:sz w:val="24"/>
          <w:szCs w:val="24"/>
        </w:rPr>
        <w:t>White-collar crime and criminal careers</w:t>
      </w:r>
      <w:r w:rsidRPr="008B1465">
        <w:rPr>
          <w:rFonts w:ascii="Times New Roman" w:hAnsi="Times New Roman"/>
          <w:sz w:val="24"/>
          <w:szCs w:val="24"/>
        </w:rPr>
        <w:t>. Cambridge University Press</w:t>
      </w:r>
    </w:p>
    <w:p w14:paraId="5D1CC563"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Wilhelm, P.</w:t>
      </w:r>
      <w:r>
        <w:rPr>
          <w:rFonts w:ascii="Times New Roman" w:hAnsi="Times New Roman"/>
          <w:sz w:val="24"/>
          <w:szCs w:val="24"/>
        </w:rPr>
        <w:t xml:space="preserve"> </w:t>
      </w:r>
      <w:r w:rsidRPr="008B1465">
        <w:rPr>
          <w:rFonts w:ascii="Times New Roman" w:hAnsi="Times New Roman"/>
          <w:sz w:val="24"/>
          <w:szCs w:val="24"/>
        </w:rPr>
        <w:t xml:space="preserve">G. </w:t>
      </w:r>
      <w:r>
        <w:rPr>
          <w:rFonts w:ascii="Times New Roman" w:hAnsi="Times New Roman"/>
          <w:sz w:val="24"/>
          <w:szCs w:val="24"/>
        </w:rPr>
        <w:t>(</w:t>
      </w:r>
      <w:r w:rsidRPr="008B1465">
        <w:rPr>
          <w:rFonts w:ascii="Times New Roman" w:hAnsi="Times New Roman"/>
          <w:sz w:val="24"/>
          <w:szCs w:val="24"/>
        </w:rPr>
        <w:t>2002</w:t>
      </w:r>
      <w:r>
        <w:rPr>
          <w:rFonts w:ascii="Times New Roman" w:hAnsi="Times New Roman"/>
          <w:sz w:val="24"/>
          <w:szCs w:val="24"/>
        </w:rPr>
        <w:t>)</w:t>
      </w:r>
      <w:r w:rsidRPr="008B1465">
        <w:rPr>
          <w:rFonts w:ascii="Times New Roman" w:hAnsi="Times New Roman"/>
          <w:sz w:val="24"/>
          <w:szCs w:val="24"/>
        </w:rPr>
        <w:t xml:space="preserve">. International Validation of the Corruption Perceptions Index: Implications for Business Ethics and Entrepreneurship Education. </w:t>
      </w:r>
      <w:r w:rsidRPr="008B1465">
        <w:rPr>
          <w:rFonts w:ascii="Times New Roman" w:hAnsi="Times New Roman"/>
          <w:i/>
          <w:iCs/>
          <w:sz w:val="24"/>
          <w:szCs w:val="24"/>
        </w:rPr>
        <w:t>Journal of Business Ethics</w:t>
      </w:r>
      <w:r w:rsidRPr="008B1465">
        <w:rPr>
          <w:rFonts w:ascii="Times New Roman" w:hAnsi="Times New Roman"/>
          <w:sz w:val="24"/>
          <w:szCs w:val="24"/>
        </w:rPr>
        <w:t xml:space="preserve"> 35(3)</w:t>
      </w:r>
      <w:r>
        <w:rPr>
          <w:rFonts w:ascii="Times New Roman" w:hAnsi="Times New Roman"/>
          <w:sz w:val="24"/>
          <w:szCs w:val="24"/>
        </w:rPr>
        <w:t>,</w:t>
      </w:r>
      <w:r w:rsidRPr="008B1465">
        <w:rPr>
          <w:rFonts w:ascii="Times New Roman" w:hAnsi="Times New Roman"/>
          <w:sz w:val="24"/>
          <w:szCs w:val="24"/>
        </w:rPr>
        <w:t xml:space="preserve"> 177–189.</w:t>
      </w:r>
    </w:p>
    <w:p w14:paraId="33CD3C9C"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Williamson, J. W. (1975). Health accounting: an outcome-based system of quality assurance: illustrative application to hypertension. </w:t>
      </w:r>
      <w:r w:rsidRPr="008B1465">
        <w:rPr>
          <w:rFonts w:ascii="Times New Roman" w:hAnsi="Times New Roman"/>
          <w:i/>
          <w:iCs/>
          <w:sz w:val="24"/>
          <w:szCs w:val="24"/>
        </w:rPr>
        <w:t>Bulletin of the New York Academy of Medicine</w:t>
      </w:r>
      <w:r w:rsidRPr="008B1465">
        <w:rPr>
          <w:rFonts w:ascii="Times New Roman" w:hAnsi="Times New Roman"/>
          <w:sz w:val="24"/>
          <w:szCs w:val="24"/>
        </w:rPr>
        <w:t>, 51(6), 727</w:t>
      </w:r>
    </w:p>
    <w:p w14:paraId="639AF7C0"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Williamson, O.</w:t>
      </w:r>
      <w:r>
        <w:rPr>
          <w:rFonts w:ascii="Times New Roman" w:hAnsi="Times New Roman"/>
          <w:sz w:val="24"/>
          <w:szCs w:val="24"/>
        </w:rPr>
        <w:t xml:space="preserve"> </w:t>
      </w:r>
      <w:r w:rsidRPr="008B1465">
        <w:rPr>
          <w:rFonts w:ascii="Times New Roman" w:hAnsi="Times New Roman"/>
          <w:sz w:val="24"/>
          <w:szCs w:val="24"/>
        </w:rPr>
        <w:t xml:space="preserve">E. </w:t>
      </w:r>
      <w:r>
        <w:rPr>
          <w:rFonts w:ascii="Times New Roman" w:hAnsi="Times New Roman"/>
          <w:sz w:val="24"/>
          <w:szCs w:val="24"/>
        </w:rPr>
        <w:t>(</w:t>
      </w:r>
      <w:r w:rsidRPr="008B1465">
        <w:rPr>
          <w:rFonts w:ascii="Times New Roman" w:hAnsi="Times New Roman"/>
          <w:sz w:val="24"/>
          <w:szCs w:val="24"/>
        </w:rPr>
        <w:t>1975</w:t>
      </w:r>
      <w:r>
        <w:rPr>
          <w:rFonts w:ascii="Times New Roman" w:hAnsi="Times New Roman"/>
          <w:sz w:val="24"/>
          <w:szCs w:val="24"/>
        </w:rPr>
        <w:t>)</w:t>
      </w:r>
      <w:r w:rsidRPr="008B1465">
        <w:rPr>
          <w:rFonts w:ascii="Times New Roman" w:hAnsi="Times New Roman"/>
          <w:sz w:val="24"/>
          <w:szCs w:val="24"/>
        </w:rPr>
        <w:t>. Markets and Hierarchies: Analysis and Antitrust Implications, New York: The Free Press.</w:t>
      </w:r>
    </w:p>
    <w:p w14:paraId="4B1F5ABD"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Wolfe, D.</w:t>
      </w:r>
      <w:r>
        <w:rPr>
          <w:rFonts w:ascii="Times New Roman" w:hAnsi="Times New Roman"/>
          <w:sz w:val="24"/>
          <w:szCs w:val="24"/>
        </w:rPr>
        <w:t xml:space="preserve"> </w:t>
      </w:r>
      <w:r w:rsidRPr="008B1465">
        <w:rPr>
          <w:rFonts w:ascii="Times New Roman" w:hAnsi="Times New Roman"/>
          <w:sz w:val="24"/>
          <w:szCs w:val="24"/>
        </w:rPr>
        <w:t>T.</w:t>
      </w:r>
      <w:r>
        <w:rPr>
          <w:rFonts w:ascii="Times New Roman" w:hAnsi="Times New Roman"/>
          <w:sz w:val="24"/>
          <w:szCs w:val="24"/>
        </w:rPr>
        <w:t>,</w:t>
      </w:r>
      <w:r w:rsidRPr="008B1465">
        <w:rPr>
          <w:rFonts w:ascii="Times New Roman" w:hAnsi="Times New Roman"/>
          <w:sz w:val="24"/>
          <w:szCs w:val="24"/>
        </w:rPr>
        <w:t xml:space="preserve"> </w:t>
      </w:r>
      <w:r>
        <w:rPr>
          <w:rFonts w:ascii="Times New Roman" w:hAnsi="Times New Roman"/>
          <w:sz w:val="24"/>
          <w:szCs w:val="24"/>
        </w:rPr>
        <w:t>&amp;</w:t>
      </w:r>
      <w:r w:rsidRPr="008B1465">
        <w:rPr>
          <w:rFonts w:ascii="Times New Roman" w:hAnsi="Times New Roman"/>
          <w:sz w:val="24"/>
          <w:szCs w:val="24"/>
        </w:rPr>
        <w:t xml:space="preserve"> Hermanson, D.</w:t>
      </w:r>
      <w:r>
        <w:rPr>
          <w:rFonts w:ascii="Times New Roman" w:hAnsi="Times New Roman"/>
          <w:sz w:val="24"/>
          <w:szCs w:val="24"/>
        </w:rPr>
        <w:t xml:space="preserve"> </w:t>
      </w:r>
      <w:r w:rsidRPr="008B1465">
        <w:rPr>
          <w:rFonts w:ascii="Times New Roman" w:hAnsi="Times New Roman"/>
          <w:sz w:val="24"/>
          <w:szCs w:val="24"/>
        </w:rPr>
        <w:t xml:space="preserve">R. (2004). The fraud diamond: considering the four elements of fraud. </w:t>
      </w:r>
      <w:r w:rsidRPr="008B1465">
        <w:rPr>
          <w:rFonts w:ascii="Times New Roman" w:hAnsi="Times New Roman"/>
          <w:i/>
          <w:iCs/>
          <w:sz w:val="24"/>
          <w:szCs w:val="24"/>
        </w:rPr>
        <w:t>The CPA Journal</w:t>
      </w:r>
      <w:r w:rsidRPr="008B1465">
        <w:rPr>
          <w:rFonts w:ascii="Times New Roman" w:hAnsi="Times New Roman"/>
          <w:sz w:val="24"/>
          <w:szCs w:val="24"/>
        </w:rPr>
        <w:t>, 74(12), 38-42.</w:t>
      </w:r>
    </w:p>
    <w:p w14:paraId="0CE8E446"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 xml:space="preserve">Wolosky, H. W. (2004). Forensic accounting to the forefront. </w:t>
      </w:r>
      <w:r w:rsidRPr="008B1465">
        <w:rPr>
          <w:rFonts w:ascii="Times New Roman" w:hAnsi="Times New Roman"/>
          <w:i/>
          <w:iCs/>
          <w:sz w:val="24"/>
          <w:szCs w:val="24"/>
        </w:rPr>
        <w:t>The practical accountant</w:t>
      </w:r>
      <w:r w:rsidRPr="008B1465">
        <w:rPr>
          <w:rFonts w:ascii="Times New Roman" w:hAnsi="Times New Roman"/>
          <w:sz w:val="24"/>
          <w:szCs w:val="24"/>
        </w:rPr>
        <w:t>, 37(2), 22-28</w:t>
      </w:r>
    </w:p>
    <w:p w14:paraId="5D89FC36"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shd w:val="clear" w:color="auto" w:fill="FFFFFF"/>
        </w:rPr>
        <w:t>Yahaya, L., Abba, M., &amp; Suleiman, N. (2018). Influence of Forensic Accounting Practices on Fraud Prevention among Listed Companies in Nigeria.</w:t>
      </w:r>
    </w:p>
    <w:p w14:paraId="119D98F5" w14:textId="77777777" w:rsidR="0083389C" w:rsidRPr="008B1465" w:rsidRDefault="0083389C" w:rsidP="00D44C13">
      <w:pPr>
        <w:pStyle w:val="NoSpacing"/>
        <w:spacing w:line="360" w:lineRule="auto"/>
        <w:ind w:left="990" w:hanging="900"/>
        <w:jc w:val="both"/>
        <w:rPr>
          <w:rFonts w:ascii="Times New Roman" w:hAnsi="Times New Roman"/>
          <w:sz w:val="24"/>
          <w:szCs w:val="24"/>
        </w:rPr>
      </w:pPr>
      <w:r w:rsidRPr="008B1465">
        <w:rPr>
          <w:rFonts w:ascii="Times New Roman" w:hAnsi="Times New Roman"/>
          <w:sz w:val="24"/>
          <w:szCs w:val="24"/>
        </w:rPr>
        <w:t>Zimbelman, M.</w:t>
      </w:r>
      <w:r>
        <w:rPr>
          <w:rFonts w:ascii="Times New Roman" w:hAnsi="Times New Roman"/>
          <w:sz w:val="24"/>
          <w:szCs w:val="24"/>
        </w:rPr>
        <w:t xml:space="preserve"> </w:t>
      </w:r>
      <w:r w:rsidRPr="008B1465">
        <w:rPr>
          <w:rFonts w:ascii="Times New Roman" w:hAnsi="Times New Roman"/>
          <w:sz w:val="24"/>
          <w:szCs w:val="24"/>
        </w:rPr>
        <w:t>F., &amp; Albrecht, C.</w:t>
      </w:r>
      <w:r>
        <w:rPr>
          <w:rFonts w:ascii="Times New Roman" w:hAnsi="Times New Roman"/>
          <w:sz w:val="24"/>
          <w:szCs w:val="24"/>
        </w:rPr>
        <w:t xml:space="preserve"> </w:t>
      </w:r>
      <w:r w:rsidRPr="008B1465">
        <w:rPr>
          <w:rFonts w:ascii="Times New Roman" w:hAnsi="Times New Roman"/>
          <w:sz w:val="24"/>
          <w:szCs w:val="24"/>
        </w:rPr>
        <w:t>C. (2012). Forensic Accounting. Canada: South-Western Cengage Learning.</w:t>
      </w:r>
    </w:p>
    <w:p w14:paraId="6601B3B6" w14:textId="77777777" w:rsidR="0083389C" w:rsidRPr="008B1465" w:rsidRDefault="0083389C" w:rsidP="00D44C13">
      <w:pPr>
        <w:pStyle w:val="NoSpacing"/>
        <w:spacing w:line="360" w:lineRule="auto"/>
        <w:ind w:left="990" w:hanging="900"/>
        <w:jc w:val="both"/>
        <w:rPr>
          <w:rFonts w:ascii="Times New Roman" w:hAnsi="Times New Roman"/>
          <w:sz w:val="24"/>
          <w:szCs w:val="24"/>
          <w:shd w:val="clear" w:color="auto" w:fill="FFFFFF"/>
        </w:rPr>
      </w:pPr>
      <w:r w:rsidRPr="008B1465">
        <w:rPr>
          <w:rFonts w:ascii="Times New Roman" w:hAnsi="Times New Roman"/>
          <w:sz w:val="24"/>
          <w:szCs w:val="24"/>
        </w:rPr>
        <w:t>Zysman, A. (2004). Forensic accounting demystified. world investigators network Standard practice for investigative and forensic accounting engagements.</w:t>
      </w:r>
      <w:r w:rsidRPr="008B1465">
        <w:rPr>
          <w:rFonts w:ascii="Times New Roman" w:hAnsi="Times New Roman"/>
          <w:sz w:val="24"/>
          <w:szCs w:val="24"/>
          <w:shd w:val="clear" w:color="auto" w:fill="FFFFFF"/>
        </w:rPr>
        <w:t> </w:t>
      </w:r>
      <w:r w:rsidRPr="008B1465">
        <w:rPr>
          <w:rFonts w:ascii="Times New Roman" w:hAnsi="Times New Roman"/>
          <w:i/>
          <w:iCs/>
          <w:sz w:val="24"/>
          <w:szCs w:val="24"/>
          <w:shd w:val="clear" w:color="auto" w:fill="FFFFFF"/>
        </w:rPr>
        <w:t>Canadian Institute of Chartered Accountant</w:t>
      </w:r>
    </w:p>
    <w:p w14:paraId="6A583C9C" w14:textId="77777777" w:rsidR="0083389C" w:rsidRDefault="0083389C" w:rsidP="005D3033">
      <w:pPr>
        <w:pStyle w:val="NoSpacing"/>
        <w:spacing w:line="360" w:lineRule="auto"/>
        <w:ind w:left="990" w:hanging="900"/>
        <w:jc w:val="both"/>
        <w:rPr>
          <w:rStyle w:val="Hyperlink"/>
          <w:rFonts w:ascii="Times New Roman" w:hAnsi="Times New Roman"/>
          <w:color w:val="auto"/>
          <w:sz w:val="24"/>
          <w:szCs w:val="24"/>
          <w:u w:val="none"/>
          <w:shd w:val="clear" w:color="auto" w:fill="FFFFFF"/>
        </w:rPr>
      </w:pPr>
      <w:r w:rsidRPr="008B1465">
        <w:rPr>
          <w:rFonts w:ascii="Times New Roman" w:hAnsi="Times New Roman"/>
          <w:sz w:val="24"/>
          <w:szCs w:val="24"/>
        </w:rPr>
        <w:t xml:space="preserve">Παπαχρήστου, Γ. (2020). Forensic accounting: fraud examination and prevention through the identification of fraudster’s profile and organizational culture. unpublished Thesis, </w:t>
      </w:r>
      <w:hyperlink r:id="rId40" w:history="1">
        <w:r w:rsidRPr="008B1465">
          <w:rPr>
            <w:rStyle w:val="Hyperlink"/>
            <w:rFonts w:ascii="Times New Roman" w:hAnsi="Times New Roman"/>
            <w:color w:val="auto"/>
            <w:sz w:val="24"/>
            <w:szCs w:val="24"/>
            <w:u w:val="none"/>
            <w:shd w:val="clear" w:color="auto" w:fill="FFFFFF"/>
          </w:rPr>
          <w:t>http://hdl.handle.net/11610/22448</w:t>
        </w:r>
      </w:hyperlink>
      <w:r>
        <w:rPr>
          <w:rStyle w:val="Hyperlink"/>
          <w:rFonts w:ascii="Times New Roman" w:hAnsi="Times New Roman"/>
          <w:color w:val="auto"/>
          <w:sz w:val="24"/>
          <w:szCs w:val="24"/>
          <w:u w:val="none"/>
          <w:shd w:val="clear" w:color="auto" w:fill="FFFFFF"/>
        </w:rPr>
        <w:t>.</w:t>
      </w:r>
    </w:p>
    <w:p w14:paraId="71975BF5" w14:textId="77777777" w:rsidR="00593ED4" w:rsidRDefault="00593ED4" w:rsidP="005D3033">
      <w:pPr>
        <w:pStyle w:val="NoSpacing"/>
        <w:spacing w:line="360" w:lineRule="auto"/>
        <w:ind w:left="990" w:hanging="900"/>
        <w:jc w:val="both"/>
        <w:rPr>
          <w:rStyle w:val="Hyperlink"/>
          <w:rFonts w:ascii="Times New Roman" w:hAnsi="Times New Roman"/>
          <w:color w:val="auto"/>
          <w:sz w:val="24"/>
          <w:szCs w:val="24"/>
          <w:u w:val="none"/>
          <w:shd w:val="clear" w:color="auto" w:fill="FFFFFF"/>
        </w:rPr>
      </w:pPr>
    </w:p>
    <w:p w14:paraId="2C42A984" w14:textId="77777777" w:rsidR="0075751B" w:rsidRDefault="0075751B" w:rsidP="00D44C13">
      <w:pPr>
        <w:pStyle w:val="NoSpacing"/>
        <w:spacing w:line="360" w:lineRule="auto"/>
        <w:ind w:left="990" w:hanging="900"/>
        <w:jc w:val="both"/>
        <w:rPr>
          <w:rStyle w:val="Hyperlink"/>
          <w:rFonts w:ascii="Times New Roman" w:hAnsi="Times New Roman"/>
          <w:color w:val="auto"/>
          <w:sz w:val="24"/>
          <w:szCs w:val="24"/>
          <w:u w:val="none"/>
          <w:shd w:val="clear" w:color="auto" w:fill="FFFFFF"/>
        </w:rPr>
      </w:pPr>
    </w:p>
    <w:p w14:paraId="029898CF" w14:textId="77777777" w:rsidR="00C94470" w:rsidRDefault="00C94470" w:rsidP="00345412">
      <w:pPr>
        <w:pStyle w:val="Heading1"/>
        <w:pageBreakBefore/>
        <w:numPr>
          <w:ilvl w:val="0"/>
          <w:numId w:val="0"/>
        </w:numPr>
        <w:spacing w:before="100" w:line="274" w:lineRule="auto"/>
        <w:rPr>
          <w:szCs w:val="24"/>
        </w:rPr>
      </w:pPr>
      <w:bookmarkStart w:id="164" w:name="_Toc145951147"/>
      <w:r w:rsidRPr="008B1465">
        <w:rPr>
          <w:szCs w:val="24"/>
        </w:rPr>
        <w:t>APPENDI</w:t>
      </w:r>
      <w:r>
        <w:rPr>
          <w:szCs w:val="24"/>
        </w:rPr>
        <w:t>CES</w:t>
      </w:r>
      <w:bookmarkEnd w:id="164"/>
    </w:p>
    <w:p w14:paraId="19888C07" w14:textId="391626AB" w:rsidR="00C94470" w:rsidRPr="002C6B67" w:rsidRDefault="00B97413" w:rsidP="002C6B67">
      <w:pPr>
        <w:rPr>
          <w:rFonts w:ascii="Times New Roman" w:hAnsi="Times New Roman"/>
          <w:sz w:val="24"/>
          <w:szCs w:val="24"/>
        </w:rPr>
      </w:pPr>
      <w:r w:rsidRPr="002C6B67">
        <w:rPr>
          <w:rFonts w:ascii="Times New Roman" w:hAnsi="Times New Roman"/>
          <w:sz w:val="24"/>
          <w:szCs w:val="24"/>
        </w:rPr>
        <w:t>Appendix I</w:t>
      </w:r>
    </w:p>
    <w:p w14:paraId="26FD36F9" w14:textId="2A9E64AA" w:rsidR="001616E5" w:rsidRPr="002C6B67" w:rsidRDefault="003F05E3" w:rsidP="002C6B67">
      <w:pPr>
        <w:jc w:val="center"/>
        <w:rPr>
          <w:rFonts w:ascii="Times New Roman" w:hAnsi="Times New Roman"/>
          <w:b/>
          <w:bCs/>
          <w:sz w:val="24"/>
          <w:szCs w:val="24"/>
        </w:rPr>
      </w:pPr>
      <w:r w:rsidRPr="002C6B67">
        <w:rPr>
          <w:rFonts w:ascii="Times New Roman" w:hAnsi="Times New Roman"/>
          <w:b/>
          <w:bCs/>
          <w:sz w:val="24"/>
          <w:szCs w:val="24"/>
        </w:rPr>
        <w:t>QUESTIONNAIRE</w:t>
      </w:r>
    </w:p>
    <w:p w14:paraId="5B32BF87" w14:textId="77777777" w:rsidR="001616E5" w:rsidRPr="008B1465" w:rsidRDefault="003F05E3" w:rsidP="007541CB">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Dear Respondent,</w:t>
      </w:r>
    </w:p>
    <w:p w14:paraId="44EA8C6A" w14:textId="4AF7F08B" w:rsidR="001616E5" w:rsidRPr="008B1465" w:rsidRDefault="003F05E3" w:rsidP="007541CB">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I am a Ph.D. student in the </w:t>
      </w:r>
      <w:r w:rsidR="00395348" w:rsidRPr="008B1465">
        <w:rPr>
          <w:rFonts w:ascii="Times New Roman" w:eastAsia="Calibri" w:hAnsi="Times New Roman"/>
          <w:sz w:val="24"/>
          <w:szCs w:val="24"/>
        </w:rPr>
        <w:t>D</w:t>
      </w:r>
      <w:r w:rsidRPr="008B1465">
        <w:rPr>
          <w:rFonts w:ascii="Times New Roman" w:eastAsia="Calibri" w:hAnsi="Times New Roman"/>
          <w:sz w:val="24"/>
          <w:szCs w:val="24"/>
        </w:rPr>
        <w:t>epartment of Accounting</w:t>
      </w:r>
      <w:r w:rsidR="00395348" w:rsidRPr="008B1465">
        <w:rPr>
          <w:rFonts w:ascii="Times New Roman" w:eastAsia="Calibri" w:hAnsi="Times New Roman"/>
          <w:sz w:val="24"/>
          <w:szCs w:val="24"/>
        </w:rPr>
        <w:t xml:space="preserve"> and Finance</w:t>
      </w:r>
      <w:r w:rsidR="00B12139" w:rsidRPr="008B1465">
        <w:rPr>
          <w:rFonts w:ascii="Times New Roman" w:eastAsia="Calibri" w:hAnsi="Times New Roman"/>
          <w:sz w:val="24"/>
          <w:szCs w:val="24"/>
        </w:rPr>
        <w:t>,</w:t>
      </w:r>
      <w:r w:rsidRPr="008B1465">
        <w:rPr>
          <w:rFonts w:ascii="Times New Roman" w:eastAsia="Calibri" w:hAnsi="Times New Roman"/>
          <w:sz w:val="24"/>
          <w:szCs w:val="24"/>
        </w:rPr>
        <w:t xml:space="preserve"> Crawford University, Igbesa, Ogun State, Nigeria, currently undertaking a research project on a topic titled “</w:t>
      </w:r>
      <w:r w:rsidRPr="008B1465">
        <w:rPr>
          <w:rFonts w:ascii="Times New Roman" w:eastAsia="Calibri" w:hAnsi="Times New Roman"/>
          <w:b/>
          <w:i/>
          <w:sz w:val="24"/>
          <w:szCs w:val="24"/>
        </w:rPr>
        <w:t>Forensic Accounting Techniques and Financial Misconduct among Federal Universities in Southwest, Nigeria”.</w:t>
      </w:r>
      <w:r w:rsidRPr="008B1465">
        <w:rPr>
          <w:rFonts w:ascii="Times New Roman" w:eastAsia="Calibri" w:hAnsi="Times New Roman"/>
          <w:sz w:val="24"/>
          <w:szCs w:val="24"/>
        </w:rPr>
        <w:t xml:space="preserve"> </w:t>
      </w:r>
    </w:p>
    <w:p w14:paraId="75198756" w14:textId="77777777" w:rsidR="001616E5" w:rsidRPr="008B1465" w:rsidRDefault="003F05E3" w:rsidP="007541CB">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I, therefore, solicit your kind cooperation in filling out the questionnaire with appropriate responses. I assure you that the information supplied shall be used for this research work and shall be treated with absolute confidentiality.</w:t>
      </w:r>
    </w:p>
    <w:p w14:paraId="6F69DD5C" w14:textId="77777777" w:rsidR="001616E5" w:rsidRPr="008B1465" w:rsidRDefault="003F05E3" w:rsidP="007541CB">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Thank you.</w:t>
      </w:r>
    </w:p>
    <w:p w14:paraId="4B5DFAA6" w14:textId="77777777" w:rsidR="001616E5" w:rsidRPr="008B1465" w:rsidRDefault="003F05E3" w:rsidP="007541CB">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 </w:t>
      </w:r>
    </w:p>
    <w:p w14:paraId="6F657F41" w14:textId="77777777" w:rsidR="001616E5" w:rsidRPr="008B1465" w:rsidRDefault="003F05E3" w:rsidP="007541CB">
      <w:pPr>
        <w:pageBreakBefore/>
        <w:spacing w:after="0" w:line="360" w:lineRule="auto"/>
        <w:jc w:val="center"/>
        <w:rPr>
          <w:rFonts w:ascii="Times New Roman" w:eastAsia="Calibri" w:hAnsi="Times New Roman"/>
          <w:b/>
          <w:bCs/>
          <w:sz w:val="24"/>
          <w:szCs w:val="24"/>
        </w:rPr>
      </w:pPr>
      <w:r w:rsidRPr="008B1465">
        <w:rPr>
          <w:rFonts w:ascii="Times New Roman" w:eastAsia="Calibri" w:hAnsi="Times New Roman"/>
          <w:b/>
          <w:bCs/>
          <w:sz w:val="24"/>
          <w:szCs w:val="24"/>
        </w:rPr>
        <w:t>SECTION A: DEMOGRAPHIC INFORMATION</w:t>
      </w:r>
    </w:p>
    <w:p w14:paraId="23CFCF5C" w14:textId="77777777" w:rsidR="001616E5" w:rsidRPr="008B1465" w:rsidRDefault="003F05E3" w:rsidP="007541CB">
      <w:pPr>
        <w:spacing w:after="0" w:line="360" w:lineRule="auto"/>
        <w:rPr>
          <w:rFonts w:ascii="Times New Roman" w:eastAsia="Calibri" w:hAnsi="Times New Roman"/>
          <w:b/>
          <w:bCs/>
          <w:sz w:val="24"/>
          <w:szCs w:val="24"/>
        </w:rPr>
      </w:pPr>
      <w:r w:rsidRPr="008B1465">
        <w:rPr>
          <w:rFonts w:ascii="Times New Roman" w:eastAsia="Calibri" w:hAnsi="Times New Roman"/>
          <w:b/>
          <w:bCs/>
          <w:sz w:val="24"/>
          <w:szCs w:val="24"/>
        </w:rPr>
        <w:t xml:space="preserve"> Instruction: Please tick (</w:t>
      </w:r>
      <w:r w:rsidRPr="008B1465">
        <w:rPr>
          <w:rFonts w:ascii="Times New Roman" w:hAnsi="Times New Roman"/>
          <w:noProof/>
          <w:sz w:val="24"/>
          <w:szCs w:val="24"/>
        </w:rPr>
        <w:drawing>
          <wp:inline distT="0" distB="0" distL="0" distR="0" wp14:anchorId="06C97A4A" wp14:editId="7A650A86">
            <wp:extent cx="153670" cy="198755"/>
            <wp:effectExtent l="0" t="0" r="0"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Picture 8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a:xfrm>
                      <a:off x="0" y="0"/>
                      <a:ext cx="153670" cy="198755"/>
                    </a:xfrm>
                    <a:prstGeom prst="rect">
                      <a:avLst/>
                    </a:prstGeom>
                    <a:noFill/>
                    <a:ln>
                      <a:noFill/>
                    </a:ln>
                  </pic:spPr>
                </pic:pic>
              </a:graphicData>
            </a:graphic>
          </wp:inline>
        </w:drawing>
      </w:r>
      <w:r w:rsidRPr="008B1465">
        <w:rPr>
          <w:rFonts w:ascii="Times New Roman" w:eastAsia="DengXian" w:hAnsi="Times New Roman"/>
          <w:b/>
          <w:bCs/>
          <w:sz w:val="24"/>
          <w:szCs w:val="24"/>
        </w:rPr>
        <w:t xml:space="preserve"> as most appropriate for you.</w:t>
      </w:r>
    </w:p>
    <w:p w14:paraId="7652C1E1" w14:textId="77777777" w:rsidR="001616E5" w:rsidRPr="008B1465" w:rsidRDefault="003F05E3" w:rsidP="007541CB">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1. </w:t>
      </w:r>
      <w:r w:rsidRPr="008B1465">
        <w:rPr>
          <w:rFonts w:ascii="Times New Roman" w:eastAsia="Calibri" w:hAnsi="Times New Roman"/>
          <w:b/>
          <w:sz w:val="24"/>
          <w:szCs w:val="24"/>
        </w:rPr>
        <w:t>Gender</w:t>
      </w:r>
      <w:r w:rsidRPr="008B1465">
        <w:rPr>
          <w:rFonts w:ascii="Times New Roman" w:eastAsia="Calibri" w:hAnsi="Times New Roman"/>
          <w:sz w:val="24"/>
          <w:szCs w:val="24"/>
        </w:rPr>
        <w:t xml:space="preserve">: Male [     ]      Female   [     ]  </w:t>
      </w:r>
    </w:p>
    <w:p w14:paraId="5FE4BD30" w14:textId="77777777" w:rsidR="001616E5" w:rsidRPr="008B1465" w:rsidRDefault="003F05E3" w:rsidP="007541CB">
      <w:pPr>
        <w:spacing w:after="0" w:line="360" w:lineRule="auto"/>
        <w:jc w:val="both"/>
        <w:rPr>
          <w:rFonts w:ascii="Times New Roman" w:eastAsia="Calibri" w:hAnsi="Times New Roman"/>
          <w:sz w:val="24"/>
          <w:szCs w:val="24"/>
        </w:rPr>
      </w:pPr>
      <w:r w:rsidRPr="008B1465">
        <w:rPr>
          <w:rFonts w:ascii="Times New Roman" w:eastAsia="Calibri" w:hAnsi="Times New Roman"/>
          <w:sz w:val="24"/>
          <w:szCs w:val="24"/>
        </w:rPr>
        <w:t xml:space="preserve">2. </w:t>
      </w:r>
      <w:r w:rsidRPr="008B1465">
        <w:rPr>
          <w:rFonts w:ascii="Times New Roman" w:eastAsia="Calibri" w:hAnsi="Times New Roman"/>
          <w:b/>
          <w:sz w:val="24"/>
          <w:szCs w:val="24"/>
        </w:rPr>
        <w:t>Marital Status</w:t>
      </w:r>
      <w:r w:rsidRPr="008B1465">
        <w:rPr>
          <w:rFonts w:ascii="Times New Roman" w:eastAsia="Calibri" w:hAnsi="Times New Roman"/>
          <w:sz w:val="24"/>
          <w:szCs w:val="24"/>
        </w:rPr>
        <w:t xml:space="preserve">: Single [     ] ;    Married     [     ];     Divorce    [     ] ;   Widow(er)    [     ]  </w:t>
      </w:r>
    </w:p>
    <w:p w14:paraId="653ABC5E" w14:textId="77777777" w:rsidR="001616E5" w:rsidRPr="008B1465" w:rsidRDefault="003F05E3" w:rsidP="007541CB">
      <w:pPr>
        <w:spacing w:after="0" w:line="360" w:lineRule="auto"/>
        <w:ind w:left="720" w:hanging="720"/>
        <w:jc w:val="both"/>
        <w:rPr>
          <w:rFonts w:ascii="Times New Roman" w:eastAsia="Calibri" w:hAnsi="Times New Roman"/>
          <w:sz w:val="24"/>
          <w:szCs w:val="24"/>
        </w:rPr>
      </w:pPr>
      <w:r w:rsidRPr="008B1465">
        <w:rPr>
          <w:rFonts w:ascii="Times New Roman" w:eastAsia="Calibri" w:hAnsi="Times New Roman"/>
          <w:sz w:val="24"/>
          <w:szCs w:val="24"/>
        </w:rPr>
        <w:t xml:space="preserve">3. </w:t>
      </w:r>
      <w:r w:rsidRPr="008B1465">
        <w:rPr>
          <w:rFonts w:ascii="Times New Roman" w:eastAsia="Calibri" w:hAnsi="Times New Roman"/>
          <w:b/>
          <w:sz w:val="24"/>
          <w:szCs w:val="24"/>
        </w:rPr>
        <w:t>Age</w:t>
      </w:r>
      <w:r w:rsidRPr="008B1465">
        <w:rPr>
          <w:rFonts w:ascii="Times New Roman" w:eastAsia="Calibri" w:hAnsi="Times New Roman"/>
          <w:sz w:val="24"/>
          <w:szCs w:val="24"/>
        </w:rPr>
        <w:t>: 18-25 years [     ];  26-35 years  [     ];   36-45 years [     ];  46- 55years [     ] 56    years and above</w:t>
      </w:r>
    </w:p>
    <w:p w14:paraId="19594B80" w14:textId="77777777" w:rsidR="001616E5" w:rsidRPr="008B1465" w:rsidRDefault="003F05E3" w:rsidP="007541CB">
      <w:pPr>
        <w:spacing w:after="0" w:line="360" w:lineRule="auto"/>
        <w:ind w:left="630" w:hanging="630"/>
        <w:jc w:val="both"/>
        <w:rPr>
          <w:rFonts w:ascii="Times New Roman" w:eastAsia="Calibri" w:hAnsi="Times New Roman"/>
          <w:sz w:val="24"/>
          <w:szCs w:val="24"/>
        </w:rPr>
      </w:pPr>
      <w:r w:rsidRPr="008B1465">
        <w:rPr>
          <w:rFonts w:ascii="Times New Roman" w:eastAsia="Calibri" w:hAnsi="Times New Roman"/>
          <w:sz w:val="24"/>
          <w:szCs w:val="24"/>
        </w:rPr>
        <w:t xml:space="preserve">4. </w:t>
      </w:r>
      <w:r w:rsidRPr="008B1465">
        <w:rPr>
          <w:rFonts w:ascii="Times New Roman" w:eastAsia="Calibri" w:hAnsi="Times New Roman"/>
          <w:b/>
          <w:sz w:val="24"/>
          <w:szCs w:val="24"/>
        </w:rPr>
        <w:t>Educational Qualification</w:t>
      </w:r>
      <w:r w:rsidRPr="008B1465">
        <w:rPr>
          <w:rFonts w:ascii="Times New Roman" w:eastAsia="Calibri" w:hAnsi="Times New Roman"/>
          <w:sz w:val="24"/>
          <w:szCs w:val="24"/>
        </w:rPr>
        <w:t xml:space="preserve">:  SSCE [     ];  NCE/OND [     ]; BSc./HND [     ]; M Sc./MBA [    ]; Ph.D. [     ]  </w:t>
      </w:r>
    </w:p>
    <w:p w14:paraId="11B22FD1" w14:textId="77777777" w:rsidR="001616E5" w:rsidRPr="008B1465" w:rsidRDefault="003F05E3" w:rsidP="007541CB">
      <w:pPr>
        <w:numPr>
          <w:ilvl w:val="0"/>
          <w:numId w:val="3"/>
        </w:numPr>
        <w:spacing w:after="0" w:line="360" w:lineRule="auto"/>
        <w:jc w:val="both"/>
        <w:rPr>
          <w:rFonts w:ascii="Times New Roman" w:eastAsia="Calibri" w:hAnsi="Times New Roman"/>
          <w:sz w:val="24"/>
          <w:szCs w:val="24"/>
        </w:rPr>
      </w:pPr>
      <w:r w:rsidRPr="008B1465">
        <w:rPr>
          <w:rFonts w:ascii="Times New Roman" w:eastAsia="Calibri" w:hAnsi="Times New Roman"/>
          <w:b/>
          <w:bCs/>
          <w:sz w:val="24"/>
          <w:szCs w:val="24"/>
        </w:rPr>
        <w:t>Professional Qualifications</w:t>
      </w:r>
      <w:r w:rsidRPr="008B1465">
        <w:rPr>
          <w:rFonts w:ascii="Times New Roman" w:eastAsia="Calibri" w:hAnsi="Times New Roman"/>
          <w:sz w:val="24"/>
          <w:szCs w:val="24"/>
        </w:rPr>
        <w:t>:  ICAN [     ]; CIMA [     ];  ACCA [     ]; CPA [     ]; others -------</w:t>
      </w:r>
    </w:p>
    <w:p w14:paraId="7BE10EE2" w14:textId="77777777" w:rsidR="001616E5" w:rsidRPr="008B1465" w:rsidRDefault="003F05E3" w:rsidP="007541CB">
      <w:pPr>
        <w:pStyle w:val="ListParagraph"/>
        <w:numPr>
          <w:ilvl w:val="0"/>
          <w:numId w:val="3"/>
        </w:numPr>
        <w:spacing w:after="0" w:line="360" w:lineRule="auto"/>
        <w:jc w:val="both"/>
        <w:rPr>
          <w:rFonts w:ascii="Times New Roman" w:eastAsia="Calibri" w:hAnsi="Times New Roman"/>
          <w:sz w:val="24"/>
          <w:szCs w:val="24"/>
        </w:rPr>
      </w:pPr>
      <w:r w:rsidRPr="008B1465">
        <w:rPr>
          <w:rFonts w:ascii="Times New Roman" w:eastAsia="Calibri" w:hAnsi="Times New Roman"/>
          <w:b/>
          <w:sz w:val="24"/>
          <w:szCs w:val="24"/>
        </w:rPr>
        <w:t>Length of Service</w:t>
      </w:r>
      <w:r w:rsidRPr="008B1465">
        <w:rPr>
          <w:rFonts w:ascii="Times New Roman" w:eastAsia="Calibri" w:hAnsi="Times New Roman"/>
          <w:sz w:val="24"/>
          <w:szCs w:val="24"/>
        </w:rPr>
        <w:t>: 1-10 years [     ];  11-21 years [     ];  21-30 years  [     ]; 31 years and above</w:t>
      </w:r>
    </w:p>
    <w:p w14:paraId="0404E985" w14:textId="77777777" w:rsidR="001616E5" w:rsidRPr="008B1465" w:rsidRDefault="003F05E3" w:rsidP="007541CB">
      <w:pPr>
        <w:numPr>
          <w:ilvl w:val="0"/>
          <w:numId w:val="3"/>
        </w:numPr>
        <w:spacing w:after="0" w:line="360" w:lineRule="auto"/>
        <w:ind w:right="-1039"/>
        <w:jc w:val="both"/>
        <w:rPr>
          <w:rFonts w:ascii="Times New Roman" w:eastAsia="Calibri" w:hAnsi="Times New Roman"/>
          <w:sz w:val="24"/>
          <w:szCs w:val="24"/>
        </w:rPr>
      </w:pPr>
      <w:r w:rsidRPr="008B1465">
        <w:rPr>
          <w:rFonts w:ascii="Times New Roman" w:eastAsia="Calibri" w:hAnsi="Times New Roman"/>
          <w:b/>
          <w:bCs/>
          <w:sz w:val="24"/>
          <w:szCs w:val="24"/>
        </w:rPr>
        <w:t>Department/Unit</w:t>
      </w:r>
      <w:r w:rsidRPr="008B1465">
        <w:rPr>
          <w:rFonts w:ascii="Times New Roman" w:eastAsia="Calibri" w:hAnsi="Times New Roman"/>
          <w:sz w:val="24"/>
          <w:szCs w:val="24"/>
        </w:rPr>
        <w:t xml:space="preserve">:  Bursary [     ]; </w:t>
      </w:r>
      <w:r w:rsidRPr="008B1465">
        <w:rPr>
          <w:rFonts w:ascii="Times New Roman" w:eastAsia="Calibri" w:hAnsi="Times New Roman"/>
          <w:sz w:val="24"/>
          <w:szCs w:val="24"/>
        </w:rPr>
        <w:tab/>
        <w:t xml:space="preserve">Internal Audit [     ]; </w:t>
      </w:r>
      <w:r w:rsidRPr="008B1465">
        <w:rPr>
          <w:rFonts w:ascii="Times New Roman" w:eastAsia="Calibri" w:hAnsi="Times New Roman"/>
          <w:sz w:val="24"/>
          <w:szCs w:val="24"/>
        </w:rPr>
        <w:tab/>
        <w:t>Procurement [     ]</w:t>
      </w:r>
    </w:p>
    <w:p w14:paraId="4B7F38B5" w14:textId="77777777" w:rsidR="001616E5" w:rsidRPr="008B1465" w:rsidRDefault="003F05E3" w:rsidP="007541CB">
      <w:pPr>
        <w:numPr>
          <w:ilvl w:val="0"/>
          <w:numId w:val="3"/>
        </w:numPr>
        <w:spacing w:after="0" w:line="360" w:lineRule="auto"/>
        <w:ind w:right="-1039"/>
        <w:jc w:val="both"/>
        <w:rPr>
          <w:rFonts w:ascii="Times New Roman" w:eastAsia="Calibri" w:hAnsi="Times New Roman"/>
          <w:b/>
          <w:bCs/>
          <w:sz w:val="24"/>
          <w:szCs w:val="24"/>
        </w:rPr>
      </w:pPr>
      <w:r w:rsidRPr="008B1465">
        <w:rPr>
          <w:rFonts w:ascii="Times New Roman" w:eastAsia="Calibri" w:hAnsi="Times New Roman"/>
          <w:b/>
          <w:bCs/>
          <w:sz w:val="24"/>
          <w:szCs w:val="24"/>
        </w:rPr>
        <w:t xml:space="preserve">Position: </w:t>
      </w:r>
    </w:p>
    <w:p w14:paraId="6AAF43BB" w14:textId="77777777" w:rsidR="001616E5" w:rsidRPr="008B1465" w:rsidRDefault="003F05E3" w:rsidP="007541CB">
      <w:pPr>
        <w:spacing w:after="0" w:line="360" w:lineRule="auto"/>
        <w:rPr>
          <w:rFonts w:ascii="Times New Roman" w:eastAsia="DengXian" w:hAnsi="Times New Roman"/>
          <w:b/>
          <w:bCs/>
          <w:sz w:val="24"/>
          <w:szCs w:val="24"/>
        </w:rPr>
      </w:pPr>
      <w:r w:rsidRPr="008B1465">
        <w:rPr>
          <w:rFonts w:ascii="Times New Roman" w:eastAsia="Calibri" w:hAnsi="Times New Roman"/>
          <w:sz w:val="24"/>
          <w:szCs w:val="24"/>
        </w:rPr>
        <w:t xml:space="preserve"> </w:t>
      </w:r>
      <w:r w:rsidRPr="008B1465">
        <w:rPr>
          <w:rFonts w:ascii="Times New Roman" w:eastAsia="Calibri" w:hAnsi="Times New Roman"/>
          <w:b/>
          <w:i/>
          <w:iCs/>
          <w:sz w:val="24"/>
          <w:szCs w:val="24"/>
        </w:rPr>
        <w:t xml:space="preserve">INSTRUCTION: KINDLY READ THE FOLLOWING STATEMENTS AND THICK </w:t>
      </w:r>
      <w:r w:rsidRPr="008B1465">
        <w:rPr>
          <w:rFonts w:ascii="Times New Roman" w:eastAsia="Calibri" w:hAnsi="Times New Roman"/>
          <w:b/>
          <w:bCs/>
          <w:sz w:val="24"/>
          <w:szCs w:val="24"/>
        </w:rPr>
        <w:t>(</w:t>
      </w:r>
      <w:r w:rsidRPr="008B1465">
        <w:rPr>
          <w:rFonts w:ascii="Times New Roman" w:hAnsi="Times New Roman"/>
          <w:noProof/>
          <w:sz w:val="24"/>
          <w:szCs w:val="24"/>
        </w:rPr>
        <w:drawing>
          <wp:inline distT="0" distB="0" distL="0" distR="0" wp14:anchorId="1151A5E0" wp14:editId="04554B22">
            <wp:extent cx="153670" cy="198755"/>
            <wp:effectExtent l="0" t="0" r="0"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Picture 8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a:xfrm>
                      <a:off x="0" y="0"/>
                      <a:ext cx="153670" cy="198755"/>
                    </a:xfrm>
                    <a:prstGeom prst="rect">
                      <a:avLst/>
                    </a:prstGeom>
                    <a:noFill/>
                    <a:ln>
                      <a:noFill/>
                    </a:ln>
                  </pic:spPr>
                </pic:pic>
              </a:graphicData>
            </a:graphic>
          </wp:inline>
        </w:drawing>
      </w:r>
      <w:r w:rsidRPr="008B1465">
        <w:rPr>
          <w:rFonts w:ascii="Times New Roman" w:eastAsia="DengXian" w:hAnsi="Times New Roman"/>
          <w:b/>
          <w:bCs/>
          <w:sz w:val="24"/>
          <w:szCs w:val="24"/>
        </w:rPr>
        <w:t xml:space="preserve">  AS IT APPLIES TO YOU</w:t>
      </w:r>
    </w:p>
    <w:p w14:paraId="60C63DD0" w14:textId="77777777" w:rsidR="001616E5" w:rsidRPr="008B1465" w:rsidRDefault="003F05E3" w:rsidP="007541CB">
      <w:pPr>
        <w:spacing w:after="0" w:line="360" w:lineRule="auto"/>
        <w:jc w:val="both"/>
        <w:rPr>
          <w:rFonts w:ascii="Times New Roman" w:eastAsia="Calibri" w:hAnsi="Times New Roman"/>
          <w:sz w:val="24"/>
          <w:szCs w:val="24"/>
        </w:rPr>
      </w:pPr>
      <w:r w:rsidRPr="008B1465">
        <w:rPr>
          <w:rFonts w:ascii="Times New Roman" w:eastAsia="DengXian" w:hAnsi="Times New Roman"/>
          <w:b/>
          <w:bCs/>
          <w:sz w:val="24"/>
          <w:szCs w:val="24"/>
        </w:rPr>
        <w:t>NOTE</w:t>
      </w:r>
      <w:r w:rsidRPr="008B1465">
        <w:rPr>
          <w:rFonts w:ascii="Times New Roman" w:eastAsia="DengXian" w:hAnsi="Times New Roman"/>
          <w:sz w:val="24"/>
          <w:szCs w:val="24"/>
        </w:rPr>
        <w:t>: SA = Strongly Agreed; A = Agreed; U = Undecided; D = Disagreed; SD = Strongly Disagreed</w:t>
      </w:r>
    </w:p>
    <w:p w14:paraId="303E4F72" w14:textId="77777777" w:rsidR="001616E5" w:rsidRPr="008B1465" w:rsidRDefault="003F05E3" w:rsidP="00111E80">
      <w:pPr>
        <w:pageBreakBefore/>
        <w:spacing w:after="0" w:line="360" w:lineRule="auto"/>
        <w:jc w:val="center"/>
        <w:rPr>
          <w:rFonts w:ascii="Times New Roman" w:eastAsia="Calibri" w:hAnsi="Times New Roman"/>
          <w:b/>
          <w:bCs/>
          <w:sz w:val="24"/>
          <w:szCs w:val="24"/>
        </w:rPr>
      </w:pPr>
      <w:r w:rsidRPr="008B1465">
        <w:rPr>
          <w:rFonts w:ascii="Times New Roman" w:eastAsia="Calibri" w:hAnsi="Times New Roman"/>
          <w:b/>
          <w:bCs/>
          <w:sz w:val="24"/>
          <w:szCs w:val="24"/>
        </w:rPr>
        <w:t>SECTION B: FORENSIC ACCOUNTING TECHNIQUES</w:t>
      </w:r>
    </w:p>
    <w:tbl>
      <w:tblPr>
        <w:tblW w:w="9942" w:type="dxa"/>
        <w:tblLayout w:type="fixed"/>
        <w:tblLook w:val="04A0" w:firstRow="1" w:lastRow="0" w:firstColumn="1" w:lastColumn="0" w:noHBand="0" w:noVBand="1"/>
      </w:tblPr>
      <w:tblGrid>
        <w:gridCol w:w="630"/>
        <w:gridCol w:w="6379"/>
        <w:gridCol w:w="624"/>
        <w:gridCol w:w="532"/>
        <w:gridCol w:w="532"/>
        <w:gridCol w:w="618"/>
        <w:gridCol w:w="627"/>
      </w:tblGrid>
      <w:tr w:rsidR="000B5622" w:rsidRPr="008B1465" w14:paraId="380E7087" w14:textId="77777777">
        <w:tc>
          <w:tcPr>
            <w:tcW w:w="9942" w:type="dxa"/>
            <w:gridSpan w:val="7"/>
            <w:tcBorders>
              <w:top w:val="nil"/>
              <w:left w:val="nil"/>
              <w:bottom w:val="single" w:sz="4" w:space="0" w:color="auto"/>
              <w:right w:val="nil"/>
            </w:tcBorders>
          </w:tcPr>
          <w:p w14:paraId="617A9E0E" w14:textId="77777777" w:rsidR="001616E5" w:rsidRPr="008B1465" w:rsidRDefault="003F05E3" w:rsidP="009274B4">
            <w:pPr>
              <w:numPr>
                <w:ilvl w:val="0"/>
                <w:numId w:val="4"/>
              </w:numPr>
              <w:spacing w:before="0" w:beforeAutospacing="0" w:after="0" w:line="276" w:lineRule="auto"/>
              <w:jc w:val="center"/>
              <w:rPr>
                <w:rFonts w:ascii="Times New Roman" w:hAnsi="Times New Roman"/>
                <w:b/>
                <w:bCs/>
                <w:sz w:val="24"/>
                <w:szCs w:val="24"/>
              </w:rPr>
            </w:pPr>
            <w:r w:rsidRPr="008B1465">
              <w:rPr>
                <w:rFonts w:ascii="Times New Roman" w:hAnsi="Times New Roman"/>
                <w:b/>
                <w:bCs/>
                <w:sz w:val="24"/>
                <w:szCs w:val="24"/>
              </w:rPr>
              <w:t>Investigation of Fraud</w:t>
            </w:r>
          </w:p>
        </w:tc>
      </w:tr>
      <w:tr w:rsidR="000B5622" w:rsidRPr="008B1465" w14:paraId="61CC6BCA" w14:textId="77777777">
        <w:tc>
          <w:tcPr>
            <w:tcW w:w="630" w:type="dxa"/>
            <w:tcBorders>
              <w:top w:val="single" w:sz="4" w:space="0" w:color="auto"/>
              <w:left w:val="single" w:sz="4" w:space="0" w:color="auto"/>
              <w:bottom w:val="single" w:sz="4" w:space="0" w:color="auto"/>
              <w:right w:val="single" w:sz="4" w:space="0" w:color="auto"/>
            </w:tcBorders>
          </w:tcPr>
          <w:p w14:paraId="1CFFC509" w14:textId="77777777" w:rsidR="001616E5" w:rsidRPr="008B1465" w:rsidRDefault="003F05E3" w:rsidP="009274B4">
            <w:pPr>
              <w:spacing w:before="0" w:beforeAutospacing="0" w:after="0" w:line="276" w:lineRule="auto"/>
              <w:jc w:val="center"/>
              <w:rPr>
                <w:rFonts w:ascii="Times New Roman" w:hAnsi="Times New Roman"/>
                <w:sz w:val="24"/>
                <w:szCs w:val="24"/>
              </w:rPr>
            </w:pPr>
            <w:r w:rsidRPr="008B1465">
              <w:rPr>
                <w:rFonts w:ascii="Times New Roman" w:hAnsi="Times New Roman"/>
                <w:sz w:val="24"/>
                <w:szCs w:val="24"/>
              </w:rPr>
              <w:t>S/N</w:t>
            </w:r>
          </w:p>
        </w:tc>
        <w:tc>
          <w:tcPr>
            <w:tcW w:w="6379" w:type="dxa"/>
            <w:tcBorders>
              <w:top w:val="single" w:sz="4" w:space="0" w:color="auto"/>
              <w:left w:val="nil"/>
              <w:bottom w:val="single" w:sz="4" w:space="0" w:color="auto"/>
              <w:right w:val="single" w:sz="4" w:space="0" w:color="auto"/>
            </w:tcBorders>
          </w:tcPr>
          <w:p w14:paraId="1B36A384" w14:textId="77777777" w:rsidR="001616E5" w:rsidRPr="008B1465" w:rsidRDefault="003F05E3" w:rsidP="009274B4">
            <w:pPr>
              <w:spacing w:before="0" w:beforeAutospacing="0" w:after="0" w:line="276" w:lineRule="auto"/>
              <w:jc w:val="center"/>
              <w:rPr>
                <w:rFonts w:ascii="Times New Roman" w:hAnsi="Times New Roman"/>
                <w:b/>
                <w:bCs/>
                <w:sz w:val="24"/>
                <w:szCs w:val="24"/>
              </w:rPr>
            </w:pPr>
            <w:r w:rsidRPr="008B1465">
              <w:rPr>
                <w:rFonts w:ascii="Times New Roman" w:hAnsi="Times New Roman"/>
                <w:b/>
                <w:bCs/>
                <w:sz w:val="24"/>
                <w:szCs w:val="24"/>
              </w:rPr>
              <w:t>Items</w:t>
            </w:r>
          </w:p>
        </w:tc>
        <w:tc>
          <w:tcPr>
            <w:tcW w:w="624" w:type="dxa"/>
            <w:tcBorders>
              <w:top w:val="single" w:sz="4" w:space="0" w:color="auto"/>
              <w:left w:val="nil"/>
              <w:bottom w:val="single" w:sz="4" w:space="0" w:color="auto"/>
              <w:right w:val="single" w:sz="4" w:space="0" w:color="auto"/>
            </w:tcBorders>
            <w:vAlign w:val="center"/>
          </w:tcPr>
          <w:p w14:paraId="1A2BD01A" w14:textId="77777777" w:rsidR="001616E5" w:rsidRPr="008B1465" w:rsidRDefault="003F05E3" w:rsidP="009274B4">
            <w:pPr>
              <w:spacing w:after="0" w:line="276" w:lineRule="auto"/>
              <w:jc w:val="both"/>
              <w:rPr>
                <w:rFonts w:ascii="Times New Roman" w:hAnsi="Times New Roman"/>
                <w:sz w:val="24"/>
                <w:szCs w:val="24"/>
              </w:rPr>
            </w:pPr>
            <w:r w:rsidRPr="008B1465">
              <w:rPr>
                <w:rFonts w:ascii="Times New Roman" w:hAnsi="Times New Roman"/>
                <w:b/>
                <w:sz w:val="24"/>
                <w:szCs w:val="24"/>
              </w:rPr>
              <w:t>SA</w:t>
            </w:r>
          </w:p>
        </w:tc>
        <w:tc>
          <w:tcPr>
            <w:tcW w:w="532" w:type="dxa"/>
            <w:tcBorders>
              <w:top w:val="single" w:sz="4" w:space="0" w:color="auto"/>
              <w:left w:val="nil"/>
              <w:bottom w:val="single" w:sz="4" w:space="0" w:color="auto"/>
              <w:right w:val="single" w:sz="4" w:space="0" w:color="auto"/>
            </w:tcBorders>
            <w:vAlign w:val="center"/>
          </w:tcPr>
          <w:p w14:paraId="1DDB446C" w14:textId="77777777" w:rsidR="001616E5" w:rsidRPr="008B1465" w:rsidRDefault="003F05E3" w:rsidP="009274B4">
            <w:pPr>
              <w:spacing w:after="0" w:line="276" w:lineRule="auto"/>
              <w:jc w:val="both"/>
              <w:rPr>
                <w:rFonts w:ascii="Times New Roman" w:hAnsi="Times New Roman"/>
                <w:sz w:val="24"/>
                <w:szCs w:val="24"/>
              </w:rPr>
            </w:pPr>
            <w:r w:rsidRPr="008B1465">
              <w:rPr>
                <w:rFonts w:ascii="Times New Roman" w:hAnsi="Times New Roman"/>
                <w:b/>
                <w:sz w:val="24"/>
                <w:szCs w:val="24"/>
              </w:rPr>
              <w:t>A</w:t>
            </w:r>
          </w:p>
        </w:tc>
        <w:tc>
          <w:tcPr>
            <w:tcW w:w="532" w:type="dxa"/>
            <w:tcBorders>
              <w:top w:val="single" w:sz="4" w:space="0" w:color="auto"/>
              <w:left w:val="nil"/>
              <w:bottom w:val="single" w:sz="4" w:space="0" w:color="auto"/>
              <w:right w:val="single" w:sz="4" w:space="0" w:color="auto"/>
            </w:tcBorders>
            <w:vAlign w:val="center"/>
          </w:tcPr>
          <w:p w14:paraId="7FDCA7F1" w14:textId="77777777" w:rsidR="001616E5" w:rsidRPr="008B1465" w:rsidRDefault="003F05E3" w:rsidP="009274B4">
            <w:pPr>
              <w:spacing w:after="0" w:line="276" w:lineRule="auto"/>
              <w:jc w:val="both"/>
              <w:rPr>
                <w:rFonts w:ascii="Times New Roman" w:hAnsi="Times New Roman"/>
                <w:sz w:val="24"/>
                <w:szCs w:val="24"/>
              </w:rPr>
            </w:pPr>
            <w:r w:rsidRPr="008B1465">
              <w:rPr>
                <w:rFonts w:ascii="Times New Roman" w:hAnsi="Times New Roman"/>
                <w:b/>
                <w:sz w:val="24"/>
                <w:szCs w:val="24"/>
              </w:rPr>
              <w:t>U</w:t>
            </w:r>
          </w:p>
        </w:tc>
        <w:tc>
          <w:tcPr>
            <w:tcW w:w="618" w:type="dxa"/>
            <w:tcBorders>
              <w:top w:val="single" w:sz="4" w:space="0" w:color="auto"/>
              <w:left w:val="nil"/>
              <w:bottom w:val="single" w:sz="4" w:space="0" w:color="auto"/>
              <w:right w:val="single" w:sz="4" w:space="0" w:color="auto"/>
            </w:tcBorders>
            <w:vAlign w:val="center"/>
          </w:tcPr>
          <w:p w14:paraId="4F23B80B" w14:textId="77777777" w:rsidR="001616E5" w:rsidRPr="008B1465" w:rsidRDefault="003F05E3" w:rsidP="009274B4">
            <w:pPr>
              <w:spacing w:after="0" w:line="276" w:lineRule="auto"/>
              <w:jc w:val="both"/>
              <w:rPr>
                <w:rFonts w:ascii="Times New Roman" w:hAnsi="Times New Roman"/>
                <w:sz w:val="24"/>
                <w:szCs w:val="24"/>
              </w:rPr>
            </w:pPr>
            <w:r w:rsidRPr="008B1465">
              <w:rPr>
                <w:rFonts w:ascii="Times New Roman" w:hAnsi="Times New Roman"/>
                <w:b/>
                <w:sz w:val="24"/>
                <w:szCs w:val="24"/>
              </w:rPr>
              <w:t>D</w:t>
            </w:r>
          </w:p>
        </w:tc>
        <w:tc>
          <w:tcPr>
            <w:tcW w:w="627" w:type="dxa"/>
            <w:tcBorders>
              <w:top w:val="single" w:sz="4" w:space="0" w:color="auto"/>
              <w:left w:val="nil"/>
              <w:bottom w:val="single" w:sz="4" w:space="0" w:color="auto"/>
              <w:right w:val="single" w:sz="4" w:space="0" w:color="auto"/>
            </w:tcBorders>
            <w:vAlign w:val="center"/>
          </w:tcPr>
          <w:p w14:paraId="285862A0" w14:textId="77777777" w:rsidR="001616E5" w:rsidRPr="008B1465" w:rsidRDefault="003F05E3" w:rsidP="009274B4">
            <w:pPr>
              <w:spacing w:after="0" w:line="276" w:lineRule="auto"/>
              <w:jc w:val="both"/>
              <w:rPr>
                <w:rFonts w:ascii="Times New Roman" w:hAnsi="Times New Roman"/>
                <w:sz w:val="24"/>
                <w:szCs w:val="24"/>
              </w:rPr>
            </w:pPr>
            <w:r w:rsidRPr="008B1465">
              <w:rPr>
                <w:rFonts w:ascii="Times New Roman" w:hAnsi="Times New Roman"/>
                <w:b/>
                <w:sz w:val="24"/>
                <w:szCs w:val="24"/>
              </w:rPr>
              <w:t>SD</w:t>
            </w:r>
          </w:p>
        </w:tc>
      </w:tr>
      <w:tr w:rsidR="000B5622" w:rsidRPr="008B1465" w14:paraId="545E23FF" w14:textId="77777777">
        <w:tc>
          <w:tcPr>
            <w:tcW w:w="630" w:type="dxa"/>
            <w:tcBorders>
              <w:top w:val="single" w:sz="4" w:space="0" w:color="auto"/>
              <w:left w:val="single" w:sz="4" w:space="0" w:color="auto"/>
              <w:bottom w:val="single" w:sz="4" w:space="0" w:color="auto"/>
              <w:right w:val="single" w:sz="4" w:space="0" w:color="auto"/>
            </w:tcBorders>
          </w:tcPr>
          <w:p w14:paraId="7A501226" w14:textId="77777777" w:rsidR="001616E5" w:rsidRPr="008B1465" w:rsidRDefault="001616E5" w:rsidP="009274B4">
            <w:pPr>
              <w:pStyle w:val="ListParagraph"/>
              <w:numPr>
                <w:ilvl w:val="0"/>
                <w:numId w:val="5"/>
              </w:numPr>
              <w:spacing w:before="0" w:beforeAutospacing="0" w:after="0" w:line="276" w:lineRule="auto"/>
              <w:jc w:val="center"/>
              <w:rPr>
                <w:rFonts w:ascii="Times New Roman" w:hAnsi="Times New Roman"/>
                <w:sz w:val="24"/>
                <w:szCs w:val="24"/>
              </w:rPr>
            </w:pPr>
          </w:p>
        </w:tc>
        <w:tc>
          <w:tcPr>
            <w:tcW w:w="6379" w:type="dxa"/>
            <w:tcBorders>
              <w:top w:val="single" w:sz="4" w:space="0" w:color="auto"/>
              <w:left w:val="nil"/>
              <w:bottom w:val="single" w:sz="4" w:space="0" w:color="auto"/>
              <w:right w:val="single" w:sz="4" w:space="0" w:color="auto"/>
            </w:tcBorders>
          </w:tcPr>
          <w:p w14:paraId="6CD53FFA" w14:textId="77777777" w:rsidR="001616E5" w:rsidRPr="008B1465" w:rsidRDefault="003F05E3" w:rsidP="009274B4">
            <w:pPr>
              <w:spacing w:before="0" w:beforeAutospacing="0" w:after="0" w:line="276" w:lineRule="auto"/>
              <w:jc w:val="both"/>
              <w:rPr>
                <w:rFonts w:ascii="Times New Roman" w:hAnsi="Times New Roman"/>
                <w:sz w:val="24"/>
                <w:szCs w:val="24"/>
              </w:rPr>
            </w:pPr>
            <w:r w:rsidRPr="008B1465">
              <w:rPr>
                <w:rFonts w:ascii="Times New Roman" w:hAnsi="Times New Roman"/>
                <w:sz w:val="24"/>
                <w:szCs w:val="24"/>
              </w:rPr>
              <w:t>Computer forensic accounting improves the investigator’s skills, ability, and intelligence to manage fraud-related cases</w:t>
            </w:r>
          </w:p>
        </w:tc>
        <w:tc>
          <w:tcPr>
            <w:tcW w:w="624" w:type="dxa"/>
            <w:tcBorders>
              <w:top w:val="single" w:sz="4" w:space="0" w:color="auto"/>
              <w:left w:val="nil"/>
              <w:bottom w:val="single" w:sz="4" w:space="0" w:color="auto"/>
              <w:right w:val="single" w:sz="4" w:space="0" w:color="auto"/>
            </w:tcBorders>
          </w:tcPr>
          <w:p w14:paraId="4C04438B" w14:textId="77777777" w:rsidR="001616E5" w:rsidRPr="008B1465" w:rsidRDefault="001616E5" w:rsidP="009274B4">
            <w:pPr>
              <w:spacing w:before="0" w:beforeAutospacing="0" w:after="0" w:line="276" w:lineRule="auto"/>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5AA010B9" w14:textId="77777777" w:rsidR="001616E5" w:rsidRPr="008B1465" w:rsidRDefault="001616E5" w:rsidP="009274B4">
            <w:pPr>
              <w:spacing w:before="0" w:beforeAutospacing="0" w:after="0" w:line="276" w:lineRule="auto"/>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49AE7242" w14:textId="77777777" w:rsidR="001616E5" w:rsidRPr="008B1465" w:rsidRDefault="001616E5" w:rsidP="009274B4">
            <w:pPr>
              <w:spacing w:before="0" w:beforeAutospacing="0" w:after="0" w:line="276" w:lineRule="auto"/>
              <w:rPr>
                <w:rFonts w:ascii="Times New Roman" w:hAnsi="Times New Roman"/>
                <w:sz w:val="24"/>
                <w:szCs w:val="24"/>
              </w:rPr>
            </w:pPr>
          </w:p>
        </w:tc>
        <w:tc>
          <w:tcPr>
            <w:tcW w:w="618" w:type="dxa"/>
            <w:tcBorders>
              <w:top w:val="single" w:sz="4" w:space="0" w:color="auto"/>
              <w:left w:val="nil"/>
              <w:bottom w:val="single" w:sz="4" w:space="0" w:color="auto"/>
              <w:right w:val="single" w:sz="4" w:space="0" w:color="auto"/>
            </w:tcBorders>
          </w:tcPr>
          <w:p w14:paraId="44621AC7" w14:textId="77777777" w:rsidR="001616E5" w:rsidRPr="008B1465" w:rsidRDefault="001616E5" w:rsidP="009274B4">
            <w:pPr>
              <w:spacing w:before="0" w:beforeAutospacing="0" w:after="0" w:line="276" w:lineRule="auto"/>
              <w:rPr>
                <w:rFonts w:ascii="Times New Roman" w:hAnsi="Times New Roman"/>
                <w:sz w:val="24"/>
                <w:szCs w:val="24"/>
              </w:rPr>
            </w:pPr>
          </w:p>
        </w:tc>
        <w:tc>
          <w:tcPr>
            <w:tcW w:w="627" w:type="dxa"/>
            <w:tcBorders>
              <w:top w:val="single" w:sz="4" w:space="0" w:color="auto"/>
              <w:left w:val="nil"/>
              <w:bottom w:val="single" w:sz="4" w:space="0" w:color="auto"/>
              <w:right w:val="single" w:sz="4" w:space="0" w:color="auto"/>
            </w:tcBorders>
          </w:tcPr>
          <w:p w14:paraId="02AA251B" w14:textId="77777777" w:rsidR="001616E5" w:rsidRPr="008B1465" w:rsidRDefault="001616E5" w:rsidP="009274B4">
            <w:pPr>
              <w:spacing w:before="0" w:beforeAutospacing="0" w:after="0" w:line="276" w:lineRule="auto"/>
              <w:rPr>
                <w:rFonts w:ascii="Times New Roman" w:hAnsi="Times New Roman"/>
                <w:sz w:val="24"/>
                <w:szCs w:val="24"/>
              </w:rPr>
            </w:pPr>
          </w:p>
        </w:tc>
      </w:tr>
      <w:tr w:rsidR="000B5622" w:rsidRPr="008B1465" w14:paraId="77F29E0E" w14:textId="77777777">
        <w:tc>
          <w:tcPr>
            <w:tcW w:w="630" w:type="dxa"/>
            <w:tcBorders>
              <w:top w:val="single" w:sz="4" w:space="0" w:color="auto"/>
              <w:left w:val="single" w:sz="4" w:space="0" w:color="auto"/>
              <w:bottom w:val="single" w:sz="4" w:space="0" w:color="auto"/>
              <w:right w:val="single" w:sz="4" w:space="0" w:color="auto"/>
            </w:tcBorders>
          </w:tcPr>
          <w:p w14:paraId="3A97C767" w14:textId="77777777" w:rsidR="001616E5" w:rsidRPr="008B1465" w:rsidRDefault="001616E5" w:rsidP="009274B4">
            <w:pPr>
              <w:pStyle w:val="ListParagraph"/>
              <w:numPr>
                <w:ilvl w:val="0"/>
                <w:numId w:val="5"/>
              </w:numPr>
              <w:spacing w:before="0" w:beforeAutospacing="0" w:after="0" w:line="276" w:lineRule="auto"/>
              <w:jc w:val="center"/>
              <w:rPr>
                <w:rFonts w:ascii="Times New Roman" w:hAnsi="Times New Roman"/>
                <w:sz w:val="24"/>
                <w:szCs w:val="24"/>
              </w:rPr>
            </w:pPr>
          </w:p>
        </w:tc>
        <w:tc>
          <w:tcPr>
            <w:tcW w:w="6379" w:type="dxa"/>
            <w:tcBorders>
              <w:top w:val="single" w:sz="4" w:space="0" w:color="auto"/>
              <w:left w:val="nil"/>
              <w:bottom w:val="single" w:sz="4" w:space="0" w:color="auto"/>
              <w:right w:val="single" w:sz="4" w:space="0" w:color="auto"/>
            </w:tcBorders>
          </w:tcPr>
          <w:p w14:paraId="6BC99C1F" w14:textId="77777777" w:rsidR="001616E5" w:rsidRPr="008B1465" w:rsidRDefault="003F05E3" w:rsidP="009274B4">
            <w:pPr>
              <w:spacing w:before="0" w:beforeAutospacing="0" w:after="0" w:line="276" w:lineRule="auto"/>
              <w:jc w:val="both"/>
              <w:rPr>
                <w:rFonts w:ascii="Times New Roman" w:hAnsi="Times New Roman"/>
                <w:sz w:val="24"/>
                <w:szCs w:val="24"/>
              </w:rPr>
            </w:pPr>
            <w:r w:rsidRPr="008B1465">
              <w:rPr>
                <w:rFonts w:ascii="Times New Roman" w:hAnsi="Times New Roman"/>
                <w:sz w:val="24"/>
                <w:szCs w:val="24"/>
              </w:rPr>
              <w:t>Digital forensic accounting helps forensic accounting experts to combat cyber fraud and other cybercrime-related cases at my Federal University in Nigeria</w:t>
            </w:r>
          </w:p>
        </w:tc>
        <w:tc>
          <w:tcPr>
            <w:tcW w:w="624" w:type="dxa"/>
            <w:tcBorders>
              <w:top w:val="single" w:sz="4" w:space="0" w:color="auto"/>
              <w:left w:val="nil"/>
              <w:bottom w:val="single" w:sz="4" w:space="0" w:color="auto"/>
              <w:right w:val="single" w:sz="4" w:space="0" w:color="auto"/>
            </w:tcBorders>
          </w:tcPr>
          <w:p w14:paraId="30774C12" w14:textId="77777777" w:rsidR="001616E5" w:rsidRPr="008B1465" w:rsidRDefault="001616E5" w:rsidP="009274B4">
            <w:pPr>
              <w:spacing w:before="0" w:beforeAutospacing="0" w:after="0" w:line="276" w:lineRule="auto"/>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6BAE1D49" w14:textId="77777777" w:rsidR="001616E5" w:rsidRPr="008B1465" w:rsidRDefault="001616E5" w:rsidP="009274B4">
            <w:pPr>
              <w:spacing w:before="0" w:beforeAutospacing="0" w:after="0" w:line="276" w:lineRule="auto"/>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11A6760E" w14:textId="77777777" w:rsidR="001616E5" w:rsidRPr="008B1465" w:rsidRDefault="001616E5" w:rsidP="009274B4">
            <w:pPr>
              <w:spacing w:before="0" w:beforeAutospacing="0" w:after="0" w:line="276" w:lineRule="auto"/>
              <w:rPr>
                <w:rFonts w:ascii="Times New Roman" w:hAnsi="Times New Roman"/>
                <w:sz w:val="24"/>
                <w:szCs w:val="24"/>
              </w:rPr>
            </w:pPr>
          </w:p>
        </w:tc>
        <w:tc>
          <w:tcPr>
            <w:tcW w:w="618" w:type="dxa"/>
            <w:tcBorders>
              <w:top w:val="single" w:sz="4" w:space="0" w:color="auto"/>
              <w:left w:val="nil"/>
              <w:bottom w:val="single" w:sz="4" w:space="0" w:color="auto"/>
              <w:right w:val="single" w:sz="4" w:space="0" w:color="auto"/>
            </w:tcBorders>
          </w:tcPr>
          <w:p w14:paraId="3A0BA65E" w14:textId="77777777" w:rsidR="001616E5" w:rsidRPr="008B1465" w:rsidRDefault="001616E5" w:rsidP="009274B4">
            <w:pPr>
              <w:spacing w:before="0" w:beforeAutospacing="0" w:after="0" w:line="276" w:lineRule="auto"/>
              <w:rPr>
                <w:rFonts w:ascii="Times New Roman" w:hAnsi="Times New Roman"/>
                <w:sz w:val="24"/>
                <w:szCs w:val="24"/>
              </w:rPr>
            </w:pPr>
          </w:p>
        </w:tc>
        <w:tc>
          <w:tcPr>
            <w:tcW w:w="627" w:type="dxa"/>
            <w:tcBorders>
              <w:top w:val="single" w:sz="4" w:space="0" w:color="auto"/>
              <w:left w:val="nil"/>
              <w:bottom w:val="single" w:sz="4" w:space="0" w:color="auto"/>
              <w:right w:val="single" w:sz="4" w:space="0" w:color="auto"/>
            </w:tcBorders>
          </w:tcPr>
          <w:p w14:paraId="6BFA2F39" w14:textId="77777777" w:rsidR="001616E5" w:rsidRPr="008B1465" w:rsidRDefault="001616E5" w:rsidP="009274B4">
            <w:pPr>
              <w:spacing w:before="0" w:beforeAutospacing="0" w:after="0" w:line="276" w:lineRule="auto"/>
              <w:rPr>
                <w:rFonts w:ascii="Times New Roman" w:hAnsi="Times New Roman"/>
                <w:sz w:val="24"/>
                <w:szCs w:val="24"/>
              </w:rPr>
            </w:pPr>
          </w:p>
        </w:tc>
      </w:tr>
      <w:tr w:rsidR="000B5622" w:rsidRPr="008B1465" w14:paraId="26BBE4A2" w14:textId="77777777">
        <w:trPr>
          <w:trHeight w:val="90"/>
        </w:trPr>
        <w:tc>
          <w:tcPr>
            <w:tcW w:w="630" w:type="dxa"/>
            <w:tcBorders>
              <w:top w:val="single" w:sz="4" w:space="0" w:color="auto"/>
              <w:left w:val="single" w:sz="4" w:space="0" w:color="auto"/>
              <w:bottom w:val="single" w:sz="4" w:space="0" w:color="auto"/>
              <w:right w:val="single" w:sz="4" w:space="0" w:color="auto"/>
            </w:tcBorders>
          </w:tcPr>
          <w:p w14:paraId="31A68522" w14:textId="77777777" w:rsidR="001616E5" w:rsidRPr="008B1465" w:rsidRDefault="001616E5" w:rsidP="009274B4">
            <w:pPr>
              <w:pStyle w:val="ListParagraph"/>
              <w:numPr>
                <w:ilvl w:val="0"/>
                <w:numId w:val="5"/>
              </w:numPr>
              <w:spacing w:before="0" w:beforeAutospacing="0" w:after="0" w:line="276" w:lineRule="auto"/>
              <w:jc w:val="center"/>
              <w:rPr>
                <w:rFonts w:ascii="Times New Roman" w:hAnsi="Times New Roman"/>
                <w:sz w:val="24"/>
                <w:szCs w:val="24"/>
              </w:rPr>
            </w:pPr>
          </w:p>
        </w:tc>
        <w:tc>
          <w:tcPr>
            <w:tcW w:w="6379" w:type="dxa"/>
            <w:tcBorders>
              <w:top w:val="single" w:sz="4" w:space="0" w:color="auto"/>
              <w:left w:val="nil"/>
              <w:bottom w:val="single" w:sz="4" w:space="0" w:color="auto"/>
              <w:right w:val="single" w:sz="4" w:space="0" w:color="auto"/>
            </w:tcBorders>
          </w:tcPr>
          <w:p w14:paraId="5C4E418A" w14:textId="77777777" w:rsidR="001616E5" w:rsidRPr="008B1465" w:rsidRDefault="003F05E3" w:rsidP="009274B4">
            <w:pPr>
              <w:spacing w:before="0" w:beforeAutospacing="0" w:after="0" w:line="276" w:lineRule="auto"/>
              <w:jc w:val="both"/>
              <w:rPr>
                <w:rFonts w:ascii="Times New Roman" w:hAnsi="Times New Roman"/>
                <w:sz w:val="24"/>
                <w:szCs w:val="24"/>
              </w:rPr>
            </w:pPr>
            <w:r w:rsidRPr="008B1465">
              <w:rPr>
                <w:rFonts w:ascii="Times New Roman" w:hAnsi="Times New Roman"/>
                <w:sz w:val="24"/>
                <w:szCs w:val="24"/>
              </w:rPr>
              <w:t>The accounting digital investigation knowledge acquired has improved the skills and ability of the investigator to obtain concrete evidence in fraud-related cases</w:t>
            </w:r>
          </w:p>
        </w:tc>
        <w:tc>
          <w:tcPr>
            <w:tcW w:w="624" w:type="dxa"/>
            <w:tcBorders>
              <w:top w:val="single" w:sz="4" w:space="0" w:color="auto"/>
              <w:left w:val="nil"/>
              <w:bottom w:val="single" w:sz="4" w:space="0" w:color="auto"/>
              <w:right w:val="single" w:sz="4" w:space="0" w:color="auto"/>
            </w:tcBorders>
          </w:tcPr>
          <w:p w14:paraId="41354351" w14:textId="77777777" w:rsidR="001616E5" w:rsidRPr="008B1465" w:rsidRDefault="001616E5" w:rsidP="009274B4">
            <w:pPr>
              <w:spacing w:before="0" w:beforeAutospacing="0" w:after="0" w:line="276" w:lineRule="auto"/>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336461C1" w14:textId="77777777" w:rsidR="001616E5" w:rsidRPr="008B1465" w:rsidRDefault="001616E5" w:rsidP="009274B4">
            <w:pPr>
              <w:spacing w:before="0" w:beforeAutospacing="0" w:after="0" w:line="276" w:lineRule="auto"/>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2D06EF19" w14:textId="77777777" w:rsidR="001616E5" w:rsidRPr="008B1465" w:rsidRDefault="001616E5" w:rsidP="009274B4">
            <w:pPr>
              <w:spacing w:before="0" w:beforeAutospacing="0" w:after="0" w:line="276" w:lineRule="auto"/>
              <w:rPr>
                <w:rFonts w:ascii="Times New Roman" w:hAnsi="Times New Roman"/>
                <w:sz w:val="24"/>
                <w:szCs w:val="24"/>
              </w:rPr>
            </w:pPr>
          </w:p>
        </w:tc>
        <w:tc>
          <w:tcPr>
            <w:tcW w:w="618" w:type="dxa"/>
            <w:tcBorders>
              <w:top w:val="single" w:sz="4" w:space="0" w:color="auto"/>
              <w:left w:val="nil"/>
              <w:bottom w:val="single" w:sz="4" w:space="0" w:color="auto"/>
              <w:right w:val="single" w:sz="4" w:space="0" w:color="auto"/>
            </w:tcBorders>
          </w:tcPr>
          <w:p w14:paraId="7E0F5E95" w14:textId="77777777" w:rsidR="001616E5" w:rsidRPr="008B1465" w:rsidRDefault="001616E5" w:rsidP="009274B4">
            <w:pPr>
              <w:spacing w:before="0" w:beforeAutospacing="0" w:after="0" w:line="276" w:lineRule="auto"/>
              <w:rPr>
                <w:rFonts w:ascii="Times New Roman" w:hAnsi="Times New Roman"/>
                <w:sz w:val="24"/>
                <w:szCs w:val="24"/>
              </w:rPr>
            </w:pPr>
          </w:p>
        </w:tc>
        <w:tc>
          <w:tcPr>
            <w:tcW w:w="627" w:type="dxa"/>
            <w:tcBorders>
              <w:top w:val="single" w:sz="4" w:space="0" w:color="auto"/>
              <w:left w:val="nil"/>
              <w:bottom w:val="single" w:sz="4" w:space="0" w:color="auto"/>
              <w:right w:val="single" w:sz="4" w:space="0" w:color="auto"/>
            </w:tcBorders>
          </w:tcPr>
          <w:p w14:paraId="2EAC656D" w14:textId="77777777" w:rsidR="001616E5" w:rsidRPr="008B1465" w:rsidRDefault="001616E5" w:rsidP="009274B4">
            <w:pPr>
              <w:spacing w:before="0" w:beforeAutospacing="0" w:after="0" w:line="276" w:lineRule="auto"/>
              <w:rPr>
                <w:rFonts w:ascii="Times New Roman" w:hAnsi="Times New Roman"/>
                <w:sz w:val="24"/>
                <w:szCs w:val="24"/>
              </w:rPr>
            </w:pPr>
          </w:p>
        </w:tc>
      </w:tr>
      <w:tr w:rsidR="000B5622" w:rsidRPr="008B1465" w14:paraId="3AD3AF8A" w14:textId="77777777">
        <w:tc>
          <w:tcPr>
            <w:tcW w:w="630" w:type="dxa"/>
            <w:tcBorders>
              <w:top w:val="single" w:sz="4" w:space="0" w:color="auto"/>
              <w:left w:val="single" w:sz="4" w:space="0" w:color="auto"/>
              <w:bottom w:val="single" w:sz="4" w:space="0" w:color="auto"/>
              <w:right w:val="single" w:sz="4" w:space="0" w:color="auto"/>
            </w:tcBorders>
          </w:tcPr>
          <w:p w14:paraId="113EF31F" w14:textId="77777777" w:rsidR="001616E5" w:rsidRPr="008B1465" w:rsidRDefault="001616E5" w:rsidP="009274B4">
            <w:pPr>
              <w:pStyle w:val="ListParagraph"/>
              <w:numPr>
                <w:ilvl w:val="0"/>
                <w:numId w:val="5"/>
              </w:numPr>
              <w:spacing w:before="0" w:beforeAutospacing="0" w:after="0" w:line="276" w:lineRule="auto"/>
              <w:jc w:val="center"/>
              <w:rPr>
                <w:rFonts w:ascii="Times New Roman" w:hAnsi="Times New Roman"/>
                <w:sz w:val="24"/>
                <w:szCs w:val="24"/>
              </w:rPr>
            </w:pPr>
          </w:p>
        </w:tc>
        <w:tc>
          <w:tcPr>
            <w:tcW w:w="6379" w:type="dxa"/>
            <w:tcBorders>
              <w:top w:val="single" w:sz="4" w:space="0" w:color="auto"/>
              <w:left w:val="nil"/>
              <w:bottom w:val="single" w:sz="4" w:space="0" w:color="auto"/>
              <w:right w:val="single" w:sz="4" w:space="0" w:color="auto"/>
            </w:tcBorders>
          </w:tcPr>
          <w:p w14:paraId="37019EB0" w14:textId="77777777" w:rsidR="001616E5" w:rsidRPr="008B1465" w:rsidRDefault="003F05E3" w:rsidP="009274B4">
            <w:pPr>
              <w:spacing w:before="0" w:beforeAutospacing="0" w:after="0" w:line="276" w:lineRule="auto"/>
              <w:jc w:val="both"/>
              <w:rPr>
                <w:rFonts w:ascii="Times New Roman" w:hAnsi="Times New Roman"/>
                <w:sz w:val="24"/>
                <w:szCs w:val="24"/>
              </w:rPr>
            </w:pPr>
            <w:r w:rsidRPr="008B1465">
              <w:rPr>
                <w:rFonts w:ascii="Times New Roman" w:hAnsi="Times New Roman"/>
                <w:sz w:val="24"/>
                <w:szCs w:val="24"/>
              </w:rPr>
              <w:t>Lack of sound knowledge of forensic accounting hinders investigators from obtaining significant evidence against fraudsters</w:t>
            </w:r>
          </w:p>
        </w:tc>
        <w:tc>
          <w:tcPr>
            <w:tcW w:w="624" w:type="dxa"/>
            <w:tcBorders>
              <w:top w:val="single" w:sz="4" w:space="0" w:color="auto"/>
              <w:left w:val="nil"/>
              <w:bottom w:val="single" w:sz="4" w:space="0" w:color="auto"/>
              <w:right w:val="single" w:sz="4" w:space="0" w:color="auto"/>
            </w:tcBorders>
          </w:tcPr>
          <w:p w14:paraId="5431A924" w14:textId="77777777" w:rsidR="001616E5" w:rsidRPr="008B1465" w:rsidRDefault="001616E5" w:rsidP="009274B4">
            <w:pPr>
              <w:spacing w:before="0" w:beforeAutospacing="0" w:after="0" w:line="276" w:lineRule="auto"/>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1032B6CD" w14:textId="77777777" w:rsidR="001616E5" w:rsidRPr="008B1465" w:rsidRDefault="001616E5" w:rsidP="009274B4">
            <w:pPr>
              <w:spacing w:before="0" w:beforeAutospacing="0" w:after="0" w:line="276" w:lineRule="auto"/>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049B9F75" w14:textId="77777777" w:rsidR="001616E5" w:rsidRPr="008B1465" w:rsidRDefault="001616E5" w:rsidP="009274B4">
            <w:pPr>
              <w:spacing w:before="0" w:beforeAutospacing="0" w:after="0" w:line="276" w:lineRule="auto"/>
              <w:rPr>
                <w:rFonts w:ascii="Times New Roman" w:hAnsi="Times New Roman"/>
                <w:sz w:val="24"/>
                <w:szCs w:val="24"/>
              </w:rPr>
            </w:pPr>
          </w:p>
        </w:tc>
        <w:tc>
          <w:tcPr>
            <w:tcW w:w="618" w:type="dxa"/>
            <w:tcBorders>
              <w:top w:val="single" w:sz="4" w:space="0" w:color="auto"/>
              <w:left w:val="nil"/>
              <w:bottom w:val="single" w:sz="4" w:space="0" w:color="auto"/>
              <w:right w:val="single" w:sz="4" w:space="0" w:color="auto"/>
            </w:tcBorders>
          </w:tcPr>
          <w:p w14:paraId="6140FBD5" w14:textId="77777777" w:rsidR="001616E5" w:rsidRPr="008B1465" w:rsidRDefault="001616E5" w:rsidP="009274B4">
            <w:pPr>
              <w:spacing w:before="0" w:beforeAutospacing="0" w:after="0" w:line="276" w:lineRule="auto"/>
              <w:rPr>
                <w:rFonts w:ascii="Times New Roman" w:hAnsi="Times New Roman"/>
                <w:sz w:val="24"/>
                <w:szCs w:val="24"/>
              </w:rPr>
            </w:pPr>
          </w:p>
        </w:tc>
        <w:tc>
          <w:tcPr>
            <w:tcW w:w="627" w:type="dxa"/>
            <w:tcBorders>
              <w:top w:val="single" w:sz="4" w:space="0" w:color="auto"/>
              <w:left w:val="nil"/>
              <w:bottom w:val="single" w:sz="4" w:space="0" w:color="auto"/>
              <w:right w:val="single" w:sz="4" w:space="0" w:color="auto"/>
            </w:tcBorders>
          </w:tcPr>
          <w:p w14:paraId="1509FA4A" w14:textId="77777777" w:rsidR="001616E5" w:rsidRPr="008B1465" w:rsidRDefault="001616E5" w:rsidP="009274B4">
            <w:pPr>
              <w:spacing w:before="0" w:beforeAutospacing="0" w:after="0" w:line="276" w:lineRule="auto"/>
              <w:rPr>
                <w:rFonts w:ascii="Times New Roman" w:hAnsi="Times New Roman"/>
                <w:sz w:val="24"/>
                <w:szCs w:val="24"/>
              </w:rPr>
            </w:pPr>
          </w:p>
        </w:tc>
      </w:tr>
      <w:tr w:rsidR="000B5622" w:rsidRPr="008B1465" w14:paraId="55EF8687" w14:textId="77777777">
        <w:tc>
          <w:tcPr>
            <w:tcW w:w="630" w:type="dxa"/>
            <w:tcBorders>
              <w:top w:val="single" w:sz="4" w:space="0" w:color="auto"/>
              <w:left w:val="single" w:sz="4" w:space="0" w:color="auto"/>
              <w:bottom w:val="single" w:sz="4" w:space="0" w:color="auto"/>
              <w:right w:val="single" w:sz="4" w:space="0" w:color="auto"/>
            </w:tcBorders>
          </w:tcPr>
          <w:p w14:paraId="660225FC" w14:textId="77777777" w:rsidR="001616E5" w:rsidRPr="008B1465" w:rsidRDefault="001616E5" w:rsidP="009274B4">
            <w:pPr>
              <w:pStyle w:val="ListParagraph"/>
              <w:numPr>
                <w:ilvl w:val="0"/>
                <w:numId w:val="5"/>
              </w:numPr>
              <w:spacing w:before="0" w:beforeAutospacing="0" w:after="0" w:line="276" w:lineRule="auto"/>
              <w:jc w:val="both"/>
              <w:rPr>
                <w:rFonts w:ascii="Times New Roman" w:hAnsi="Times New Roman"/>
                <w:sz w:val="24"/>
                <w:szCs w:val="24"/>
              </w:rPr>
            </w:pPr>
          </w:p>
        </w:tc>
        <w:tc>
          <w:tcPr>
            <w:tcW w:w="6379" w:type="dxa"/>
            <w:tcBorders>
              <w:top w:val="single" w:sz="4" w:space="0" w:color="auto"/>
              <w:left w:val="nil"/>
              <w:bottom w:val="single" w:sz="4" w:space="0" w:color="auto"/>
              <w:right w:val="single" w:sz="4" w:space="0" w:color="auto"/>
            </w:tcBorders>
          </w:tcPr>
          <w:p w14:paraId="7B78211D" w14:textId="77777777" w:rsidR="001616E5" w:rsidRPr="008B1465" w:rsidRDefault="003F05E3" w:rsidP="009274B4">
            <w:pPr>
              <w:spacing w:before="0" w:beforeAutospacing="0" w:after="0" w:line="276" w:lineRule="auto"/>
              <w:jc w:val="both"/>
              <w:rPr>
                <w:rFonts w:ascii="Times New Roman" w:hAnsi="Times New Roman"/>
                <w:sz w:val="24"/>
                <w:szCs w:val="24"/>
              </w:rPr>
            </w:pPr>
            <w:r w:rsidRPr="008B1465">
              <w:rPr>
                <w:rFonts w:ascii="Times New Roman" w:hAnsi="Times New Roman"/>
                <w:sz w:val="24"/>
                <w:szCs w:val="24"/>
              </w:rPr>
              <w:t>A forensic accountant who also doubles as a psychologist can reliably obtain evidence, present evidence, and prosecute offenders.</w:t>
            </w:r>
          </w:p>
        </w:tc>
        <w:tc>
          <w:tcPr>
            <w:tcW w:w="624" w:type="dxa"/>
            <w:tcBorders>
              <w:top w:val="single" w:sz="4" w:space="0" w:color="auto"/>
              <w:left w:val="nil"/>
              <w:bottom w:val="single" w:sz="4" w:space="0" w:color="auto"/>
              <w:right w:val="single" w:sz="4" w:space="0" w:color="auto"/>
            </w:tcBorders>
          </w:tcPr>
          <w:p w14:paraId="4A9B5D4E"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45575845"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42E22E3A"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618" w:type="dxa"/>
            <w:tcBorders>
              <w:top w:val="single" w:sz="4" w:space="0" w:color="auto"/>
              <w:left w:val="nil"/>
              <w:bottom w:val="single" w:sz="4" w:space="0" w:color="auto"/>
              <w:right w:val="single" w:sz="4" w:space="0" w:color="auto"/>
            </w:tcBorders>
          </w:tcPr>
          <w:p w14:paraId="7A1434C5"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627" w:type="dxa"/>
            <w:tcBorders>
              <w:top w:val="single" w:sz="4" w:space="0" w:color="auto"/>
              <w:left w:val="nil"/>
              <w:bottom w:val="single" w:sz="4" w:space="0" w:color="auto"/>
              <w:right w:val="single" w:sz="4" w:space="0" w:color="auto"/>
            </w:tcBorders>
          </w:tcPr>
          <w:p w14:paraId="74395144" w14:textId="77777777" w:rsidR="001616E5" w:rsidRPr="008B1465" w:rsidRDefault="001616E5" w:rsidP="009274B4">
            <w:pPr>
              <w:spacing w:before="0" w:beforeAutospacing="0" w:after="0" w:line="276" w:lineRule="auto"/>
              <w:jc w:val="both"/>
              <w:rPr>
                <w:rFonts w:ascii="Times New Roman" w:hAnsi="Times New Roman"/>
                <w:sz w:val="24"/>
                <w:szCs w:val="24"/>
              </w:rPr>
            </w:pPr>
          </w:p>
        </w:tc>
      </w:tr>
      <w:tr w:rsidR="000B5622" w:rsidRPr="008B1465" w14:paraId="3E786F68" w14:textId="77777777">
        <w:tc>
          <w:tcPr>
            <w:tcW w:w="630" w:type="dxa"/>
            <w:tcBorders>
              <w:top w:val="single" w:sz="4" w:space="0" w:color="auto"/>
              <w:left w:val="single" w:sz="4" w:space="0" w:color="auto"/>
              <w:bottom w:val="single" w:sz="4" w:space="0" w:color="auto"/>
              <w:right w:val="single" w:sz="4" w:space="0" w:color="auto"/>
            </w:tcBorders>
          </w:tcPr>
          <w:p w14:paraId="6108C760" w14:textId="77777777" w:rsidR="001616E5" w:rsidRPr="008B1465" w:rsidRDefault="001616E5" w:rsidP="009274B4">
            <w:pPr>
              <w:pStyle w:val="ListParagraph"/>
              <w:numPr>
                <w:ilvl w:val="0"/>
                <w:numId w:val="5"/>
              </w:numPr>
              <w:spacing w:before="0" w:beforeAutospacing="0" w:after="0" w:line="276" w:lineRule="auto"/>
              <w:jc w:val="both"/>
              <w:rPr>
                <w:rFonts w:ascii="Times New Roman" w:hAnsi="Times New Roman"/>
                <w:sz w:val="24"/>
                <w:szCs w:val="24"/>
              </w:rPr>
            </w:pPr>
          </w:p>
        </w:tc>
        <w:tc>
          <w:tcPr>
            <w:tcW w:w="6379" w:type="dxa"/>
            <w:tcBorders>
              <w:top w:val="single" w:sz="4" w:space="0" w:color="auto"/>
              <w:left w:val="nil"/>
              <w:bottom w:val="single" w:sz="4" w:space="0" w:color="auto"/>
              <w:right w:val="single" w:sz="4" w:space="0" w:color="auto"/>
            </w:tcBorders>
          </w:tcPr>
          <w:p w14:paraId="28D5A204" w14:textId="77777777" w:rsidR="001616E5" w:rsidRPr="008B1465" w:rsidRDefault="003F05E3" w:rsidP="009274B4">
            <w:pPr>
              <w:spacing w:before="0" w:beforeAutospacing="0" w:after="0" w:line="276" w:lineRule="auto"/>
              <w:jc w:val="both"/>
              <w:rPr>
                <w:rFonts w:ascii="Times New Roman" w:hAnsi="Times New Roman"/>
                <w:sz w:val="24"/>
                <w:szCs w:val="24"/>
              </w:rPr>
            </w:pPr>
            <w:r w:rsidRPr="008B1465">
              <w:rPr>
                <w:rFonts w:ascii="Times New Roman" w:hAnsi="Times New Roman"/>
                <w:sz w:val="24"/>
                <w:szCs w:val="24"/>
              </w:rPr>
              <w:t>Where fraud involves employees my university forensic accountants are involved in the investigation</w:t>
            </w:r>
          </w:p>
        </w:tc>
        <w:tc>
          <w:tcPr>
            <w:tcW w:w="624" w:type="dxa"/>
            <w:tcBorders>
              <w:top w:val="single" w:sz="4" w:space="0" w:color="auto"/>
              <w:left w:val="nil"/>
              <w:bottom w:val="single" w:sz="4" w:space="0" w:color="auto"/>
              <w:right w:val="single" w:sz="4" w:space="0" w:color="auto"/>
            </w:tcBorders>
          </w:tcPr>
          <w:p w14:paraId="26B53BC3"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11C2662F"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69D6D158"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618" w:type="dxa"/>
            <w:tcBorders>
              <w:top w:val="single" w:sz="4" w:space="0" w:color="auto"/>
              <w:left w:val="nil"/>
              <w:bottom w:val="single" w:sz="4" w:space="0" w:color="auto"/>
              <w:right w:val="single" w:sz="4" w:space="0" w:color="auto"/>
            </w:tcBorders>
          </w:tcPr>
          <w:p w14:paraId="712A069D"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627" w:type="dxa"/>
            <w:tcBorders>
              <w:top w:val="single" w:sz="4" w:space="0" w:color="auto"/>
              <w:left w:val="nil"/>
              <w:bottom w:val="single" w:sz="4" w:space="0" w:color="auto"/>
              <w:right w:val="single" w:sz="4" w:space="0" w:color="auto"/>
            </w:tcBorders>
          </w:tcPr>
          <w:p w14:paraId="744CB995" w14:textId="77777777" w:rsidR="001616E5" w:rsidRPr="008B1465" w:rsidRDefault="001616E5" w:rsidP="009274B4">
            <w:pPr>
              <w:spacing w:before="0" w:beforeAutospacing="0" w:after="0" w:line="276" w:lineRule="auto"/>
              <w:jc w:val="both"/>
              <w:rPr>
                <w:rFonts w:ascii="Times New Roman" w:hAnsi="Times New Roman"/>
                <w:sz w:val="24"/>
                <w:szCs w:val="24"/>
              </w:rPr>
            </w:pPr>
          </w:p>
        </w:tc>
      </w:tr>
      <w:tr w:rsidR="000B5622" w:rsidRPr="008B1465" w14:paraId="35F49CE8" w14:textId="77777777">
        <w:tc>
          <w:tcPr>
            <w:tcW w:w="630" w:type="dxa"/>
            <w:tcBorders>
              <w:top w:val="single" w:sz="4" w:space="0" w:color="auto"/>
              <w:left w:val="single" w:sz="4" w:space="0" w:color="auto"/>
              <w:bottom w:val="single" w:sz="4" w:space="0" w:color="auto"/>
              <w:right w:val="single" w:sz="4" w:space="0" w:color="auto"/>
            </w:tcBorders>
          </w:tcPr>
          <w:p w14:paraId="2D56C060" w14:textId="77777777" w:rsidR="001616E5" w:rsidRPr="008B1465" w:rsidRDefault="001616E5" w:rsidP="009274B4">
            <w:pPr>
              <w:pStyle w:val="ListParagraph"/>
              <w:numPr>
                <w:ilvl w:val="0"/>
                <w:numId w:val="5"/>
              </w:numPr>
              <w:spacing w:before="0" w:beforeAutospacing="0" w:after="0" w:line="276" w:lineRule="auto"/>
              <w:jc w:val="both"/>
              <w:rPr>
                <w:rFonts w:ascii="Times New Roman" w:hAnsi="Times New Roman"/>
                <w:sz w:val="24"/>
                <w:szCs w:val="24"/>
              </w:rPr>
            </w:pPr>
          </w:p>
        </w:tc>
        <w:tc>
          <w:tcPr>
            <w:tcW w:w="6379" w:type="dxa"/>
            <w:tcBorders>
              <w:top w:val="single" w:sz="4" w:space="0" w:color="auto"/>
              <w:left w:val="nil"/>
              <w:bottom w:val="single" w:sz="4" w:space="0" w:color="auto"/>
              <w:right w:val="single" w:sz="4" w:space="0" w:color="auto"/>
            </w:tcBorders>
          </w:tcPr>
          <w:p w14:paraId="741EE34F" w14:textId="77777777" w:rsidR="001616E5" w:rsidRPr="008B1465" w:rsidRDefault="003F05E3" w:rsidP="009274B4">
            <w:pPr>
              <w:spacing w:before="0" w:beforeAutospacing="0" w:after="0" w:line="276" w:lineRule="auto"/>
              <w:jc w:val="both"/>
              <w:rPr>
                <w:rFonts w:ascii="Times New Roman" w:hAnsi="Times New Roman"/>
                <w:sz w:val="24"/>
                <w:szCs w:val="24"/>
              </w:rPr>
            </w:pPr>
            <w:r w:rsidRPr="008B1465">
              <w:rPr>
                <w:rFonts w:ascii="Times New Roman" w:hAnsi="Times New Roman"/>
                <w:sz w:val="24"/>
                <w:szCs w:val="24"/>
              </w:rPr>
              <w:t>The misuse of non-financial resources is also investigated by investigative accountants where substantial loss is involved</w:t>
            </w:r>
          </w:p>
        </w:tc>
        <w:tc>
          <w:tcPr>
            <w:tcW w:w="624" w:type="dxa"/>
            <w:tcBorders>
              <w:top w:val="single" w:sz="4" w:space="0" w:color="auto"/>
              <w:left w:val="nil"/>
              <w:bottom w:val="single" w:sz="4" w:space="0" w:color="auto"/>
              <w:right w:val="single" w:sz="4" w:space="0" w:color="auto"/>
            </w:tcBorders>
          </w:tcPr>
          <w:p w14:paraId="600355FE"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7B06DAB2"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5100CE4E"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618" w:type="dxa"/>
            <w:tcBorders>
              <w:top w:val="single" w:sz="4" w:space="0" w:color="auto"/>
              <w:left w:val="nil"/>
              <w:bottom w:val="single" w:sz="4" w:space="0" w:color="auto"/>
              <w:right w:val="single" w:sz="4" w:space="0" w:color="auto"/>
            </w:tcBorders>
          </w:tcPr>
          <w:p w14:paraId="26F7790E"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627" w:type="dxa"/>
            <w:tcBorders>
              <w:top w:val="single" w:sz="4" w:space="0" w:color="auto"/>
              <w:left w:val="nil"/>
              <w:bottom w:val="single" w:sz="4" w:space="0" w:color="auto"/>
              <w:right w:val="single" w:sz="4" w:space="0" w:color="auto"/>
            </w:tcBorders>
          </w:tcPr>
          <w:p w14:paraId="7EEBC514" w14:textId="77777777" w:rsidR="001616E5" w:rsidRPr="008B1465" w:rsidRDefault="001616E5" w:rsidP="009274B4">
            <w:pPr>
              <w:spacing w:before="0" w:beforeAutospacing="0" w:after="0" w:line="276" w:lineRule="auto"/>
              <w:jc w:val="both"/>
              <w:rPr>
                <w:rFonts w:ascii="Times New Roman" w:hAnsi="Times New Roman"/>
                <w:sz w:val="24"/>
                <w:szCs w:val="24"/>
              </w:rPr>
            </w:pPr>
          </w:p>
        </w:tc>
      </w:tr>
      <w:tr w:rsidR="000B5622" w:rsidRPr="008B1465" w14:paraId="6DB6801F" w14:textId="77777777">
        <w:tc>
          <w:tcPr>
            <w:tcW w:w="9942" w:type="dxa"/>
            <w:gridSpan w:val="7"/>
            <w:tcBorders>
              <w:top w:val="single" w:sz="4" w:space="0" w:color="auto"/>
              <w:left w:val="nil"/>
              <w:bottom w:val="single" w:sz="4" w:space="0" w:color="auto"/>
              <w:right w:val="nil"/>
            </w:tcBorders>
          </w:tcPr>
          <w:p w14:paraId="043447E0" w14:textId="77777777" w:rsidR="001616E5" w:rsidRPr="008B1465" w:rsidRDefault="001616E5" w:rsidP="009274B4">
            <w:pPr>
              <w:spacing w:before="0" w:beforeAutospacing="0" w:after="0" w:line="276" w:lineRule="auto"/>
              <w:jc w:val="both"/>
              <w:rPr>
                <w:rFonts w:ascii="Times New Roman" w:hAnsi="Times New Roman"/>
                <w:b/>
                <w:bCs/>
                <w:sz w:val="24"/>
                <w:szCs w:val="24"/>
              </w:rPr>
            </w:pPr>
          </w:p>
          <w:p w14:paraId="64B61CD0" w14:textId="77777777" w:rsidR="001616E5" w:rsidRPr="008B1465" w:rsidRDefault="001616E5" w:rsidP="009274B4">
            <w:pPr>
              <w:spacing w:before="0" w:beforeAutospacing="0" w:after="0" w:line="276" w:lineRule="auto"/>
              <w:jc w:val="both"/>
              <w:rPr>
                <w:rFonts w:ascii="Times New Roman" w:hAnsi="Times New Roman"/>
                <w:sz w:val="24"/>
                <w:szCs w:val="24"/>
              </w:rPr>
            </w:pPr>
          </w:p>
          <w:p w14:paraId="397C397F" w14:textId="77777777" w:rsidR="001616E5" w:rsidRPr="008B1465" w:rsidRDefault="003F05E3" w:rsidP="0050580A">
            <w:pPr>
              <w:numPr>
                <w:ilvl w:val="0"/>
                <w:numId w:val="4"/>
              </w:numPr>
              <w:spacing w:before="0" w:beforeAutospacing="0" w:after="0" w:line="276" w:lineRule="auto"/>
              <w:jc w:val="center"/>
              <w:rPr>
                <w:rFonts w:ascii="Times New Roman" w:hAnsi="Times New Roman"/>
                <w:b/>
                <w:bCs/>
                <w:sz w:val="24"/>
                <w:szCs w:val="24"/>
              </w:rPr>
            </w:pPr>
            <w:r w:rsidRPr="008B1465">
              <w:rPr>
                <w:rFonts w:ascii="Times New Roman" w:hAnsi="Times New Roman"/>
                <w:b/>
                <w:bCs/>
                <w:sz w:val="24"/>
                <w:szCs w:val="24"/>
              </w:rPr>
              <w:t>Litigation Services</w:t>
            </w:r>
          </w:p>
        </w:tc>
      </w:tr>
      <w:tr w:rsidR="000B5622" w:rsidRPr="008B1465" w14:paraId="11207341" w14:textId="77777777">
        <w:tc>
          <w:tcPr>
            <w:tcW w:w="630" w:type="dxa"/>
            <w:tcBorders>
              <w:top w:val="single" w:sz="4" w:space="0" w:color="auto"/>
              <w:left w:val="single" w:sz="4" w:space="0" w:color="auto"/>
              <w:bottom w:val="single" w:sz="4" w:space="0" w:color="auto"/>
              <w:right w:val="single" w:sz="4" w:space="0" w:color="auto"/>
            </w:tcBorders>
          </w:tcPr>
          <w:p w14:paraId="0D5E0DF1" w14:textId="77777777" w:rsidR="001616E5" w:rsidRPr="008B1465" w:rsidRDefault="003F05E3" w:rsidP="009274B4">
            <w:pPr>
              <w:spacing w:before="0" w:beforeAutospacing="0" w:after="0" w:line="276" w:lineRule="auto"/>
              <w:jc w:val="both"/>
              <w:rPr>
                <w:rFonts w:ascii="Times New Roman" w:hAnsi="Times New Roman"/>
                <w:sz w:val="24"/>
                <w:szCs w:val="24"/>
              </w:rPr>
            </w:pPr>
            <w:r w:rsidRPr="008B1465">
              <w:rPr>
                <w:rFonts w:ascii="Times New Roman" w:hAnsi="Times New Roman"/>
                <w:sz w:val="24"/>
                <w:szCs w:val="24"/>
              </w:rPr>
              <w:t>S/N</w:t>
            </w:r>
          </w:p>
        </w:tc>
        <w:tc>
          <w:tcPr>
            <w:tcW w:w="6379" w:type="dxa"/>
            <w:tcBorders>
              <w:top w:val="single" w:sz="4" w:space="0" w:color="auto"/>
              <w:left w:val="nil"/>
              <w:bottom w:val="single" w:sz="4" w:space="0" w:color="auto"/>
              <w:right w:val="single" w:sz="4" w:space="0" w:color="auto"/>
            </w:tcBorders>
          </w:tcPr>
          <w:p w14:paraId="6C498095" w14:textId="77777777" w:rsidR="001616E5" w:rsidRPr="008B1465" w:rsidRDefault="003F05E3" w:rsidP="009274B4">
            <w:pPr>
              <w:spacing w:before="0" w:beforeAutospacing="0" w:after="0" w:line="276" w:lineRule="auto"/>
              <w:jc w:val="both"/>
              <w:rPr>
                <w:rFonts w:ascii="Times New Roman" w:hAnsi="Times New Roman"/>
                <w:b/>
                <w:bCs/>
                <w:sz w:val="24"/>
                <w:szCs w:val="24"/>
              </w:rPr>
            </w:pPr>
            <w:r w:rsidRPr="008B1465">
              <w:rPr>
                <w:rFonts w:ascii="Times New Roman" w:hAnsi="Times New Roman"/>
                <w:b/>
                <w:bCs/>
                <w:sz w:val="24"/>
                <w:szCs w:val="24"/>
              </w:rPr>
              <w:t>Items</w:t>
            </w:r>
          </w:p>
        </w:tc>
        <w:tc>
          <w:tcPr>
            <w:tcW w:w="624" w:type="dxa"/>
            <w:tcBorders>
              <w:top w:val="single" w:sz="4" w:space="0" w:color="auto"/>
              <w:left w:val="nil"/>
              <w:bottom w:val="single" w:sz="4" w:space="0" w:color="auto"/>
              <w:right w:val="single" w:sz="4" w:space="0" w:color="auto"/>
            </w:tcBorders>
            <w:vAlign w:val="center"/>
          </w:tcPr>
          <w:p w14:paraId="5AD6D082" w14:textId="77777777" w:rsidR="001616E5" w:rsidRPr="008B1465" w:rsidRDefault="003F05E3" w:rsidP="009274B4">
            <w:pPr>
              <w:spacing w:after="0" w:line="276" w:lineRule="auto"/>
              <w:jc w:val="both"/>
              <w:rPr>
                <w:rFonts w:ascii="Times New Roman" w:hAnsi="Times New Roman"/>
                <w:b/>
                <w:sz w:val="24"/>
                <w:szCs w:val="24"/>
              </w:rPr>
            </w:pPr>
            <w:r w:rsidRPr="008B1465">
              <w:rPr>
                <w:rFonts w:ascii="Times New Roman" w:hAnsi="Times New Roman"/>
                <w:b/>
                <w:sz w:val="24"/>
                <w:szCs w:val="24"/>
              </w:rPr>
              <w:t>SA</w:t>
            </w:r>
          </w:p>
        </w:tc>
        <w:tc>
          <w:tcPr>
            <w:tcW w:w="532" w:type="dxa"/>
            <w:tcBorders>
              <w:top w:val="single" w:sz="4" w:space="0" w:color="auto"/>
              <w:left w:val="nil"/>
              <w:bottom w:val="single" w:sz="4" w:space="0" w:color="auto"/>
              <w:right w:val="single" w:sz="4" w:space="0" w:color="auto"/>
            </w:tcBorders>
            <w:vAlign w:val="center"/>
          </w:tcPr>
          <w:p w14:paraId="7E09F925" w14:textId="77777777" w:rsidR="001616E5" w:rsidRPr="008B1465" w:rsidRDefault="003F05E3" w:rsidP="009274B4">
            <w:pPr>
              <w:spacing w:after="0" w:line="276" w:lineRule="auto"/>
              <w:jc w:val="both"/>
              <w:rPr>
                <w:rFonts w:ascii="Times New Roman" w:hAnsi="Times New Roman"/>
                <w:b/>
                <w:sz w:val="24"/>
                <w:szCs w:val="24"/>
              </w:rPr>
            </w:pPr>
            <w:r w:rsidRPr="008B1465">
              <w:rPr>
                <w:rFonts w:ascii="Times New Roman" w:hAnsi="Times New Roman"/>
                <w:b/>
                <w:sz w:val="24"/>
                <w:szCs w:val="24"/>
              </w:rPr>
              <w:t>A</w:t>
            </w:r>
          </w:p>
        </w:tc>
        <w:tc>
          <w:tcPr>
            <w:tcW w:w="532" w:type="dxa"/>
            <w:tcBorders>
              <w:top w:val="single" w:sz="4" w:space="0" w:color="auto"/>
              <w:left w:val="nil"/>
              <w:bottom w:val="single" w:sz="4" w:space="0" w:color="auto"/>
              <w:right w:val="single" w:sz="4" w:space="0" w:color="auto"/>
            </w:tcBorders>
            <w:vAlign w:val="center"/>
          </w:tcPr>
          <w:p w14:paraId="5FA7EC30" w14:textId="77777777" w:rsidR="001616E5" w:rsidRPr="008B1465" w:rsidRDefault="003F05E3" w:rsidP="009274B4">
            <w:pPr>
              <w:spacing w:after="0" w:line="276" w:lineRule="auto"/>
              <w:jc w:val="both"/>
              <w:rPr>
                <w:rFonts w:ascii="Times New Roman" w:hAnsi="Times New Roman"/>
                <w:b/>
                <w:sz w:val="24"/>
                <w:szCs w:val="24"/>
              </w:rPr>
            </w:pPr>
            <w:r w:rsidRPr="008B1465">
              <w:rPr>
                <w:rFonts w:ascii="Times New Roman" w:hAnsi="Times New Roman"/>
                <w:b/>
                <w:sz w:val="24"/>
                <w:szCs w:val="24"/>
              </w:rPr>
              <w:t>U</w:t>
            </w:r>
          </w:p>
        </w:tc>
        <w:tc>
          <w:tcPr>
            <w:tcW w:w="618" w:type="dxa"/>
            <w:tcBorders>
              <w:top w:val="single" w:sz="4" w:space="0" w:color="auto"/>
              <w:left w:val="nil"/>
              <w:bottom w:val="single" w:sz="4" w:space="0" w:color="auto"/>
              <w:right w:val="single" w:sz="4" w:space="0" w:color="auto"/>
            </w:tcBorders>
            <w:vAlign w:val="center"/>
          </w:tcPr>
          <w:p w14:paraId="481CCF12" w14:textId="77777777" w:rsidR="001616E5" w:rsidRPr="008B1465" w:rsidRDefault="003F05E3" w:rsidP="009274B4">
            <w:pPr>
              <w:spacing w:after="0" w:line="276" w:lineRule="auto"/>
              <w:jc w:val="both"/>
              <w:rPr>
                <w:rFonts w:ascii="Times New Roman" w:hAnsi="Times New Roman"/>
                <w:b/>
                <w:sz w:val="24"/>
                <w:szCs w:val="24"/>
              </w:rPr>
            </w:pPr>
            <w:r w:rsidRPr="008B1465">
              <w:rPr>
                <w:rFonts w:ascii="Times New Roman" w:hAnsi="Times New Roman"/>
                <w:b/>
                <w:sz w:val="24"/>
                <w:szCs w:val="24"/>
              </w:rPr>
              <w:t>D</w:t>
            </w:r>
          </w:p>
        </w:tc>
        <w:tc>
          <w:tcPr>
            <w:tcW w:w="627" w:type="dxa"/>
            <w:tcBorders>
              <w:top w:val="single" w:sz="4" w:space="0" w:color="auto"/>
              <w:left w:val="nil"/>
              <w:bottom w:val="single" w:sz="4" w:space="0" w:color="auto"/>
              <w:right w:val="single" w:sz="4" w:space="0" w:color="auto"/>
            </w:tcBorders>
            <w:vAlign w:val="center"/>
          </w:tcPr>
          <w:p w14:paraId="1440B305" w14:textId="77777777" w:rsidR="001616E5" w:rsidRPr="008B1465" w:rsidRDefault="003F05E3" w:rsidP="009274B4">
            <w:pPr>
              <w:spacing w:after="0" w:line="276" w:lineRule="auto"/>
              <w:jc w:val="both"/>
              <w:rPr>
                <w:rFonts w:ascii="Times New Roman" w:hAnsi="Times New Roman"/>
                <w:b/>
                <w:sz w:val="24"/>
                <w:szCs w:val="24"/>
              </w:rPr>
            </w:pPr>
            <w:r w:rsidRPr="008B1465">
              <w:rPr>
                <w:rFonts w:ascii="Times New Roman" w:hAnsi="Times New Roman"/>
                <w:b/>
                <w:sz w:val="24"/>
                <w:szCs w:val="24"/>
              </w:rPr>
              <w:t>SD</w:t>
            </w:r>
          </w:p>
        </w:tc>
      </w:tr>
      <w:tr w:rsidR="000B5622" w:rsidRPr="008B1465" w14:paraId="4EDF4355" w14:textId="77777777">
        <w:tc>
          <w:tcPr>
            <w:tcW w:w="630" w:type="dxa"/>
            <w:tcBorders>
              <w:top w:val="single" w:sz="4" w:space="0" w:color="auto"/>
              <w:left w:val="single" w:sz="4" w:space="0" w:color="auto"/>
              <w:bottom w:val="single" w:sz="4" w:space="0" w:color="auto"/>
              <w:right w:val="single" w:sz="4" w:space="0" w:color="auto"/>
            </w:tcBorders>
          </w:tcPr>
          <w:p w14:paraId="24F22D14" w14:textId="77777777" w:rsidR="001616E5" w:rsidRPr="008B1465" w:rsidRDefault="001616E5" w:rsidP="009274B4">
            <w:pPr>
              <w:pStyle w:val="ListParagraph"/>
              <w:numPr>
                <w:ilvl w:val="0"/>
                <w:numId w:val="5"/>
              </w:numPr>
              <w:spacing w:before="0" w:beforeAutospacing="0" w:after="0" w:line="276" w:lineRule="auto"/>
              <w:jc w:val="both"/>
              <w:rPr>
                <w:rFonts w:ascii="Times New Roman" w:hAnsi="Times New Roman"/>
                <w:sz w:val="24"/>
                <w:szCs w:val="24"/>
              </w:rPr>
            </w:pPr>
          </w:p>
        </w:tc>
        <w:tc>
          <w:tcPr>
            <w:tcW w:w="6379" w:type="dxa"/>
            <w:tcBorders>
              <w:top w:val="single" w:sz="4" w:space="0" w:color="auto"/>
              <w:left w:val="nil"/>
              <w:bottom w:val="single" w:sz="4" w:space="0" w:color="auto"/>
              <w:right w:val="single" w:sz="4" w:space="0" w:color="auto"/>
            </w:tcBorders>
          </w:tcPr>
          <w:p w14:paraId="79B80F09" w14:textId="77777777" w:rsidR="001616E5" w:rsidRPr="008B1465" w:rsidRDefault="003F05E3" w:rsidP="009274B4">
            <w:pPr>
              <w:spacing w:before="0" w:beforeAutospacing="0" w:after="0" w:line="276" w:lineRule="auto"/>
              <w:jc w:val="both"/>
              <w:rPr>
                <w:rFonts w:ascii="Times New Roman" w:hAnsi="Times New Roman"/>
                <w:sz w:val="24"/>
                <w:szCs w:val="24"/>
              </w:rPr>
            </w:pPr>
            <w:r w:rsidRPr="008B1465">
              <w:rPr>
                <w:rFonts w:ascii="Times New Roman" w:hAnsi="Times New Roman"/>
                <w:sz w:val="24"/>
                <w:szCs w:val="24"/>
              </w:rPr>
              <w:t>My university utilizes the services of litigation consultants in prosecuting fraud cases involving staff members.</w:t>
            </w:r>
          </w:p>
        </w:tc>
        <w:tc>
          <w:tcPr>
            <w:tcW w:w="624" w:type="dxa"/>
            <w:tcBorders>
              <w:top w:val="single" w:sz="4" w:space="0" w:color="auto"/>
              <w:left w:val="nil"/>
              <w:bottom w:val="single" w:sz="4" w:space="0" w:color="auto"/>
              <w:right w:val="single" w:sz="4" w:space="0" w:color="auto"/>
            </w:tcBorders>
            <w:vAlign w:val="center"/>
          </w:tcPr>
          <w:p w14:paraId="2525C402" w14:textId="77777777" w:rsidR="001616E5" w:rsidRPr="008B1465" w:rsidRDefault="001616E5" w:rsidP="009274B4">
            <w:pPr>
              <w:spacing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vAlign w:val="center"/>
          </w:tcPr>
          <w:p w14:paraId="34DD3E65" w14:textId="77777777" w:rsidR="001616E5" w:rsidRPr="008B1465" w:rsidRDefault="001616E5" w:rsidP="009274B4">
            <w:pPr>
              <w:spacing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vAlign w:val="center"/>
          </w:tcPr>
          <w:p w14:paraId="26AF6EFA" w14:textId="77777777" w:rsidR="001616E5" w:rsidRPr="008B1465" w:rsidRDefault="001616E5" w:rsidP="009274B4">
            <w:pPr>
              <w:spacing w:after="0" w:line="276" w:lineRule="auto"/>
              <w:jc w:val="both"/>
              <w:rPr>
                <w:rFonts w:ascii="Times New Roman" w:hAnsi="Times New Roman"/>
                <w:sz w:val="24"/>
                <w:szCs w:val="24"/>
              </w:rPr>
            </w:pPr>
          </w:p>
        </w:tc>
        <w:tc>
          <w:tcPr>
            <w:tcW w:w="618" w:type="dxa"/>
            <w:tcBorders>
              <w:top w:val="single" w:sz="4" w:space="0" w:color="auto"/>
              <w:left w:val="nil"/>
              <w:bottom w:val="single" w:sz="4" w:space="0" w:color="auto"/>
              <w:right w:val="single" w:sz="4" w:space="0" w:color="auto"/>
            </w:tcBorders>
            <w:vAlign w:val="center"/>
          </w:tcPr>
          <w:p w14:paraId="33412ED5" w14:textId="77777777" w:rsidR="001616E5" w:rsidRPr="008B1465" w:rsidRDefault="001616E5" w:rsidP="009274B4">
            <w:pPr>
              <w:spacing w:after="0" w:line="276" w:lineRule="auto"/>
              <w:jc w:val="both"/>
              <w:rPr>
                <w:rFonts w:ascii="Times New Roman" w:hAnsi="Times New Roman"/>
                <w:sz w:val="24"/>
                <w:szCs w:val="24"/>
              </w:rPr>
            </w:pPr>
          </w:p>
        </w:tc>
        <w:tc>
          <w:tcPr>
            <w:tcW w:w="627" w:type="dxa"/>
            <w:tcBorders>
              <w:top w:val="single" w:sz="4" w:space="0" w:color="auto"/>
              <w:left w:val="nil"/>
              <w:bottom w:val="single" w:sz="4" w:space="0" w:color="auto"/>
              <w:right w:val="single" w:sz="4" w:space="0" w:color="auto"/>
            </w:tcBorders>
            <w:vAlign w:val="center"/>
          </w:tcPr>
          <w:p w14:paraId="66AE7C31" w14:textId="77777777" w:rsidR="001616E5" w:rsidRPr="008B1465" w:rsidRDefault="001616E5" w:rsidP="009274B4">
            <w:pPr>
              <w:spacing w:after="0" w:line="276" w:lineRule="auto"/>
              <w:jc w:val="both"/>
              <w:rPr>
                <w:rFonts w:ascii="Times New Roman" w:hAnsi="Times New Roman"/>
                <w:sz w:val="24"/>
                <w:szCs w:val="24"/>
              </w:rPr>
            </w:pPr>
          </w:p>
        </w:tc>
      </w:tr>
      <w:tr w:rsidR="000B5622" w:rsidRPr="008B1465" w14:paraId="5E8F4F73" w14:textId="77777777">
        <w:tc>
          <w:tcPr>
            <w:tcW w:w="630" w:type="dxa"/>
            <w:tcBorders>
              <w:top w:val="single" w:sz="4" w:space="0" w:color="auto"/>
              <w:left w:val="single" w:sz="4" w:space="0" w:color="auto"/>
              <w:bottom w:val="single" w:sz="4" w:space="0" w:color="auto"/>
              <w:right w:val="single" w:sz="4" w:space="0" w:color="auto"/>
            </w:tcBorders>
          </w:tcPr>
          <w:p w14:paraId="6627046B" w14:textId="77777777" w:rsidR="001616E5" w:rsidRPr="008B1465" w:rsidRDefault="001616E5" w:rsidP="009274B4">
            <w:pPr>
              <w:pStyle w:val="ListParagraph"/>
              <w:numPr>
                <w:ilvl w:val="0"/>
                <w:numId w:val="5"/>
              </w:numPr>
              <w:spacing w:before="0" w:beforeAutospacing="0" w:after="0" w:line="276" w:lineRule="auto"/>
              <w:jc w:val="both"/>
              <w:rPr>
                <w:rFonts w:ascii="Times New Roman" w:hAnsi="Times New Roman"/>
                <w:sz w:val="24"/>
                <w:szCs w:val="24"/>
              </w:rPr>
            </w:pPr>
          </w:p>
        </w:tc>
        <w:tc>
          <w:tcPr>
            <w:tcW w:w="6379" w:type="dxa"/>
            <w:tcBorders>
              <w:top w:val="single" w:sz="4" w:space="0" w:color="auto"/>
              <w:left w:val="nil"/>
              <w:bottom w:val="single" w:sz="4" w:space="0" w:color="auto"/>
              <w:right w:val="single" w:sz="4" w:space="0" w:color="auto"/>
            </w:tcBorders>
          </w:tcPr>
          <w:p w14:paraId="01E17655" w14:textId="77777777" w:rsidR="001616E5" w:rsidRPr="008B1465" w:rsidRDefault="003F05E3" w:rsidP="009274B4">
            <w:pPr>
              <w:spacing w:before="0" w:beforeAutospacing="0" w:after="0" w:line="276" w:lineRule="auto"/>
              <w:jc w:val="both"/>
              <w:rPr>
                <w:rFonts w:ascii="Times New Roman" w:hAnsi="Times New Roman"/>
                <w:sz w:val="24"/>
                <w:szCs w:val="24"/>
              </w:rPr>
            </w:pPr>
            <w:r w:rsidRPr="008B1465">
              <w:rPr>
                <w:rFonts w:ascii="Times New Roman" w:hAnsi="Times New Roman"/>
                <w:sz w:val="24"/>
                <w:szCs w:val="24"/>
              </w:rPr>
              <w:t>My university often involves forensic accountants in reviewing the expert's reports on fraud cases</w:t>
            </w:r>
          </w:p>
        </w:tc>
        <w:tc>
          <w:tcPr>
            <w:tcW w:w="624" w:type="dxa"/>
            <w:tcBorders>
              <w:top w:val="single" w:sz="4" w:space="0" w:color="auto"/>
              <w:left w:val="nil"/>
              <w:bottom w:val="single" w:sz="4" w:space="0" w:color="auto"/>
              <w:right w:val="single" w:sz="4" w:space="0" w:color="auto"/>
            </w:tcBorders>
          </w:tcPr>
          <w:p w14:paraId="41855F37"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34A28DA3"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5B2069B9"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618" w:type="dxa"/>
            <w:tcBorders>
              <w:top w:val="single" w:sz="4" w:space="0" w:color="auto"/>
              <w:left w:val="nil"/>
              <w:bottom w:val="single" w:sz="4" w:space="0" w:color="auto"/>
              <w:right w:val="single" w:sz="4" w:space="0" w:color="auto"/>
            </w:tcBorders>
          </w:tcPr>
          <w:p w14:paraId="0584D14D"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627" w:type="dxa"/>
            <w:tcBorders>
              <w:top w:val="single" w:sz="4" w:space="0" w:color="auto"/>
              <w:left w:val="nil"/>
              <w:bottom w:val="single" w:sz="4" w:space="0" w:color="auto"/>
              <w:right w:val="single" w:sz="4" w:space="0" w:color="auto"/>
            </w:tcBorders>
          </w:tcPr>
          <w:p w14:paraId="535E2A73" w14:textId="77777777" w:rsidR="001616E5" w:rsidRPr="008B1465" w:rsidRDefault="001616E5" w:rsidP="009274B4">
            <w:pPr>
              <w:spacing w:before="0" w:beforeAutospacing="0" w:after="0" w:line="276" w:lineRule="auto"/>
              <w:jc w:val="both"/>
              <w:rPr>
                <w:rFonts w:ascii="Times New Roman" w:hAnsi="Times New Roman"/>
                <w:sz w:val="24"/>
                <w:szCs w:val="24"/>
              </w:rPr>
            </w:pPr>
          </w:p>
        </w:tc>
      </w:tr>
      <w:tr w:rsidR="000B5622" w:rsidRPr="008B1465" w14:paraId="107E56D5" w14:textId="77777777">
        <w:tc>
          <w:tcPr>
            <w:tcW w:w="630" w:type="dxa"/>
            <w:tcBorders>
              <w:top w:val="single" w:sz="4" w:space="0" w:color="auto"/>
              <w:left w:val="single" w:sz="4" w:space="0" w:color="auto"/>
              <w:bottom w:val="single" w:sz="4" w:space="0" w:color="auto"/>
              <w:right w:val="single" w:sz="4" w:space="0" w:color="auto"/>
            </w:tcBorders>
          </w:tcPr>
          <w:p w14:paraId="3AE7C82B" w14:textId="77777777" w:rsidR="001616E5" w:rsidRPr="008B1465" w:rsidRDefault="001616E5" w:rsidP="009274B4">
            <w:pPr>
              <w:pStyle w:val="ListParagraph"/>
              <w:numPr>
                <w:ilvl w:val="0"/>
                <w:numId w:val="5"/>
              </w:numPr>
              <w:spacing w:before="0" w:beforeAutospacing="0" w:after="0" w:line="276" w:lineRule="auto"/>
              <w:jc w:val="both"/>
              <w:rPr>
                <w:rFonts w:ascii="Times New Roman" w:hAnsi="Times New Roman"/>
                <w:sz w:val="24"/>
                <w:szCs w:val="24"/>
              </w:rPr>
            </w:pPr>
          </w:p>
        </w:tc>
        <w:tc>
          <w:tcPr>
            <w:tcW w:w="6379" w:type="dxa"/>
            <w:tcBorders>
              <w:top w:val="single" w:sz="4" w:space="0" w:color="auto"/>
              <w:left w:val="nil"/>
              <w:bottom w:val="single" w:sz="4" w:space="0" w:color="auto"/>
              <w:right w:val="single" w:sz="4" w:space="0" w:color="auto"/>
            </w:tcBorders>
          </w:tcPr>
          <w:p w14:paraId="68F6E7D8" w14:textId="77777777" w:rsidR="001616E5" w:rsidRPr="008B1465" w:rsidRDefault="003F05E3" w:rsidP="009274B4">
            <w:pPr>
              <w:spacing w:before="0" w:beforeAutospacing="0" w:after="0" w:line="276" w:lineRule="auto"/>
              <w:jc w:val="both"/>
              <w:rPr>
                <w:rFonts w:ascii="Times New Roman" w:hAnsi="Times New Roman"/>
                <w:sz w:val="24"/>
                <w:szCs w:val="24"/>
              </w:rPr>
            </w:pPr>
            <w:r w:rsidRPr="008B1465">
              <w:rPr>
                <w:rFonts w:ascii="Times New Roman" w:hAnsi="Times New Roman"/>
                <w:sz w:val="24"/>
                <w:szCs w:val="24"/>
              </w:rPr>
              <w:t>My university has skillful and a well-funded litigation support unit within the accounting and legal departments</w:t>
            </w:r>
          </w:p>
        </w:tc>
        <w:tc>
          <w:tcPr>
            <w:tcW w:w="624" w:type="dxa"/>
            <w:tcBorders>
              <w:top w:val="single" w:sz="4" w:space="0" w:color="auto"/>
              <w:left w:val="nil"/>
              <w:bottom w:val="single" w:sz="4" w:space="0" w:color="auto"/>
              <w:right w:val="single" w:sz="4" w:space="0" w:color="auto"/>
            </w:tcBorders>
          </w:tcPr>
          <w:p w14:paraId="63293B95"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3FDFB578"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04419D7B"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618" w:type="dxa"/>
            <w:tcBorders>
              <w:top w:val="single" w:sz="4" w:space="0" w:color="auto"/>
              <w:left w:val="nil"/>
              <w:bottom w:val="single" w:sz="4" w:space="0" w:color="auto"/>
              <w:right w:val="single" w:sz="4" w:space="0" w:color="auto"/>
            </w:tcBorders>
          </w:tcPr>
          <w:p w14:paraId="644325D6"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627" w:type="dxa"/>
            <w:tcBorders>
              <w:top w:val="single" w:sz="4" w:space="0" w:color="auto"/>
              <w:left w:val="nil"/>
              <w:bottom w:val="single" w:sz="4" w:space="0" w:color="auto"/>
              <w:right w:val="single" w:sz="4" w:space="0" w:color="auto"/>
            </w:tcBorders>
          </w:tcPr>
          <w:p w14:paraId="7F0F7EBF" w14:textId="77777777" w:rsidR="001616E5" w:rsidRPr="008B1465" w:rsidRDefault="001616E5" w:rsidP="009274B4">
            <w:pPr>
              <w:spacing w:before="0" w:beforeAutospacing="0" w:after="0" w:line="276" w:lineRule="auto"/>
              <w:jc w:val="both"/>
              <w:rPr>
                <w:rFonts w:ascii="Times New Roman" w:hAnsi="Times New Roman"/>
                <w:sz w:val="24"/>
                <w:szCs w:val="24"/>
              </w:rPr>
            </w:pPr>
          </w:p>
        </w:tc>
      </w:tr>
      <w:tr w:rsidR="000B5622" w:rsidRPr="008B1465" w14:paraId="6B026B6E" w14:textId="77777777" w:rsidTr="001C5DE4">
        <w:tc>
          <w:tcPr>
            <w:tcW w:w="630" w:type="dxa"/>
            <w:tcBorders>
              <w:top w:val="single" w:sz="4" w:space="0" w:color="auto"/>
              <w:left w:val="single" w:sz="4" w:space="0" w:color="auto"/>
              <w:bottom w:val="single" w:sz="4" w:space="0" w:color="auto"/>
              <w:right w:val="single" w:sz="4" w:space="0" w:color="auto"/>
            </w:tcBorders>
          </w:tcPr>
          <w:p w14:paraId="59D5DD27" w14:textId="77777777" w:rsidR="001616E5" w:rsidRPr="008B1465" w:rsidRDefault="001616E5" w:rsidP="009274B4">
            <w:pPr>
              <w:pStyle w:val="ListParagraph"/>
              <w:numPr>
                <w:ilvl w:val="0"/>
                <w:numId w:val="5"/>
              </w:numPr>
              <w:spacing w:before="0" w:beforeAutospacing="0" w:after="0" w:line="276" w:lineRule="auto"/>
              <w:jc w:val="both"/>
              <w:rPr>
                <w:rFonts w:ascii="Times New Roman" w:hAnsi="Times New Roman"/>
                <w:sz w:val="24"/>
                <w:szCs w:val="24"/>
              </w:rPr>
            </w:pPr>
          </w:p>
        </w:tc>
        <w:tc>
          <w:tcPr>
            <w:tcW w:w="6379" w:type="dxa"/>
            <w:tcBorders>
              <w:top w:val="single" w:sz="4" w:space="0" w:color="auto"/>
              <w:left w:val="nil"/>
              <w:bottom w:val="single" w:sz="4" w:space="0" w:color="auto"/>
              <w:right w:val="single" w:sz="4" w:space="0" w:color="auto"/>
            </w:tcBorders>
          </w:tcPr>
          <w:p w14:paraId="7C920EB6" w14:textId="77777777" w:rsidR="001616E5" w:rsidRPr="008B1465" w:rsidRDefault="003F05E3" w:rsidP="009274B4">
            <w:pPr>
              <w:spacing w:before="0" w:beforeAutospacing="0" w:after="0" w:line="276" w:lineRule="auto"/>
              <w:jc w:val="both"/>
              <w:rPr>
                <w:rFonts w:ascii="Times New Roman" w:hAnsi="Times New Roman"/>
                <w:sz w:val="24"/>
                <w:szCs w:val="24"/>
              </w:rPr>
            </w:pPr>
            <w:r w:rsidRPr="008B1465">
              <w:rPr>
                <w:rFonts w:ascii="Times New Roman" w:hAnsi="Times New Roman"/>
                <w:sz w:val="24"/>
                <w:szCs w:val="24"/>
              </w:rPr>
              <w:t>Forensic accountants have been involved in securing documentation necessary to support litigation processes in my University</w:t>
            </w:r>
          </w:p>
        </w:tc>
        <w:tc>
          <w:tcPr>
            <w:tcW w:w="624" w:type="dxa"/>
            <w:tcBorders>
              <w:top w:val="single" w:sz="4" w:space="0" w:color="auto"/>
              <w:left w:val="nil"/>
              <w:bottom w:val="single" w:sz="4" w:space="0" w:color="auto"/>
              <w:right w:val="single" w:sz="4" w:space="0" w:color="auto"/>
            </w:tcBorders>
          </w:tcPr>
          <w:p w14:paraId="0A4B4B64"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0597E4C4"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2F2FF7D7"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618" w:type="dxa"/>
            <w:tcBorders>
              <w:top w:val="single" w:sz="4" w:space="0" w:color="auto"/>
              <w:left w:val="nil"/>
              <w:bottom w:val="single" w:sz="4" w:space="0" w:color="auto"/>
              <w:right w:val="single" w:sz="4" w:space="0" w:color="auto"/>
            </w:tcBorders>
          </w:tcPr>
          <w:p w14:paraId="5E43B544"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627" w:type="dxa"/>
            <w:tcBorders>
              <w:top w:val="single" w:sz="4" w:space="0" w:color="auto"/>
              <w:left w:val="nil"/>
              <w:bottom w:val="single" w:sz="4" w:space="0" w:color="auto"/>
              <w:right w:val="single" w:sz="4" w:space="0" w:color="auto"/>
            </w:tcBorders>
          </w:tcPr>
          <w:p w14:paraId="668DDA73" w14:textId="77777777" w:rsidR="001616E5" w:rsidRPr="008B1465" w:rsidRDefault="001616E5" w:rsidP="009274B4">
            <w:pPr>
              <w:spacing w:before="0" w:beforeAutospacing="0" w:after="0" w:line="276" w:lineRule="auto"/>
              <w:jc w:val="both"/>
              <w:rPr>
                <w:rFonts w:ascii="Times New Roman" w:hAnsi="Times New Roman"/>
                <w:sz w:val="24"/>
                <w:szCs w:val="24"/>
              </w:rPr>
            </w:pPr>
          </w:p>
        </w:tc>
      </w:tr>
      <w:tr w:rsidR="000B5622" w:rsidRPr="008B1465" w14:paraId="398BE0E4" w14:textId="77777777" w:rsidTr="0050580A">
        <w:tc>
          <w:tcPr>
            <w:tcW w:w="630" w:type="dxa"/>
            <w:tcBorders>
              <w:top w:val="single" w:sz="4" w:space="0" w:color="auto"/>
              <w:left w:val="single" w:sz="4" w:space="0" w:color="auto"/>
              <w:bottom w:val="single" w:sz="4" w:space="0" w:color="auto"/>
              <w:right w:val="single" w:sz="4" w:space="0" w:color="auto"/>
            </w:tcBorders>
          </w:tcPr>
          <w:p w14:paraId="56E04C40" w14:textId="77777777" w:rsidR="001616E5" w:rsidRPr="008B1465" w:rsidRDefault="001616E5" w:rsidP="009274B4">
            <w:pPr>
              <w:pStyle w:val="ListParagraph"/>
              <w:numPr>
                <w:ilvl w:val="0"/>
                <w:numId w:val="5"/>
              </w:numPr>
              <w:spacing w:before="0" w:beforeAutospacing="0" w:after="0" w:line="276" w:lineRule="auto"/>
              <w:jc w:val="both"/>
              <w:rPr>
                <w:rFonts w:ascii="Times New Roman" w:hAnsi="Times New Roman"/>
                <w:sz w:val="24"/>
                <w:szCs w:val="24"/>
              </w:rPr>
            </w:pPr>
          </w:p>
        </w:tc>
        <w:tc>
          <w:tcPr>
            <w:tcW w:w="6379" w:type="dxa"/>
            <w:tcBorders>
              <w:top w:val="single" w:sz="4" w:space="0" w:color="auto"/>
              <w:left w:val="nil"/>
              <w:bottom w:val="single" w:sz="4" w:space="0" w:color="auto"/>
              <w:right w:val="single" w:sz="4" w:space="0" w:color="auto"/>
            </w:tcBorders>
          </w:tcPr>
          <w:p w14:paraId="75DA25AA" w14:textId="77777777" w:rsidR="001616E5" w:rsidRPr="008B1465" w:rsidRDefault="003F05E3" w:rsidP="009274B4">
            <w:pPr>
              <w:spacing w:before="0" w:beforeAutospacing="0" w:after="0" w:line="276" w:lineRule="auto"/>
              <w:jc w:val="both"/>
              <w:rPr>
                <w:rFonts w:ascii="Times New Roman" w:hAnsi="Times New Roman"/>
                <w:sz w:val="24"/>
                <w:szCs w:val="24"/>
              </w:rPr>
            </w:pPr>
            <w:r w:rsidRPr="008B1465">
              <w:rPr>
                <w:rFonts w:ascii="Times New Roman" w:hAnsi="Times New Roman"/>
                <w:sz w:val="24"/>
                <w:szCs w:val="24"/>
              </w:rPr>
              <w:t>My university incurs substantial litigation costs in the course of litigation support services</w:t>
            </w:r>
          </w:p>
        </w:tc>
        <w:tc>
          <w:tcPr>
            <w:tcW w:w="624" w:type="dxa"/>
            <w:tcBorders>
              <w:top w:val="single" w:sz="4" w:space="0" w:color="auto"/>
              <w:left w:val="nil"/>
              <w:bottom w:val="single" w:sz="4" w:space="0" w:color="auto"/>
              <w:right w:val="single" w:sz="4" w:space="0" w:color="auto"/>
            </w:tcBorders>
          </w:tcPr>
          <w:p w14:paraId="4CE3D29C"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5B137B38"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156AF74D"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618" w:type="dxa"/>
            <w:tcBorders>
              <w:top w:val="single" w:sz="4" w:space="0" w:color="auto"/>
              <w:left w:val="nil"/>
              <w:bottom w:val="single" w:sz="4" w:space="0" w:color="auto"/>
              <w:right w:val="single" w:sz="4" w:space="0" w:color="auto"/>
            </w:tcBorders>
          </w:tcPr>
          <w:p w14:paraId="439E044A"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627" w:type="dxa"/>
            <w:tcBorders>
              <w:top w:val="single" w:sz="4" w:space="0" w:color="auto"/>
              <w:left w:val="nil"/>
              <w:bottom w:val="single" w:sz="4" w:space="0" w:color="auto"/>
              <w:right w:val="single" w:sz="4" w:space="0" w:color="auto"/>
            </w:tcBorders>
          </w:tcPr>
          <w:p w14:paraId="20175105" w14:textId="77777777" w:rsidR="001616E5" w:rsidRPr="008B1465" w:rsidRDefault="001616E5" w:rsidP="009274B4">
            <w:pPr>
              <w:spacing w:before="0" w:beforeAutospacing="0" w:after="0" w:line="276" w:lineRule="auto"/>
              <w:jc w:val="both"/>
              <w:rPr>
                <w:rFonts w:ascii="Times New Roman" w:hAnsi="Times New Roman"/>
                <w:sz w:val="24"/>
                <w:szCs w:val="24"/>
              </w:rPr>
            </w:pPr>
          </w:p>
        </w:tc>
      </w:tr>
      <w:tr w:rsidR="001C5DE4" w:rsidRPr="008B1465" w14:paraId="4623BE69" w14:textId="77777777" w:rsidTr="0050580A">
        <w:tc>
          <w:tcPr>
            <w:tcW w:w="630" w:type="dxa"/>
            <w:tcBorders>
              <w:top w:val="single" w:sz="4" w:space="0" w:color="auto"/>
            </w:tcBorders>
          </w:tcPr>
          <w:p w14:paraId="5E046AA2" w14:textId="77777777" w:rsidR="001C5DE4" w:rsidRPr="008B1465" w:rsidRDefault="001C5DE4" w:rsidP="0050580A">
            <w:pPr>
              <w:pStyle w:val="ListParagraph"/>
              <w:spacing w:before="0" w:beforeAutospacing="0" w:after="0" w:line="276" w:lineRule="auto"/>
              <w:ind w:left="0"/>
              <w:jc w:val="both"/>
              <w:rPr>
                <w:rFonts w:ascii="Times New Roman" w:hAnsi="Times New Roman"/>
                <w:sz w:val="24"/>
                <w:szCs w:val="24"/>
              </w:rPr>
            </w:pPr>
          </w:p>
        </w:tc>
        <w:tc>
          <w:tcPr>
            <w:tcW w:w="6379" w:type="dxa"/>
            <w:tcBorders>
              <w:top w:val="single" w:sz="4" w:space="0" w:color="auto"/>
            </w:tcBorders>
          </w:tcPr>
          <w:p w14:paraId="6A7BC322" w14:textId="77777777" w:rsidR="001C5DE4" w:rsidRPr="008B1465" w:rsidRDefault="001C5DE4" w:rsidP="009274B4">
            <w:pPr>
              <w:spacing w:before="0" w:beforeAutospacing="0" w:after="0" w:line="276" w:lineRule="auto"/>
              <w:jc w:val="both"/>
              <w:rPr>
                <w:rFonts w:ascii="Times New Roman" w:hAnsi="Times New Roman"/>
                <w:sz w:val="24"/>
                <w:szCs w:val="24"/>
              </w:rPr>
            </w:pPr>
          </w:p>
        </w:tc>
        <w:tc>
          <w:tcPr>
            <w:tcW w:w="624" w:type="dxa"/>
            <w:tcBorders>
              <w:top w:val="single" w:sz="4" w:space="0" w:color="auto"/>
            </w:tcBorders>
          </w:tcPr>
          <w:p w14:paraId="28F9D9FA" w14:textId="77777777" w:rsidR="001C5DE4" w:rsidRPr="008B1465" w:rsidRDefault="001C5DE4" w:rsidP="009274B4">
            <w:pPr>
              <w:spacing w:before="0" w:beforeAutospacing="0" w:after="0" w:line="276" w:lineRule="auto"/>
              <w:jc w:val="both"/>
              <w:rPr>
                <w:rFonts w:ascii="Times New Roman" w:hAnsi="Times New Roman"/>
                <w:sz w:val="24"/>
                <w:szCs w:val="24"/>
              </w:rPr>
            </w:pPr>
          </w:p>
        </w:tc>
        <w:tc>
          <w:tcPr>
            <w:tcW w:w="532" w:type="dxa"/>
            <w:tcBorders>
              <w:top w:val="single" w:sz="4" w:space="0" w:color="auto"/>
            </w:tcBorders>
          </w:tcPr>
          <w:p w14:paraId="142C1182" w14:textId="77777777" w:rsidR="001C5DE4" w:rsidRPr="008B1465" w:rsidRDefault="001C5DE4" w:rsidP="009274B4">
            <w:pPr>
              <w:spacing w:before="0" w:beforeAutospacing="0" w:after="0" w:line="276" w:lineRule="auto"/>
              <w:jc w:val="both"/>
              <w:rPr>
                <w:rFonts w:ascii="Times New Roman" w:hAnsi="Times New Roman"/>
                <w:sz w:val="24"/>
                <w:szCs w:val="24"/>
              </w:rPr>
            </w:pPr>
          </w:p>
        </w:tc>
        <w:tc>
          <w:tcPr>
            <w:tcW w:w="532" w:type="dxa"/>
            <w:tcBorders>
              <w:top w:val="single" w:sz="4" w:space="0" w:color="auto"/>
            </w:tcBorders>
          </w:tcPr>
          <w:p w14:paraId="79A858DA" w14:textId="77777777" w:rsidR="001C5DE4" w:rsidRPr="008B1465" w:rsidRDefault="001C5DE4" w:rsidP="009274B4">
            <w:pPr>
              <w:spacing w:before="0" w:beforeAutospacing="0" w:after="0" w:line="276" w:lineRule="auto"/>
              <w:jc w:val="both"/>
              <w:rPr>
                <w:rFonts w:ascii="Times New Roman" w:hAnsi="Times New Roman"/>
                <w:sz w:val="24"/>
                <w:szCs w:val="24"/>
              </w:rPr>
            </w:pPr>
          </w:p>
        </w:tc>
        <w:tc>
          <w:tcPr>
            <w:tcW w:w="618" w:type="dxa"/>
            <w:tcBorders>
              <w:top w:val="single" w:sz="4" w:space="0" w:color="auto"/>
            </w:tcBorders>
          </w:tcPr>
          <w:p w14:paraId="4A659EFA" w14:textId="77777777" w:rsidR="001C5DE4" w:rsidRPr="008B1465" w:rsidRDefault="001C5DE4" w:rsidP="009274B4">
            <w:pPr>
              <w:spacing w:before="0" w:beforeAutospacing="0" w:after="0" w:line="276" w:lineRule="auto"/>
              <w:jc w:val="both"/>
              <w:rPr>
                <w:rFonts w:ascii="Times New Roman" w:hAnsi="Times New Roman"/>
                <w:sz w:val="24"/>
                <w:szCs w:val="24"/>
              </w:rPr>
            </w:pPr>
          </w:p>
        </w:tc>
        <w:tc>
          <w:tcPr>
            <w:tcW w:w="627" w:type="dxa"/>
            <w:tcBorders>
              <w:top w:val="single" w:sz="4" w:space="0" w:color="auto"/>
            </w:tcBorders>
          </w:tcPr>
          <w:p w14:paraId="3790B95C" w14:textId="77777777" w:rsidR="001C5DE4" w:rsidRPr="008B1465" w:rsidRDefault="001C5DE4" w:rsidP="009274B4">
            <w:pPr>
              <w:spacing w:before="0" w:beforeAutospacing="0" w:after="0" w:line="276" w:lineRule="auto"/>
              <w:jc w:val="both"/>
              <w:rPr>
                <w:rFonts w:ascii="Times New Roman" w:hAnsi="Times New Roman"/>
                <w:sz w:val="24"/>
                <w:szCs w:val="24"/>
              </w:rPr>
            </w:pPr>
          </w:p>
        </w:tc>
      </w:tr>
      <w:tr w:rsidR="000B5622" w:rsidRPr="008B1465" w14:paraId="4EAB53E1" w14:textId="77777777" w:rsidTr="0050580A">
        <w:tc>
          <w:tcPr>
            <w:tcW w:w="9942" w:type="dxa"/>
            <w:gridSpan w:val="7"/>
            <w:tcBorders>
              <w:left w:val="nil"/>
              <w:bottom w:val="single" w:sz="4" w:space="0" w:color="auto"/>
              <w:right w:val="nil"/>
            </w:tcBorders>
          </w:tcPr>
          <w:p w14:paraId="3956B6B0" w14:textId="77777777" w:rsidR="001616E5" w:rsidRPr="008B1465" w:rsidRDefault="003F05E3" w:rsidP="0050580A">
            <w:pPr>
              <w:pageBreakBefore/>
              <w:numPr>
                <w:ilvl w:val="0"/>
                <w:numId w:val="4"/>
              </w:numPr>
              <w:spacing w:before="0" w:beforeAutospacing="0" w:after="0" w:line="276" w:lineRule="auto"/>
              <w:jc w:val="center"/>
              <w:rPr>
                <w:rFonts w:ascii="Times New Roman" w:hAnsi="Times New Roman"/>
                <w:sz w:val="24"/>
                <w:szCs w:val="24"/>
              </w:rPr>
            </w:pPr>
            <w:r w:rsidRPr="008B1465">
              <w:rPr>
                <w:rFonts w:ascii="Times New Roman" w:hAnsi="Times New Roman"/>
                <w:b/>
                <w:bCs/>
                <w:sz w:val="24"/>
                <w:szCs w:val="24"/>
              </w:rPr>
              <w:t>Surprise Cash Count Practices</w:t>
            </w:r>
          </w:p>
        </w:tc>
      </w:tr>
      <w:tr w:rsidR="000B5622" w:rsidRPr="008B1465" w14:paraId="00BA1DE1" w14:textId="77777777">
        <w:tc>
          <w:tcPr>
            <w:tcW w:w="630" w:type="dxa"/>
            <w:tcBorders>
              <w:top w:val="single" w:sz="4" w:space="0" w:color="auto"/>
              <w:left w:val="single" w:sz="4" w:space="0" w:color="auto"/>
              <w:bottom w:val="single" w:sz="4" w:space="0" w:color="auto"/>
              <w:right w:val="single" w:sz="4" w:space="0" w:color="auto"/>
            </w:tcBorders>
          </w:tcPr>
          <w:p w14:paraId="1DBDC5B1" w14:textId="77777777" w:rsidR="001616E5" w:rsidRPr="008B1465" w:rsidRDefault="003F05E3" w:rsidP="009274B4">
            <w:pPr>
              <w:spacing w:before="0" w:beforeAutospacing="0" w:after="0" w:line="276" w:lineRule="auto"/>
              <w:jc w:val="both"/>
              <w:rPr>
                <w:rFonts w:ascii="Times New Roman" w:hAnsi="Times New Roman"/>
                <w:sz w:val="24"/>
                <w:szCs w:val="24"/>
              </w:rPr>
            </w:pPr>
            <w:r w:rsidRPr="008B1465">
              <w:rPr>
                <w:rFonts w:ascii="Times New Roman" w:hAnsi="Times New Roman"/>
                <w:sz w:val="24"/>
                <w:szCs w:val="24"/>
              </w:rPr>
              <w:t>S/N</w:t>
            </w:r>
          </w:p>
        </w:tc>
        <w:tc>
          <w:tcPr>
            <w:tcW w:w="6379" w:type="dxa"/>
            <w:tcBorders>
              <w:top w:val="single" w:sz="4" w:space="0" w:color="auto"/>
              <w:left w:val="nil"/>
              <w:bottom w:val="single" w:sz="4" w:space="0" w:color="auto"/>
              <w:right w:val="single" w:sz="4" w:space="0" w:color="auto"/>
            </w:tcBorders>
          </w:tcPr>
          <w:p w14:paraId="1455E0CF" w14:textId="77777777" w:rsidR="001616E5" w:rsidRPr="008B1465" w:rsidRDefault="003F05E3" w:rsidP="009274B4">
            <w:pPr>
              <w:spacing w:before="0" w:beforeAutospacing="0" w:after="0" w:line="276" w:lineRule="auto"/>
              <w:jc w:val="both"/>
              <w:rPr>
                <w:rFonts w:ascii="Times New Roman" w:eastAsia="Calibri" w:hAnsi="Times New Roman"/>
                <w:b/>
                <w:bCs/>
                <w:sz w:val="24"/>
                <w:szCs w:val="24"/>
              </w:rPr>
            </w:pPr>
            <w:r w:rsidRPr="008B1465">
              <w:rPr>
                <w:rFonts w:ascii="Times New Roman" w:eastAsia="Calibri" w:hAnsi="Times New Roman"/>
                <w:b/>
                <w:bCs/>
                <w:sz w:val="24"/>
                <w:szCs w:val="24"/>
              </w:rPr>
              <w:t>Items</w:t>
            </w:r>
          </w:p>
        </w:tc>
        <w:tc>
          <w:tcPr>
            <w:tcW w:w="624" w:type="dxa"/>
            <w:tcBorders>
              <w:top w:val="single" w:sz="4" w:space="0" w:color="auto"/>
              <w:left w:val="nil"/>
              <w:bottom w:val="single" w:sz="4" w:space="0" w:color="auto"/>
              <w:right w:val="single" w:sz="4" w:space="0" w:color="auto"/>
            </w:tcBorders>
            <w:vAlign w:val="center"/>
          </w:tcPr>
          <w:p w14:paraId="3D9E1FF2" w14:textId="77777777" w:rsidR="001616E5" w:rsidRPr="008B1465" w:rsidRDefault="003F05E3" w:rsidP="009274B4">
            <w:pPr>
              <w:spacing w:after="0" w:line="276" w:lineRule="auto"/>
              <w:jc w:val="both"/>
              <w:rPr>
                <w:rFonts w:ascii="Times New Roman" w:hAnsi="Times New Roman"/>
                <w:b/>
                <w:sz w:val="24"/>
                <w:szCs w:val="24"/>
              </w:rPr>
            </w:pPr>
            <w:r w:rsidRPr="008B1465">
              <w:rPr>
                <w:rFonts w:ascii="Times New Roman" w:hAnsi="Times New Roman"/>
                <w:b/>
                <w:sz w:val="24"/>
                <w:szCs w:val="24"/>
              </w:rPr>
              <w:t>SA</w:t>
            </w:r>
          </w:p>
        </w:tc>
        <w:tc>
          <w:tcPr>
            <w:tcW w:w="532" w:type="dxa"/>
            <w:tcBorders>
              <w:top w:val="single" w:sz="4" w:space="0" w:color="auto"/>
              <w:left w:val="nil"/>
              <w:bottom w:val="single" w:sz="4" w:space="0" w:color="auto"/>
              <w:right w:val="single" w:sz="4" w:space="0" w:color="auto"/>
            </w:tcBorders>
            <w:vAlign w:val="center"/>
          </w:tcPr>
          <w:p w14:paraId="763C49F9" w14:textId="77777777" w:rsidR="001616E5" w:rsidRPr="008B1465" w:rsidRDefault="003F05E3" w:rsidP="009274B4">
            <w:pPr>
              <w:spacing w:after="0" w:line="276" w:lineRule="auto"/>
              <w:jc w:val="both"/>
              <w:rPr>
                <w:rFonts w:ascii="Times New Roman" w:hAnsi="Times New Roman"/>
                <w:b/>
                <w:sz w:val="24"/>
                <w:szCs w:val="24"/>
              </w:rPr>
            </w:pPr>
            <w:r w:rsidRPr="008B1465">
              <w:rPr>
                <w:rFonts w:ascii="Times New Roman" w:hAnsi="Times New Roman"/>
                <w:b/>
                <w:sz w:val="24"/>
                <w:szCs w:val="24"/>
              </w:rPr>
              <w:t>A</w:t>
            </w:r>
          </w:p>
        </w:tc>
        <w:tc>
          <w:tcPr>
            <w:tcW w:w="532" w:type="dxa"/>
            <w:tcBorders>
              <w:top w:val="single" w:sz="4" w:space="0" w:color="auto"/>
              <w:left w:val="nil"/>
              <w:bottom w:val="single" w:sz="4" w:space="0" w:color="auto"/>
              <w:right w:val="single" w:sz="4" w:space="0" w:color="auto"/>
            </w:tcBorders>
            <w:vAlign w:val="center"/>
          </w:tcPr>
          <w:p w14:paraId="01EEC51B" w14:textId="77777777" w:rsidR="001616E5" w:rsidRPr="008B1465" w:rsidRDefault="003F05E3" w:rsidP="009274B4">
            <w:pPr>
              <w:spacing w:after="0" w:line="276" w:lineRule="auto"/>
              <w:jc w:val="both"/>
              <w:rPr>
                <w:rFonts w:ascii="Times New Roman" w:hAnsi="Times New Roman"/>
                <w:b/>
                <w:sz w:val="24"/>
                <w:szCs w:val="24"/>
              </w:rPr>
            </w:pPr>
            <w:r w:rsidRPr="008B1465">
              <w:rPr>
                <w:rFonts w:ascii="Times New Roman" w:hAnsi="Times New Roman"/>
                <w:b/>
                <w:sz w:val="24"/>
                <w:szCs w:val="24"/>
              </w:rPr>
              <w:t>U</w:t>
            </w:r>
          </w:p>
        </w:tc>
        <w:tc>
          <w:tcPr>
            <w:tcW w:w="618" w:type="dxa"/>
            <w:tcBorders>
              <w:top w:val="single" w:sz="4" w:space="0" w:color="auto"/>
              <w:left w:val="nil"/>
              <w:bottom w:val="single" w:sz="4" w:space="0" w:color="auto"/>
              <w:right w:val="single" w:sz="4" w:space="0" w:color="auto"/>
            </w:tcBorders>
            <w:vAlign w:val="center"/>
          </w:tcPr>
          <w:p w14:paraId="400C42CC" w14:textId="77777777" w:rsidR="001616E5" w:rsidRPr="008B1465" w:rsidRDefault="003F05E3" w:rsidP="009274B4">
            <w:pPr>
              <w:spacing w:after="0" w:line="276" w:lineRule="auto"/>
              <w:jc w:val="both"/>
              <w:rPr>
                <w:rFonts w:ascii="Times New Roman" w:hAnsi="Times New Roman"/>
                <w:b/>
                <w:sz w:val="24"/>
                <w:szCs w:val="24"/>
              </w:rPr>
            </w:pPr>
            <w:r w:rsidRPr="008B1465">
              <w:rPr>
                <w:rFonts w:ascii="Times New Roman" w:hAnsi="Times New Roman"/>
                <w:b/>
                <w:sz w:val="24"/>
                <w:szCs w:val="24"/>
              </w:rPr>
              <w:t>D</w:t>
            </w:r>
          </w:p>
        </w:tc>
        <w:tc>
          <w:tcPr>
            <w:tcW w:w="627" w:type="dxa"/>
            <w:tcBorders>
              <w:top w:val="single" w:sz="4" w:space="0" w:color="auto"/>
              <w:left w:val="nil"/>
              <w:bottom w:val="single" w:sz="4" w:space="0" w:color="auto"/>
              <w:right w:val="single" w:sz="4" w:space="0" w:color="auto"/>
            </w:tcBorders>
            <w:vAlign w:val="center"/>
          </w:tcPr>
          <w:p w14:paraId="316B6979" w14:textId="77777777" w:rsidR="001616E5" w:rsidRPr="008B1465" w:rsidRDefault="003F05E3" w:rsidP="009274B4">
            <w:pPr>
              <w:spacing w:after="0" w:line="276" w:lineRule="auto"/>
              <w:jc w:val="both"/>
              <w:rPr>
                <w:rFonts w:ascii="Times New Roman" w:hAnsi="Times New Roman"/>
                <w:b/>
                <w:sz w:val="24"/>
                <w:szCs w:val="24"/>
              </w:rPr>
            </w:pPr>
            <w:r w:rsidRPr="008B1465">
              <w:rPr>
                <w:rFonts w:ascii="Times New Roman" w:hAnsi="Times New Roman"/>
                <w:b/>
                <w:sz w:val="24"/>
                <w:szCs w:val="24"/>
              </w:rPr>
              <w:t>SD</w:t>
            </w:r>
          </w:p>
        </w:tc>
      </w:tr>
      <w:tr w:rsidR="000B5622" w:rsidRPr="008B1465" w14:paraId="67AF9991" w14:textId="77777777">
        <w:tc>
          <w:tcPr>
            <w:tcW w:w="630" w:type="dxa"/>
            <w:tcBorders>
              <w:top w:val="single" w:sz="4" w:space="0" w:color="auto"/>
              <w:left w:val="single" w:sz="4" w:space="0" w:color="auto"/>
              <w:bottom w:val="single" w:sz="4" w:space="0" w:color="auto"/>
              <w:right w:val="single" w:sz="4" w:space="0" w:color="auto"/>
            </w:tcBorders>
          </w:tcPr>
          <w:p w14:paraId="7F18E8D2" w14:textId="77777777" w:rsidR="001616E5" w:rsidRPr="008B1465" w:rsidRDefault="001616E5" w:rsidP="009274B4">
            <w:pPr>
              <w:pStyle w:val="ListParagraph"/>
              <w:numPr>
                <w:ilvl w:val="0"/>
                <w:numId w:val="6"/>
              </w:numPr>
              <w:spacing w:before="0" w:beforeAutospacing="0" w:after="0" w:line="276" w:lineRule="auto"/>
              <w:jc w:val="both"/>
              <w:rPr>
                <w:rFonts w:ascii="Times New Roman" w:hAnsi="Times New Roman"/>
                <w:sz w:val="24"/>
                <w:szCs w:val="24"/>
              </w:rPr>
            </w:pPr>
          </w:p>
        </w:tc>
        <w:tc>
          <w:tcPr>
            <w:tcW w:w="6379" w:type="dxa"/>
            <w:tcBorders>
              <w:top w:val="single" w:sz="4" w:space="0" w:color="auto"/>
              <w:left w:val="nil"/>
              <w:bottom w:val="single" w:sz="4" w:space="0" w:color="auto"/>
              <w:right w:val="single" w:sz="4" w:space="0" w:color="auto"/>
            </w:tcBorders>
          </w:tcPr>
          <w:p w14:paraId="79A8C74F" w14:textId="77777777" w:rsidR="001616E5" w:rsidRPr="008B1465" w:rsidRDefault="003F05E3" w:rsidP="009274B4">
            <w:pPr>
              <w:spacing w:before="0" w:beforeAutospacing="0" w:after="0" w:line="276" w:lineRule="auto"/>
              <w:jc w:val="both"/>
              <w:rPr>
                <w:rFonts w:ascii="Times New Roman" w:eastAsia="Calibri" w:hAnsi="Times New Roman"/>
                <w:sz w:val="24"/>
                <w:szCs w:val="24"/>
              </w:rPr>
            </w:pPr>
            <w:r w:rsidRPr="008B1465">
              <w:rPr>
                <w:rFonts w:ascii="Times New Roman" w:eastAsia="Calibri" w:hAnsi="Times New Roman"/>
                <w:sz w:val="24"/>
                <w:szCs w:val="24"/>
              </w:rPr>
              <w:t>Forensic accountants sometimes visit my university without prior notice</w:t>
            </w:r>
          </w:p>
        </w:tc>
        <w:tc>
          <w:tcPr>
            <w:tcW w:w="624" w:type="dxa"/>
            <w:tcBorders>
              <w:top w:val="single" w:sz="4" w:space="0" w:color="auto"/>
              <w:left w:val="nil"/>
              <w:bottom w:val="single" w:sz="4" w:space="0" w:color="auto"/>
              <w:right w:val="single" w:sz="4" w:space="0" w:color="auto"/>
            </w:tcBorders>
            <w:vAlign w:val="center"/>
          </w:tcPr>
          <w:p w14:paraId="5AF31337" w14:textId="77777777" w:rsidR="001616E5" w:rsidRPr="008B1465" w:rsidRDefault="001616E5" w:rsidP="009274B4">
            <w:pPr>
              <w:spacing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vAlign w:val="center"/>
          </w:tcPr>
          <w:p w14:paraId="3A350603" w14:textId="77777777" w:rsidR="001616E5" w:rsidRPr="008B1465" w:rsidRDefault="001616E5" w:rsidP="009274B4">
            <w:pPr>
              <w:spacing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vAlign w:val="center"/>
          </w:tcPr>
          <w:p w14:paraId="1F34838C" w14:textId="77777777" w:rsidR="001616E5" w:rsidRPr="008B1465" w:rsidRDefault="001616E5" w:rsidP="009274B4">
            <w:pPr>
              <w:spacing w:after="0" w:line="276" w:lineRule="auto"/>
              <w:jc w:val="both"/>
              <w:rPr>
                <w:rFonts w:ascii="Times New Roman" w:hAnsi="Times New Roman"/>
                <w:sz w:val="24"/>
                <w:szCs w:val="24"/>
              </w:rPr>
            </w:pPr>
          </w:p>
        </w:tc>
        <w:tc>
          <w:tcPr>
            <w:tcW w:w="618" w:type="dxa"/>
            <w:tcBorders>
              <w:top w:val="single" w:sz="4" w:space="0" w:color="auto"/>
              <w:left w:val="nil"/>
              <w:bottom w:val="single" w:sz="4" w:space="0" w:color="auto"/>
              <w:right w:val="single" w:sz="4" w:space="0" w:color="auto"/>
            </w:tcBorders>
            <w:vAlign w:val="center"/>
          </w:tcPr>
          <w:p w14:paraId="3CA75F43" w14:textId="77777777" w:rsidR="001616E5" w:rsidRPr="008B1465" w:rsidRDefault="001616E5" w:rsidP="009274B4">
            <w:pPr>
              <w:spacing w:after="0" w:line="276" w:lineRule="auto"/>
              <w:jc w:val="both"/>
              <w:rPr>
                <w:rFonts w:ascii="Times New Roman" w:hAnsi="Times New Roman"/>
                <w:sz w:val="24"/>
                <w:szCs w:val="24"/>
              </w:rPr>
            </w:pPr>
          </w:p>
        </w:tc>
        <w:tc>
          <w:tcPr>
            <w:tcW w:w="627" w:type="dxa"/>
            <w:tcBorders>
              <w:top w:val="single" w:sz="4" w:space="0" w:color="auto"/>
              <w:left w:val="nil"/>
              <w:bottom w:val="single" w:sz="4" w:space="0" w:color="auto"/>
              <w:right w:val="single" w:sz="4" w:space="0" w:color="auto"/>
            </w:tcBorders>
            <w:vAlign w:val="center"/>
          </w:tcPr>
          <w:p w14:paraId="7BFE592A" w14:textId="77777777" w:rsidR="001616E5" w:rsidRPr="008B1465" w:rsidRDefault="001616E5" w:rsidP="009274B4">
            <w:pPr>
              <w:spacing w:after="0" w:line="276" w:lineRule="auto"/>
              <w:jc w:val="both"/>
              <w:rPr>
                <w:rFonts w:ascii="Times New Roman" w:hAnsi="Times New Roman"/>
                <w:sz w:val="24"/>
                <w:szCs w:val="24"/>
              </w:rPr>
            </w:pPr>
          </w:p>
        </w:tc>
      </w:tr>
      <w:tr w:rsidR="000B5622" w:rsidRPr="008B1465" w14:paraId="5DDBC032" w14:textId="77777777">
        <w:tc>
          <w:tcPr>
            <w:tcW w:w="630" w:type="dxa"/>
            <w:tcBorders>
              <w:top w:val="single" w:sz="4" w:space="0" w:color="auto"/>
              <w:left w:val="single" w:sz="4" w:space="0" w:color="auto"/>
              <w:bottom w:val="single" w:sz="4" w:space="0" w:color="auto"/>
              <w:right w:val="single" w:sz="4" w:space="0" w:color="auto"/>
            </w:tcBorders>
          </w:tcPr>
          <w:p w14:paraId="56A32C83" w14:textId="77777777" w:rsidR="001616E5" w:rsidRPr="008B1465" w:rsidRDefault="001616E5" w:rsidP="009274B4">
            <w:pPr>
              <w:pStyle w:val="ListParagraph"/>
              <w:numPr>
                <w:ilvl w:val="0"/>
                <w:numId w:val="6"/>
              </w:numPr>
              <w:spacing w:before="0" w:beforeAutospacing="0" w:after="0" w:line="276" w:lineRule="auto"/>
              <w:jc w:val="both"/>
              <w:rPr>
                <w:rFonts w:ascii="Times New Roman" w:hAnsi="Times New Roman"/>
                <w:sz w:val="24"/>
                <w:szCs w:val="24"/>
              </w:rPr>
            </w:pPr>
          </w:p>
        </w:tc>
        <w:tc>
          <w:tcPr>
            <w:tcW w:w="6379" w:type="dxa"/>
            <w:tcBorders>
              <w:top w:val="single" w:sz="4" w:space="0" w:color="auto"/>
              <w:left w:val="nil"/>
              <w:bottom w:val="single" w:sz="4" w:space="0" w:color="auto"/>
              <w:right w:val="single" w:sz="4" w:space="0" w:color="auto"/>
            </w:tcBorders>
          </w:tcPr>
          <w:p w14:paraId="4CEF7974" w14:textId="77777777" w:rsidR="001616E5" w:rsidRPr="008B1465" w:rsidRDefault="003F05E3" w:rsidP="009274B4">
            <w:pPr>
              <w:spacing w:before="0" w:beforeAutospacing="0" w:after="0" w:line="276" w:lineRule="auto"/>
              <w:jc w:val="both"/>
              <w:rPr>
                <w:rFonts w:ascii="Times New Roman" w:eastAsia="Calibri" w:hAnsi="Times New Roman"/>
                <w:sz w:val="24"/>
                <w:szCs w:val="24"/>
              </w:rPr>
            </w:pPr>
            <w:r w:rsidRPr="008B1465">
              <w:rPr>
                <w:rFonts w:ascii="Times New Roman" w:eastAsia="SimSun" w:hAnsi="Times New Roman"/>
                <w:sz w:val="24"/>
                <w:szCs w:val="24"/>
              </w:rPr>
              <w:t>Surprise visits of forensic accountants often result in the detection of procurement-related fraud</w:t>
            </w:r>
          </w:p>
        </w:tc>
        <w:tc>
          <w:tcPr>
            <w:tcW w:w="624" w:type="dxa"/>
            <w:tcBorders>
              <w:top w:val="single" w:sz="4" w:space="0" w:color="auto"/>
              <w:left w:val="nil"/>
              <w:bottom w:val="single" w:sz="4" w:space="0" w:color="auto"/>
              <w:right w:val="single" w:sz="4" w:space="0" w:color="auto"/>
            </w:tcBorders>
          </w:tcPr>
          <w:p w14:paraId="1A132525"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6B84B349"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5CDEF639"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618" w:type="dxa"/>
            <w:tcBorders>
              <w:top w:val="single" w:sz="4" w:space="0" w:color="auto"/>
              <w:left w:val="nil"/>
              <w:bottom w:val="single" w:sz="4" w:space="0" w:color="auto"/>
              <w:right w:val="single" w:sz="4" w:space="0" w:color="auto"/>
            </w:tcBorders>
          </w:tcPr>
          <w:p w14:paraId="7098C88A"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627" w:type="dxa"/>
            <w:tcBorders>
              <w:top w:val="single" w:sz="4" w:space="0" w:color="auto"/>
              <w:left w:val="nil"/>
              <w:bottom w:val="single" w:sz="4" w:space="0" w:color="auto"/>
              <w:right w:val="single" w:sz="4" w:space="0" w:color="auto"/>
            </w:tcBorders>
          </w:tcPr>
          <w:p w14:paraId="30523C30" w14:textId="77777777" w:rsidR="001616E5" w:rsidRPr="008B1465" w:rsidRDefault="001616E5" w:rsidP="009274B4">
            <w:pPr>
              <w:spacing w:before="0" w:beforeAutospacing="0" w:after="0" w:line="276" w:lineRule="auto"/>
              <w:jc w:val="both"/>
              <w:rPr>
                <w:rFonts w:ascii="Times New Roman" w:hAnsi="Times New Roman"/>
                <w:sz w:val="24"/>
                <w:szCs w:val="24"/>
              </w:rPr>
            </w:pPr>
          </w:p>
        </w:tc>
      </w:tr>
      <w:tr w:rsidR="000B5622" w:rsidRPr="008B1465" w14:paraId="706B49FF" w14:textId="77777777">
        <w:tc>
          <w:tcPr>
            <w:tcW w:w="630" w:type="dxa"/>
            <w:tcBorders>
              <w:top w:val="single" w:sz="4" w:space="0" w:color="auto"/>
              <w:left w:val="single" w:sz="4" w:space="0" w:color="auto"/>
              <w:bottom w:val="single" w:sz="4" w:space="0" w:color="auto"/>
              <w:right w:val="single" w:sz="4" w:space="0" w:color="auto"/>
            </w:tcBorders>
          </w:tcPr>
          <w:p w14:paraId="5269384C" w14:textId="77777777" w:rsidR="001616E5" w:rsidRPr="008B1465" w:rsidRDefault="001616E5" w:rsidP="009274B4">
            <w:pPr>
              <w:pStyle w:val="ListParagraph"/>
              <w:numPr>
                <w:ilvl w:val="0"/>
                <w:numId w:val="6"/>
              </w:numPr>
              <w:spacing w:before="0" w:beforeAutospacing="0" w:after="0" w:line="276" w:lineRule="auto"/>
              <w:jc w:val="both"/>
              <w:rPr>
                <w:rFonts w:ascii="Times New Roman" w:hAnsi="Times New Roman"/>
                <w:sz w:val="24"/>
                <w:szCs w:val="24"/>
              </w:rPr>
            </w:pPr>
          </w:p>
        </w:tc>
        <w:tc>
          <w:tcPr>
            <w:tcW w:w="6379" w:type="dxa"/>
            <w:tcBorders>
              <w:top w:val="single" w:sz="4" w:space="0" w:color="auto"/>
              <w:left w:val="nil"/>
              <w:bottom w:val="single" w:sz="4" w:space="0" w:color="auto"/>
              <w:right w:val="single" w:sz="4" w:space="0" w:color="auto"/>
            </w:tcBorders>
          </w:tcPr>
          <w:p w14:paraId="29A1984C" w14:textId="77777777" w:rsidR="001616E5" w:rsidRPr="008B1465" w:rsidRDefault="003F05E3" w:rsidP="009274B4">
            <w:pPr>
              <w:spacing w:before="0" w:beforeAutospacing="0" w:after="0" w:line="276" w:lineRule="auto"/>
              <w:jc w:val="both"/>
              <w:rPr>
                <w:rFonts w:ascii="Times New Roman" w:eastAsia="Calibri" w:hAnsi="Times New Roman"/>
                <w:sz w:val="24"/>
                <w:szCs w:val="24"/>
              </w:rPr>
            </w:pPr>
            <w:r w:rsidRPr="008B1465">
              <w:rPr>
                <w:rFonts w:ascii="Times New Roman" w:eastAsia="SimSun" w:hAnsi="Times New Roman"/>
                <w:sz w:val="24"/>
                <w:szCs w:val="24"/>
              </w:rPr>
              <w:t>Surprise visits of forensic accountants often result in the detection of irregularities in the bursary unit</w:t>
            </w:r>
          </w:p>
        </w:tc>
        <w:tc>
          <w:tcPr>
            <w:tcW w:w="624" w:type="dxa"/>
            <w:tcBorders>
              <w:top w:val="single" w:sz="4" w:space="0" w:color="auto"/>
              <w:left w:val="nil"/>
              <w:bottom w:val="single" w:sz="4" w:space="0" w:color="auto"/>
              <w:right w:val="single" w:sz="4" w:space="0" w:color="auto"/>
            </w:tcBorders>
          </w:tcPr>
          <w:p w14:paraId="375C6989"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6F498302"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7233E68C"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618" w:type="dxa"/>
            <w:tcBorders>
              <w:top w:val="single" w:sz="4" w:space="0" w:color="auto"/>
              <w:left w:val="nil"/>
              <w:bottom w:val="single" w:sz="4" w:space="0" w:color="auto"/>
              <w:right w:val="single" w:sz="4" w:space="0" w:color="auto"/>
            </w:tcBorders>
          </w:tcPr>
          <w:p w14:paraId="4C208EC1"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627" w:type="dxa"/>
            <w:tcBorders>
              <w:top w:val="single" w:sz="4" w:space="0" w:color="auto"/>
              <w:left w:val="nil"/>
              <w:bottom w:val="single" w:sz="4" w:space="0" w:color="auto"/>
              <w:right w:val="single" w:sz="4" w:space="0" w:color="auto"/>
            </w:tcBorders>
          </w:tcPr>
          <w:p w14:paraId="181172BC" w14:textId="77777777" w:rsidR="001616E5" w:rsidRPr="008B1465" w:rsidRDefault="001616E5" w:rsidP="009274B4">
            <w:pPr>
              <w:spacing w:before="0" w:beforeAutospacing="0" w:after="0" w:line="276" w:lineRule="auto"/>
              <w:jc w:val="both"/>
              <w:rPr>
                <w:rFonts w:ascii="Times New Roman" w:hAnsi="Times New Roman"/>
                <w:sz w:val="24"/>
                <w:szCs w:val="24"/>
              </w:rPr>
            </w:pPr>
          </w:p>
        </w:tc>
      </w:tr>
      <w:tr w:rsidR="000B5622" w:rsidRPr="008B1465" w14:paraId="0048F0C1" w14:textId="77777777">
        <w:tc>
          <w:tcPr>
            <w:tcW w:w="630" w:type="dxa"/>
            <w:tcBorders>
              <w:top w:val="single" w:sz="4" w:space="0" w:color="auto"/>
              <w:left w:val="single" w:sz="4" w:space="0" w:color="auto"/>
              <w:bottom w:val="single" w:sz="4" w:space="0" w:color="auto"/>
              <w:right w:val="single" w:sz="4" w:space="0" w:color="auto"/>
            </w:tcBorders>
          </w:tcPr>
          <w:p w14:paraId="5F02A236" w14:textId="77777777" w:rsidR="001616E5" w:rsidRPr="008B1465" w:rsidRDefault="001616E5" w:rsidP="009274B4">
            <w:pPr>
              <w:pStyle w:val="ListParagraph"/>
              <w:numPr>
                <w:ilvl w:val="0"/>
                <w:numId w:val="6"/>
              </w:numPr>
              <w:spacing w:before="0" w:beforeAutospacing="0" w:after="0" w:line="276" w:lineRule="auto"/>
              <w:jc w:val="both"/>
              <w:rPr>
                <w:rFonts w:ascii="Times New Roman" w:hAnsi="Times New Roman"/>
                <w:sz w:val="24"/>
                <w:szCs w:val="24"/>
              </w:rPr>
            </w:pPr>
          </w:p>
        </w:tc>
        <w:tc>
          <w:tcPr>
            <w:tcW w:w="6379" w:type="dxa"/>
            <w:tcBorders>
              <w:top w:val="single" w:sz="4" w:space="0" w:color="auto"/>
              <w:left w:val="nil"/>
              <w:bottom w:val="single" w:sz="4" w:space="0" w:color="auto"/>
              <w:right w:val="single" w:sz="4" w:space="0" w:color="auto"/>
            </w:tcBorders>
          </w:tcPr>
          <w:p w14:paraId="0315E516" w14:textId="77777777" w:rsidR="001616E5" w:rsidRPr="008B1465" w:rsidRDefault="003F05E3" w:rsidP="009274B4">
            <w:pPr>
              <w:spacing w:before="0" w:beforeAutospacing="0" w:after="0" w:line="276" w:lineRule="auto"/>
              <w:jc w:val="both"/>
              <w:rPr>
                <w:rFonts w:ascii="Times New Roman" w:eastAsia="Calibri" w:hAnsi="Times New Roman"/>
                <w:sz w:val="24"/>
                <w:szCs w:val="24"/>
              </w:rPr>
            </w:pPr>
            <w:r w:rsidRPr="008B1465">
              <w:rPr>
                <w:rFonts w:ascii="Times New Roman" w:eastAsia="SimSun" w:hAnsi="Times New Roman"/>
                <w:sz w:val="24"/>
                <w:szCs w:val="24"/>
              </w:rPr>
              <w:t>Surprise visits by forensic accountants have resulted in the suspension of staff members</w:t>
            </w:r>
          </w:p>
        </w:tc>
        <w:tc>
          <w:tcPr>
            <w:tcW w:w="624" w:type="dxa"/>
            <w:tcBorders>
              <w:top w:val="single" w:sz="4" w:space="0" w:color="auto"/>
              <w:left w:val="nil"/>
              <w:bottom w:val="single" w:sz="4" w:space="0" w:color="auto"/>
              <w:right w:val="single" w:sz="4" w:space="0" w:color="auto"/>
            </w:tcBorders>
          </w:tcPr>
          <w:p w14:paraId="7A022CF1"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40832359"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01EFD93D"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618" w:type="dxa"/>
            <w:tcBorders>
              <w:top w:val="single" w:sz="4" w:space="0" w:color="auto"/>
              <w:left w:val="nil"/>
              <w:bottom w:val="single" w:sz="4" w:space="0" w:color="auto"/>
              <w:right w:val="single" w:sz="4" w:space="0" w:color="auto"/>
            </w:tcBorders>
          </w:tcPr>
          <w:p w14:paraId="696DACB5"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627" w:type="dxa"/>
            <w:tcBorders>
              <w:top w:val="single" w:sz="4" w:space="0" w:color="auto"/>
              <w:left w:val="nil"/>
              <w:bottom w:val="single" w:sz="4" w:space="0" w:color="auto"/>
              <w:right w:val="single" w:sz="4" w:space="0" w:color="auto"/>
            </w:tcBorders>
          </w:tcPr>
          <w:p w14:paraId="2F879AC3" w14:textId="77777777" w:rsidR="001616E5" w:rsidRPr="008B1465" w:rsidRDefault="001616E5" w:rsidP="009274B4">
            <w:pPr>
              <w:spacing w:before="0" w:beforeAutospacing="0" w:after="0" w:line="276" w:lineRule="auto"/>
              <w:jc w:val="both"/>
              <w:rPr>
                <w:rFonts w:ascii="Times New Roman" w:hAnsi="Times New Roman"/>
                <w:sz w:val="24"/>
                <w:szCs w:val="24"/>
              </w:rPr>
            </w:pPr>
          </w:p>
        </w:tc>
      </w:tr>
      <w:tr w:rsidR="000B5622" w:rsidRPr="008B1465" w14:paraId="1E5624BF" w14:textId="77777777">
        <w:tc>
          <w:tcPr>
            <w:tcW w:w="630" w:type="dxa"/>
            <w:tcBorders>
              <w:top w:val="single" w:sz="4" w:space="0" w:color="auto"/>
              <w:left w:val="single" w:sz="4" w:space="0" w:color="auto"/>
              <w:bottom w:val="single" w:sz="4" w:space="0" w:color="auto"/>
              <w:right w:val="single" w:sz="4" w:space="0" w:color="auto"/>
            </w:tcBorders>
          </w:tcPr>
          <w:p w14:paraId="0948BB4A" w14:textId="77777777" w:rsidR="001616E5" w:rsidRPr="008B1465" w:rsidRDefault="001616E5" w:rsidP="009274B4">
            <w:pPr>
              <w:pStyle w:val="ListParagraph"/>
              <w:numPr>
                <w:ilvl w:val="0"/>
                <w:numId w:val="6"/>
              </w:numPr>
              <w:spacing w:before="0" w:beforeAutospacing="0" w:after="0" w:line="276" w:lineRule="auto"/>
              <w:jc w:val="both"/>
              <w:rPr>
                <w:rFonts w:ascii="Times New Roman" w:hAnsi="Times New Roman"/>
                <w:sz w:val="24"/>
                <w:szCs w:val="24"/>
              </w:rPr>
            </w:pPr>
          </w:p>
        </w:tc>
        <w:tc>
          <w:tcPr>
            <w:tcW w:w="6379" w:type="dxa"/>
            <w:tcBorders>
              <w:top w:val="single" w:sz="4" w:space="0" w:color="auto"/>
              <w:left w:val="nil"/>
              <w:bottom w:val="single" w:sz="4" w:space="0" w:color="auto"/>
              <w:right w:val="single" w:sz="4" w:space="0" w:color="auto"/>
            </w:tcBorders>
          </w:tcPr>
          <w:p w14:paraId="4645A893" w14:textId="77777777" w:rsidR="001616E5" w:rsidRPr="008B1465" w:rsidRDefault="003F05E3" w:rsidP="009274B4">
            <w:pPr>
              <w:spacing w:before="0" w:beforeAutospacing="0" w:after="0" w:line="276" w:lineRule="auto"/>
              <w:jc w:val="both"/>
              <w:rPr>
                <w:rFonts w:ascii="Times New Roman" w:eastAsia="Calibri" w:hAnsi="Times New Roman"/>
                <w:sz w:val="24"/>
                <w:szCs w:val="24"/>
              </w:rPr>
            </w:pPr>
            <w:r w:rsidRPr="008B1465">
              <w:rPr>
                <w:rFonts w:ascii="Times New Roman" w:eastAsia="SimSun" w:hAnsi="Times New Roman"/>
                <w:sz w:val="24"/>
                <w:szCs w:val="24"/>
              </w:rPr>
              <w:t>Surprise visits of forensic accountants often lead to an appraisal of the accounting officers in my institution</w:t>
            </w:r>
          </w:p>
        </w:tc>
        <w:tc>
          <w:tcPr>
            <w:tcW w:w="624" w:type="dxa"/>
            <w:tcBorders>
              <w:top w:val="single" w:sz="4" w:space="0" w:color="auto"/>
              <w:left w:val="nil"/>
              <w:bottom w:val="single" w:sz="4" w:space="0" w:color="auto"/>
              <w:right w:val="single" w:sz="4" w:space="0" w:color="auto"/>
            </w:tcBorders>
          </w:tcPr>
          <w:p w14:paraId="7960FB70"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189AE5C3"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096D16E0"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618" w:type="dxa"/>
            <w:tcBorders>
              <w:top w:val="single" w:sz="4" w:space="0" w:color="auto"/>
              <w:left w:val="nil"/>
              <w:bottom w:val="single" w:sz="4" w:space="0" w:color="auto"/>
              <w:right w:val="single" w:sz="4" w:space="0" w:color="auto"/>
            </w:tcBorders>
          </w:tcPr>
          <w:p w14:paraId="39134938"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627" w:type="dxa"/>
            <w:tcBorders>
              <w:top w:val="single" w:sz="4" w:space="0" w:color="auto"/>
              <w:left w:val="nil"/>
              <w:bottom w:val="single" w:sz="4" w:space="0" w:color="auto"/>
              <w:right w:val="single" w:sz="4" w:space="0" w:color="auto"/>
            </w:tcBorders>
          </w:tcPr>
          <w:p w14:paraId="33ECCBE0" w14:textId="77777777" w:rsidR="001616E5" w:rsidRPr="008B1465" w:rsidRDefault="001616E5" w:rsidP="009274B4">
            <w:pPr>
              <w:spacing w:before="0" w:beforeAutospacing="0" w:after="0" w:line="276" w:lineRule="auto"/>
              <w:jc w:val="both"/>
              <w:rPr>
                <w:rFonts w:ascii="Times New Roman" w:hAnsi="Times New Roman"/>
                <w:sz w:val="24"/>
                <w:szCs w:val="24"/>
              </w:rPr>
            </w:pPr>
          </w:p>
        </w:tc>
      </w:tr>
      <w:tr w:rsidR="000B5622" w:rsidRPr="008B1465" w14:paraId="362B7CAA" w14:textId="77777777">
        <w:tc>
          <w:tcPr>
            <w:tcW w:w="9942" w:type="dxa"/>
            <w:gridSpan w:val="7"/>
            <w:tcBorders>
              <w:top w:val="single" w:sz="4" w:space="0" w:color="auto"/>
              <w:left w:val="nil"/>
              <w:bottom w:val="single" w:sz="4" w:space="0" w:color="auto"/>
              <w:right w:val="nil"/>
            </w:tcBorders>
          </w:tcPr>
          <w:p w14:paraId="69CC7B17" w14:textId="77777777" w:rsidR="001616E5" w:rsidRPr="008B1465" w:rsidRDefault="001616E5" w:rsidP="0050580A">
            <w:pPr>
              <w:spacing w:before="0" w:beforeAutospacing="0" w:after="0" w:line="276" w:lineRule="auto"/>
              <w:jc w:val="center"/>
              <w:rPr>
                <w:rFonts w:ascii="Times New Roman" w:hAnsi="Times New Roman"/>
                <w:b/>
                <w:bCs/>
                <w:sz w:val="24"/>
                <w:szCs w:val="24"/>
              </w:rPr>
            </w:pPr>
          </w:p>
          <w:p w14:paraId="649B1B09" w14:textId="77777777" w:rsidR="001616E5" w:rsidRPr="008B1465" w:rsidRDefault="003F05E3" w:rsidP="0050580A">
            <w:pPr>
              <w:numPr>
                <w:ilvl w:val="0"/>
                <w:numId w:val="4"/>
              </w:numPr>
              <w:spacing w:before="0" w:beforeAutospacing="0" w:after="0" w:line="276" w:lineRule="auto"/>
              <w:jc w:val="center"/>
              <w:rPr>
                <w:rFonts w:ascii="Times New Roman" w:hAnsi="Times New Roman"/>
                <w:b/>
                <w:bCs/>
                <w:sz w:val="24"/>
                <w:szCs w:val="24"/>
              </w:rPr>
            </w:pPr>
            <w:r w:rsidRPr="008B1465">
              <w:rPr>
                <w:rFonts w:ascii="Times New Roman" w:hAnsi="Times New Roman"/>
                <w:b/>
                <w:bCs/>
                <w:sz w:val="24"/>
                <w:szCs w:val="24"/>
              </w:rPr>
              <w:t>Accounting and Digital Environment</w:t>
            </w:r>
          </w:p>
          <w:p w14:paraId="2D6927E0" w14:textId="77777777" w:rsidR="001616E5" w:rsidRPr="008B1465" w:rsidRDefault="001616E5" w:rsidP="009274B4">
            <w:pPr>
              <w:spacing w:before="0" w:beforeAutospacing="0" w:after="0" w:line="276" w:lineRule="auto"/>
              <w:jc w:val="both"/>
              <w:rPr>
                <w:rFonts w:ascii="Times New Roman" w:hAnsi="Times New Roman"/>
                <w:b/>
                <w:bCs/>
                <w:sz w:val="24"/>
                <w:szCs w:val="24"/>
              </w:rPr>
            </w:pPr>
          </w:p>
        </w:tc>
      </w:tr>
      <w:tr w:rsidR="000B5622" w:rsidRPr="008B1465" w14:paraId="3B2C2C5C" w14:textId="77777777">
        <w:tc>
          <w:tcPr>
            <w:tcW w:w="630" w:type="dxa"/>
            <w:tcBorders>
              <w:top w:val="single" w:sz="4" w:space="0" w:color="auto"/>
              <w:left w:val="single" w:sz="4" w:space="0" w:color="auto"/>
              <w:bottom w:val="single" w:sz="4" w:space="0" w:color="auto"/>
              <w:right w:val="single" w:sz="4" w:space="0" w:color="auto"/>
            </w:tcBorders>
          </w:tcPr>
          <w:p w14:paraId="3D5A59C1" w14:textId="77777777" w:rsidR="001616E5" w:rsidRPr="008B1465" w:rsidRDefault="003F05E3" w:rsidP="009274B4">
            <w:pPr>
              <w:spacing w:before="0" w:beforeAutospacing="0" w:after="0" w:line="276" w:lineRule="auto"/>
              <w:jc w:val="both"/>
              <w:rPr>
                <w:rFonts w:ascii="Times New Roman" w:hAnsi="Times New Roman"/>
                <w:sz w:val="24"/>
                <w:szCs w:val="24"/>
              </w:rPr>
            </w:pPr>
            <w:r w:rsidRPr="008B1465">
              <w:rPr>
                <w:rFonts w:ascii="Times New Roman" w:hAnsi="Times New Roman"/>
                <w:sz w:val="24"/>
                <w:szCs w:val="24"/>
              </w:rPr>
              <w:t>S/N</w:t>
            </w:r>
          </w:p>
        </w:tc>
        <w:tc>
          <w:tcPr>
            <w:tcW w:w="6379" w:type="dxa"/>
            <w:tcBorders>
              <w:top w:val="single" w:sz="4" w:space="0" w:color="auto"/>
              <w:left w:val="nil"/>
              <w:bottom w:val="single" w:sz="4" w:space="0" w:color="auto"/>
              <w:right w:val="single" w:sz="4" w:space="0" w:color="auto"/>
            </w:tcBorders>
          </w:tcPr>
          <w:p w14:paraId="4E320C57" w14:textId="77777777" w:rsidR="001616E5" w:rsidRPr="008B1465" w:rsidRDefault="003F05E3" w:rsidP="009274B4">
            <w:pPr>
              <w:spacing w:before="0" w:beforeAutospacing="0" w:after="0" w:line="276" w:lineRule="auto"/>
              <w:jc w:val="both"/>
              <w:rPr>
                <w:rFonts w:ascii="Times New Roman" w:hAnsi="Times New Roman"/>
                <w:b/>
                <w:bCs/>
                <w:sz w:val="24"/>
                <w:szCs w:val="24"/>
              </w:rPr>
            </w:pPr>
            <w:r w:rsidRPr="008B1465">
              <w:rPr>
                <w:rFonts w:ascii="Times New Roman" w:hAnsi="Times New Roman"/>
                <w:b/>
                <w:bCs/>
                <w:sz w:val="24"/>
                <w:szCs w:val="24"/>
              </w:rPr>
              <w:t>Items</w:t>
            </w:r>
          </w:p>
        </w:tc>
        <w:tc>
          <w:tcPr>
            <w:tcW w:w="624" w:type="dxa"/>
            <w:tcBorders>
              <w:top w:val="single" w:sz="4" w:space="0" w:color="auto"/>
              <w:left w:val="nil"/>
              <w:bottom w:val="single" w:sz="4" w:space="0" w:color="auto"/>
              <w:right w:val="single" w:sz="4" w:space="0" w:color="auto"/>
            </w:tcBorders>
            <w:vAlign w:val="center"/>
          </w:tcPr>
          <w:p w14:paraId="71104D87" w14:textId="77777777" w:rsidR="001616E5" w:rsidRPr="008B1465" w:rsidRDefault="003F05E3" w:rsidP="009274B4">
            <w:pPr>
              <w:spacing w:after="0" w:line="276" w:lineRule="auto"/>
              <w:jc w:val="both"/>
              <w:rPr>
                <w:rFonts w:ascii="Times New Roman" w:hAnsi="Times New Roman"/>
                <w:sz w:val="24"/>
                <w:szCs w:val="24"/>
              </w:rPr>
            </w:pPr>
            <w:r w:rsidRPr="008B1465">
              <w:rPr>
                <w:rFonts w:ascii="Times New Roman" w:hAnsi="Times New Roman"/>
                <w:b/>
                <w:sz w:val="24"/>
                <w:szCs w:val="24"/>
              </w:rPr>
              <w:t>SA</w:t>
            </w:r>
          </w:p>
        </w:tc>
        <w:tc>
          <w:tcPr>
            <w:tcW w:w="532" w:type="dxa"/>
            <w:tcBorders>
              <w:top w:val="single" w:sz="4" w:space="0" w:color="auto"/>
              <w:left w:val="nil"/>
              <w:bottom w:val="single" w:sz="4" w:space="0" w:color="auto"/>
              <w:right w:val="single" w:sz="4" w:space="0" w:color="auto"/>
            </w:tcBorders>
            <w:vAlign w:val="center"/>
          </w:tcPr>
          <w:p w14:paraId="197B31C6" w14:textId="77777777" w:rsidR="001616E5" w:rsidRPr="008B1465" w:rsidRDefault="003F05E3" w:rsidP="009274B4">
            <w:pPr>
              <w:spacing w:after="0" w:line="276" w:lineRule="auto"/>
              <w:jc w:val="both"/>
              <w:rPr>
                <w:rFonts w:ascii="Times New Roman" w:hAnsi="Times New Roman"/>
                <w:sz w:val="24"/>
                <w:szCs w:val="24"/>
              </w:rPr>
            </w:pPr>
            <w:r w:rsidRPr="008B1465">
              <w:rPr>
                <w:rFonts w:ascii="Times New Roman" w:hAnsi="Times New Roman"/>
                <w:b/>
                <w:sz w:val="24"/>
                <w:szCs w:val="24"/>
              </w:rPr>
              <w:t>A</w:t>
            </w:r>
          </w:p>
        </w:tc>
        <w:tc>
          <w:tcPr>
            <w:tcW w:w="532" w:type="dxa"/>
            <w:tcBorders>
              <w:top w:val="single" w:sz="4" w:space="0" w:color="auto"/>
              <w:left w:val="nil"/>
              <w:bottom w:val="single" w:sz="4" w:space="0" w:color="auto"/>
              <w:right w:val="single" w:sz="4" w:space="0" w:color="auto"/>
            </w:tcBorders>
            <w:vAlign w:val="center"/>
          </w:tcPr>
          <w:p w14:paraId="26314AFA" w14:textId="77777777" w:rsidR="001616E5" w:rsidRPr="008B1465" w:rsidRDefault="003F05E3" w:rsidP="009274B4">
            <w:pPr>
              <w:spacing w:after="0" w:line="276" w:lineRule="auto"/>
              <w:jc w:val="both"/>
              <w:rPr>
                <w:rFonts w:ascii="Times New Roman" w:hAnsi="Times New Roman"/>
                <w:sz w:val="24"/>
                <w:szCs w:val="24"/>
              </w:rPr>
            </w:pPr>
            <w:r w:rsidRPr="008B1465">
              <w:rPr>
                <w:rFonts w:ascii="Times New Roman" w:hAnsi="Times New Roman"/>
                <w:b/>
                <w:sz w:val="24"/>
                <w:szCs w:val="24"/>
              </w:rPr>
              <w:t>U</w:t>
            </w:r>
          </w:p>
        </w:tc>
        <w:tc>
          <w:tcPr>
            <w:tcW w:w="618" w:type="dxa"/>
            <w:tcBorders>
              <w:top w:val="single" w:sz="4" w:space="0" w:color="auto"/>
              <w:left w:val="nil"/>
              <w:bottom w:val="single" w:sz="4" w:space="0" w:color="auto"/>
              <w:right w:val="single" w:sz="4" w:space="0" w:color="auto"/>
            </w:tcBorders>
            <w:vAlign w:val="center"/>
          </w:tcPr>
          <w:p w14:paraId="4C162EB0" w14:textId="77777777" w:rsidR="001616E5" w:rsidRPr="008B1465" w:rsidRDefault="003F05E3" w:rsidP="009274B4">
            <w:pPr>
              <w:spacing w:after="0" w:line="276" w:lineRule="auto"/>
              <w:jc w:val="both"/>
              <w:rPr>
                <w:rFonts w:ascii="Times New Roman" w:hAnsi="Times New Roman"/>
                <w:sz w:val="24"/>
                <w:szCs w:val="24"/>
              </w:rPr>
            </w:pPr>
            <w:r w:rsidRPr="008B1465">
              <w:rPr>
                <w:rFonts w:ascii="Times New Roman" w:hAnsi="Times New Roman"/>
                <w:b/>
                <w:sz w:val="24"/>
                <w:szCs w:val="24"/>
              </w:rPr>
              <w:t>D</w:t>
            </w:r>
          </w:p>
        </w:tc>
        <w:tc>
          <w:tcPr>
            <w:tcW w:w="627" w:type="dxa"/>
            <w:tcBorders>
              <w:top w:val="single" w:sz="4" w:space="0" w:color="auto"/>
              <w:left w:val="nil"/>
              <w:bottom w:val="single" w:sz="4" w:space="0" w:color="auto"/>
              <w:right w:val="single" w:sz="4" w:space="0" w:color="auto"/>
            </w:tcBorders>
            <w:vAlign w:val="center"/>
          </w:tcPr>
          <w:p w14:paraId="0A09F5ED" w14:textId="77777777" w:rsidR="001616E5" w:rsidRPr="008B1465" w:rsidRDefault="003F05E3" w:rsidP="009274B4">
            <w:pPr>
              <w:spacing w:after="0" w:line="276" w:lineRule="auto"/>
              <w:jc w:val="both"/>
              <w:rPr>
                <w:rFonts w:ascii="Times New Roman" w:hAnsi="Times New Roman"/>
                <w:sz w:val="24"/>
                <w:szCs w:val="24"/>
              </w:rPr>
            </w:pPr>
            <w:r w:rsidRPr="008B1465">
              <w:rPr>
                <w:rFonts w:ascii="Times New Roman" w:hAnsi="Times New Roman"/>
                <w:b/>
                <w:sz w:val="24"/>
                <w:szCs w:val="24"/>
              </w:rPr>
              <w:t>SD</w:t>
            </w:r>
          </w:p>
        </w:tc>
      </w:tr>
      <w:tr w:rsidR="000B5622" w:rsidRPr="008B1465" w14:paraId="698B0FD3" w14:textId="77777777">
        <w:tc>
          <w:tcPr>
            <w:tcW w:w="630" w:type="dxa"/>
            <w:tcBorders>
              <w:top w:val="single" w:sz="4" w:space="0" w:color="auto"/>
              <w:left w:val="single" w:sz="4" w:space="0" w:color="auto"/>
              <w:bottom w:val="single" w:sz="4" w:space="0" w:color="auto"/>
              <w:right w:val="single" w:sz="4" w:space="0" w:color="auto"/>
            </w:tcBorders>
          </w:tcPr>
          <w:p w14:paraId="28AEA628" w14:textId="77777777" w:rsidR="001616E5" w:rsidRPr="008B1465" w:rsidRDefault="001616E5" w:rsidP="009274B4">
            <w:pPr>
              <w:pStyle w:val="ListParagraph"/>
              <w:numPr>
                <w:ilvl w:val="0"/>
                <w:numId w:val="7"/>
              </w:numPr>
              <w:spacing w:before="0" w:beforeAutospacing="0" w:after="0" w:line="276" w:lineRule="auto"/>
              <w:jc w:val="both"/>
              <w:rPr>
                <w:rFonts w:ascii="Times New Roman" w:hAnsi="Times New Roman"/>
                <w:sz w:val="24"/>
                <w:szCs w:val="24"/>
              </w:rPr>
            </w:pPr>
          </w:p>
        </w:tc>
        <w:tc>
          <w:tcPr>
            <w:tcW w:w="6379" w:type="dxa"/>
            <w:tcBorders>
              <w:top w:val="single" w:sz="4" w:space="0" w:color="auto"/>
              <w:left w:val="nil"/>
              <w:bottom w:val="single" w:sz="4" w:space="0" w:color="auto"/>
              <w:right w:val="single" w:sz="4" w:space="0" w:color="auto"/>
            </w:tcBorders>
          </w:tcPr>
          <w:p w14:paraId="4F29131D" w14:textId="77777777" w:rsidR="001616E5" w:rsidRPr="008B1465" w:rsidRDefault="003F05E3" w:rsidP="009274B4">
            <w:pPr>
              <w:spacing w:before="0" w:beforeAutospacing="0" w:after="0" w:line="276" w:lineRule="auto"/>
              <w:jc w:val="both"/>
              <w:rPr>
                <w:rFonts w:ascii="Times New Roman" w:hAnsi="Times New Roman"/>
                <w:sz w:val="24"/>
                <w:szCs w:val="24"/>
              </w:rPr>
            </w:pPr>
            <w:r w:rsidRPr="008B1465">
              <w:rPr>
                <w:rFonts w:ascii="Times New Roman" w:hAnsi="Times New Roman"/>
                <w:sz w:val="24"/>
                <w:szCs w:val="24"/>
              </w:rPr>
              <w:t>The service of a forensic accountant differs from a traditional external auditor</w:t>
            </w:r>
          </w:p>
        </w:tc>
        <w:tc>
          <w:tcPr>
            <w:tcW w:w="624" w:type="dxa"/>
            <w:tcBorders>
              <w:top w:val="single" w:sz="4" w:space="0" w:color="auto"/>
              <w:left w:val="nil"/>
              <w:bottom w:val="single" w:sz="4" w:space="0" w:color="auto"/>
              <w:right w:val="single" w:sz="4" w:space="0" w:color="auto"/>
            </w:tcBorders>
          </w:tcPr>
          <w:p w14:paraId="75CF1D6B"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25A88291"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4CA5AF58"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618" w:type="dxa"/>
            <w:tcBorders>
              <w:top w:val="single" w:sz="4" w:space="0" w:color="auto"/>
              <w:left w:val="nil"/>
              <w:bottom w:val="single" w:sz="4" w:space="0" w:color="auto"/>
              <w:right w:val="single" w:sz="4" w:space="0" w:color="auto"/>
            </w:tcBorders>
          </w:tcPr>
          <w:p w14:paraId="0B44A56E"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627" w:type="dxa"/>
            <w:tcBorders>
              <w:top w:val="single" w:sz="4" w:space="0" w:color="auto"/>
              <w:left w:val="nil"/>
              <w:bottom w:val="single" w:sz="4" w:space="0" w:color="auto"/>
              <w:right w:val="single" w:sz="4" w:space="0" w:color="auto"/>
            </w:tcBorders>
          </w:tcPr>
          <w:p w14:paraId="638B13FF" w14:textId="77777777" w:rsidR="001616E5" w:rsidRPr="008B1465" w:rsidRDefault="001616E5" w:rsidP="009274B4">
            <w:pPr>
              <w:spacing w:before="0" w:beforeAutospacing="0" w:after="0" w:line="276" w:lineRule="auto"/>
              <w:jc w:val="both"/>
              <w:rPr>
                <w:rFonts w:ascii="Times New Roman" w:hAnsi="Times New Roman"/>
                <w:sz w:val="24"/>
                <w:szCs w:val="24"/>
              </w:rPr>
            </w:pPr>
          </w:p>
        </w:tc>
      </w:tr>
      <w:tr w:rsidR="000B5622" w:rsidRPr="008B1465" w14:paraId="4C991485" w14:textId="77777777">
        <w:tc>
          <w:tcPr>
            <w:tcW w:w="630" w:type="dxa"/>
            <w:tcBorders>
              <w:top w:val="single" w:sz="4" w:space="0" w:color="auto"/>
              <w:left w:val="single" w:sz="4" w:space="0" w:color="auto"/>
              <w:bottom w:val="single" w:sz="4" w:space="0" w:color="auto"/>
              <w:right w:val="single" w:sz="4" w:space="0" w:color="auto"/>
            </w:tcBorders>
          </w:tcPr>
          <w:p w14:paraId="16EB0AF7" w14:textId="77777777" w:rsidR="001616E5" w:rsidRPr="008B1465" w:rsidRDefault="001616E5" w:rsidP="009274B4">
            <w:pPr>
              <w:pStyle w:val="ListParagraph"/>
              <w:numPr>
                <w:ilvl w:val="0"/>
                <w:numId w:val="7"/>
              </w:numPr>
              <w:spacing w:before="0" w:beforeAutospacing="0" w:after="0" w:line="276" w:lineRule="auto"/>
              <w:jc w:val="both"/>
              <w:rPr>
                <w:rFonts w:ascii="Times New Roman" w:hAnsi="Times New Roman"/>
                <w:sz w:val="24"/>
                <w:szCs w:val="24"/>
              </w:rPr>
            </w:pPr>
          </w:p>
        </w:tc>
        <w:tc>
          <w:tcPr>
            <w:tcW w:w="6379" w:type="dxa"/>
            <w:tcBorders>
              <w:top w:val="single" w:sz="4" w:space="0" w:color="auto"/>
              <w:left w:val="nil"/>
              <w:bottom w:val="single" w:sz="4" w:space="0" w:color="auto"/>
              <w:right w:val="single" w:sz="4" w:space="0" w:color="auto"/>
            </w:tcBorders>
          </w:tcPr>
          <w:p w14:paraId="52105C21" w14:textId="77777777" w:rsidR="001616E5" w:rsidRPr="008B1465" w:rsidRDefault="003F05E3" w:rsidP="009274B4">
            <w:pPr>
              <w:spacing w:before="0" w:beforeAutospacing="0" w:after="0" w:line="276" w:lineRule="auto"/>
              <w:jc w:val="both"/>
              <w:rPr>
                <w:rFonts w:ascii="Times New Roman" w:hAnsi="Times New Roman"/>
                <w:sz w:val="24"/>
                <w:szCs w:val="24"/>
              </w:rPr>
            </w:pPr>
            <w:r w:rsidRPr="008B1465">
              <w:rPr>
                <w:rFonts w:ascii="Times New Roman" w:hAnsi="Times New Roman"/>
                <w:sz w:val="24"/>
                <w:szCs w:val="24"/>
              </w:rPr>
              <w:t>The Services of digital forensic accountants are required at my university</w:t>
            </w:r>
          </w:p>
        </w:tc>
        <w:tc>
          <w:tcPr>
            <w:tcW w:w="624" w:type="dxa"/>
            <w:tcBorders>
              <w:top w:val="single" w:sz="4" w:space="0" w:color="auto"/>
              <w:left w:val="nil"/>
              <w:bottom w:val="single" w:sz="4" w:space="0" w:color="auto"/>
              <w:right w:val="single" w:sz="4" w:space="0" w:color="auto"/>
            </w:tcBorders>
          </w:tcPr>
          <w:p w14:paraId="58AB32E1"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3ACBDA39"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397F998B"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618" w:type="dxa"/>
            <w:tcBorders>
              <w:top w:val="single" w:sz="4" w:space="0" w:color="auto"/>
              <w:left w:val="nil"/>
              <w:bottom w:val="single" w:sz="4" w:space="0" w:color="auto"/>
              <w:right w:val="single" w:sz="4" w:space="0" w:color="auto"/>
            </w:tcBorders>
          </w:tcPr>
          <w:p w14:paraId="6F32455B"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627" w:type="dxa"/>
            <w:tcBorders>
              <w:top w:val="single" w:sz="4" w:space="0" w:color="auto"/>
              <w:left w:val="nil"/>
              <w:bottom w:val="single" w:sz="4" w:space="0" w:color="auto"/>
              <w:right w:val="single" w:sz="4" w:space="0" w:color="auto"/>
            </w:tcBorders>
          </w:tcPr>
          <w:p w14:paraId="769BA86B" w14:textId="77777777" w:rsidR="001616E5" w:rsidRPr="008B1465" w:rsidRDefault="001616E5" w:rsidP="009274B4">
            <w:pPr>
              <w:spacing w:before="0" w:beforeAutospacing="0" w:after="0" w:line="276" w:lineRule="auto"/>
              <w:jc w:val="both"/>
              <w:rPr>
                <w:rFonts w:ascii="Times New Roman" w:hAnsi="Times New Roman"/>
                <w:sz w:val="24"/>
                <w:szCs w:val="24"/>
              </w:rPr>
            </w:pPr>
          </w:p>
        </w:tc>
      </w:tr>
      <w:tr w:rsidR="000B5622" w:rsidRPr="008B1465" w14:paraId="29128113" w14:textId="77777777">
        <w:tc>
          <w:tcPr>
            <w:tcW w:w="630" w:type="dxa"/>
            <w:tcBorders>
              <w:top w:val="single" w:sz="4" w:space="0" w:color="auto"/>
              <w:left w:val="single" w:sz="4" w:space="0" w:color="auto"/>
              <w:bottom w:val="single" w:sz="4" w:space="0" w:color="auto"/>
              <w:right w:val="single" w:sz="4" w:space="0" w:color="auto"/>
            </w:tcBorders>
          </w:tcPr>
          <w:p w14:paraId="27B511B4" w14:textId="77777777" w:rsidR="001616E5" w:rsidRPr="008B1465" w:rsidRDefault="001616E5" w:rsidP="009274B4">
            <w:pPr>
              <w:pStyle w:val="ListParagraph"/>
              <w:numPr>
                <w:ilvl w:val="0"/>
                <w:numId w:val="7"/>
              </w:numPr>
              <w:spacing w:before="0" w:beforeAutospacing="0" w:after="0" w:line="276" w:lineRule="auto"/>
              <w:jc w:val="both"/>
              <w:rPr>
                <w:rFonts w:ascii="Times New Roman" w:hAnsi="Times New Roman"/>
                <w:sz w:val="24"/>
                <w:szCs w:val="24"/>
              </w:rPr>
            </w:pPr>
          </w:p>
        </w:tc>
        <w:tc>
          <w:tcPr>
            <w:tcW w:w="6379" w:type="dxa"/>
            <w:tcBorders>
              <w:top w:val="single" w:sz="4" w:space="0" w:color="auto"/>
              <w:left w:val="nil"/>
              <w:bottom w:val="single" w:sz="4" w:space="0" w:color="auto"/>
              <w:right w:val="single" w:sz="4" w:space="0" w:color="auto"/>
            </w:tcBorders>
          </w:tcPr>
          <w:p w14:paraId="6874E2A1" w14:textId="77777777" w:rsidR="001616E5" w:rsidRPr="008B1465" w:rsidRDefault="003F05E3" w:rsidP="009274B4">
            <w:pPr>
              <w:spacing w:before="0" w:beforeAutospacing="0" w:after="0" w:line="276" w:lineRule="auto"/>
              <w:jc w:val="both"/>
              <w:rPr>
                <w:rFonts w:ascii="Times New Roman" w:hAnsi="Times New Roman"/>
                <w:sz w:val="24"/>
                <w:szCs w:val="24"/>
              </w:rPr>
            </w:pPr>
            <w:r w:rsidRPr="008B1465">
              <w:rPr>
                <w:rFonts w:ascii="Times New Roman" w:hAnsi="Times New Roman"/>
                <w:sz w:val="24"/>
                <w:szCs w:val="24"/>
              </w:rPr>
              <w:t>Digital forensic accounting detects and prevents fraud in my university</w:t>
            </w:r>
          </w:p>
        </w:tc>
        <w:tc>
          <w:tcPr>
            <w:tcW w:w="624" w:type="dxa"/>
            <w:tcBorders>
              <w:top w:val="single" w:sz="4" w:space="0" w:color="auto"/>
              <w:left w:val="nil"/>
              <w:bottom w:val="single" w:sz="4" w:space="0" w:color="auto"/>
              <w:right w:val="single" w:sz="4" w:space="0" w:color="auto"/>
            </w:tcBorders>
          </w:tcPr>
          <w:p w14:paraId="67273C30"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673CE762"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268594A9"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618" w:type="dxa"/>
            <w:tcBorders>
              <w:top w:val="single" w:sz="4" w:space="0" w:color="auto"/>
              <w:left w:val="nil"/>
              <w:bottom w:val="single" w:sz="4" w:space="0" w:color="auto"/>
              <w:right w:val="single" w:sz="4" w:space="0" w:color="auto"/>
            </w:tcBorders>
          </w:tcPr>
          <w:p w14:paraId="6DA4ED1C"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627" w:type="dxa"/>
            <w:tcBorders>
              <w:top w:val="single" w:sz="4" w:space="0" w:color="auto"/>
              <w:left w:val="nil"/>
              <w:bottom w:val="single" w:sz="4" w:space="0" w:color="auto"/>
              <w:right w:val="single" w:sz="4" w:space="0" w:color="auto"/>
            </w:tcBorders>
          </w:tcPr>
          <w:p w14:paraId="6B294394" w14:textId="77777777" w:rsidR="001616E5" w:rsidRPr="008B1465" w:rsidRDefault="001616E5" w:rsidP="009274B4">
            <w:pPr>
              <w:spacing w:before="0" w:beforeAutospacing="0" w:after="0" w:line="276" w:lineRule="auto"/>
              <w:jc w:val="both"/>
              <w:rPr>
                <w:rFonts w:ascii="Times New Roman" w:hAnsi="Times New Roman"/>
                <w:sz w:val="24"/>
                <w:szCs w:val="24"/>
              </w:rPr>
            </w:pPr>
          </w:p>
        </w:tc>
      </w:tr>
      <w:tr w:rsidR="002D6F7B" w:rsidRPr="008B1465" w14:paraId="7D4AA3D3" w14:textId="77777777">
        <w:tc>
          <w:tcPr>
            <w:tcW w:w="630" w:type="dxa"/>
            <w:tcBorders>
              <w:top w:val="single" w:sz="4" w:space="0" w:color="auto"/>
              <w:left w:val="single" w:sz="4" w:space="0" w:color="auto"/>
              <w:bottom w:val="single" w:sz="4" w:space="0" w:color="auto"/>
              <w:right w:val="single" w:sz="4" w:space="0" w:color="auto"/>
            </w:tcBorders>
          </w:tcPr>
          <w:p w14:paraId="45EE7691" w14:textId="77777777" w:rsidR="001616E5" w:rsidRPr="008B1465" w:rsidRDefault="001616E5" w:rsidP="009274B4">
            <w:pPr>
              <w:pStyle w:val="ListParagraph"/>
              <w:numPr>
                <w:ilvl w:val="0"/>
                <w:numId w:val="7"/>
              </w:numPr>
              <w:spacing w:before="0" w:beforeAutospacing="0" w:after="0" w:line="276" w:lineRule="auto"/>
              <w:jc w:val="both"/>
              <w:rPr>
                <w:rFonts w:ascii="Times New Roman" w:hAnsi="Times New Roman"/>
                <w:sz w:val="24"/>
                <w:szCs w:val="24"/>
              </w:rPr>
            </w:pPr>
          </w:p>
        </w:tc>
        <w:tc>
          <w:tcPr>
            <w:tcW w:w="6379" w:type="dxa"/>
            <w:tcBorders>
              <w:top w:val="single" w:sz="4" w:space="0" w:color="auto"/>
              <w:left w:val="nil"/>
              <w:bottom w:val="single" w:sz="4" w:space="0" w:color="auto"/>
              <w:right w:val="single" w:sz="4" w:space="0" w:color="auto"/>
            </w:tcBorders>
          </w:tcPr>
          <w:p w14:paraId="68476926" w14:textId="77777777" w:rsidR="001616E5" w:rsidRPr="008B1465" w:rsidRDefault="003F05E3" w:rsidP="009274B4">
            <w:pPr>
              <w:spacing w:before="0" w:beforeAutospacing="0" w:after="0" w:line="276" w:lineRule="auto"/>
              <w:jc w:val="both"/>
              <w:rPr>
                <w:rFonts w:ascii="Times New Roman" w:hAnsi="Times New Roman"/>
                <w:sz w:val="24"/>
                <w:szCs w:val="24"/>
              </w:rPr>
            </w:pPr>
            <w:r w:rsidRPr="008B1465">
              <w:rPr>
                <w:rFonts w:ascii="Times New Roman" w:hAnsi="Times New Roman"/>
                <w:sz w:val="24"/>
                <w:szCs w:val="24"/>
              </w:rPr>
              <w:t>The services of digital forensic accountants are preferable to the services of the traditional external auditor at my university</w:t>
            </w:r>
          </w:p>
        </w:tc>
        <w:tc>
          <w:tcPr>
            <w:tcW w:w="624" w:type="dxa"/>
            <w:tcBorders>
              <w:top w:val="single" w:sz="4" w:space="0" w:color="auto"/>
              <w:left w:val="nil"/>
              <w:bottom w:val="single" w:sz="4" w:space="0" w:color="auto"/>
              <w:right w:val="single" w:sz="4" w:space="0" w:color="auto"/>
            </w:tcBorders>
          </w:tcPr>
          <w:p w14:paraId="1699B3CB"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2193362F"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532" w:type="dxa"/>
            <w:tcBorders>
              <w:top w:val="single" w:sz="4" w:space="0" w:color="auto"/>
              <w:left w:val="nil"/>
              <w:bottom w:val="single" w:sz="4" w:space="0" w:color="auto"/>
              <w:right w:val="single" w:sz="4" w:space="0" w:color="auto"/>
            </w:tcBorders>
          </w:tcPr>
          <w:p w14:paraId="27926ED6"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618" w:type="dxa"/>
            <w:tcBorders>
              <w:top w:val="single" w:sz="4" w:space="0" w:color="auto"/>
              <w:left w:val="nil"/>
              <w:bottom w:val="single" w:sz="4" w:space="0" w:color="auto"/>
              <w:right w:val="single" w:sz="4" w:space="0" w:color="auto"/>
            </w:tcBorders>
          </w:tcPr>
          <w:p w14:paraId="37B2BF57" w14:textId="77777777" w:rsidR="001616E5" w:rsidRPr="008B1465" w:rsidRDefault="001616E5" w:rsidP="009274B4">
            <w:pPr>
              <w:spacing w:before="0" w:beforeAutospacing="0" w:after="0" w:line="276" w:lineRule="auto"/>
              <w:jc w:val="both"/>
              <w:rPr>
                <w:rFonts w:ascii="Times New Roman" w:hAnsi="Times New Roman"/>
                <w:sz w:val="24"/>
                <w:szCs w:val="24"/>
              </w:rPr>
            </w:pPr>
          </w:p>
        </w:tc>
        <w:tc>
          <w:tcPr>
            <w:tcW w:w="627" w:type="dxa"/>
            <w:tcBorders>
              <w:top w:val="single" w:sz="4" w:space="0" w:color="auto"/>
              <w:left w:val="nil"/>
              <w:bottom w:val="single" w:sz="4" w:space="0" w:color="auto"/>
              <w:right w:val="single" w:sz="4" w:space="0" w:color="auto"/>
            </w:tcBorders>
          </w:tcPr>
          <w:p w14:paraId="5F633DE7" w14:textId="77777777" w:rsidR="001616E5" w:rsidRPr="008B1465" w:rsidRDefault="001616E5" w:rsidP="009274B4">
            <w:pPr>
              <w:spacing w:before="0" w:beforeAutospacing="0" w:after="0" w:line="276" w:lineRule="auto"/>
              <w:jc w:val="both"/>
              <w:rPr>
                <w:rFonts w:ascii="Times New Roman" w:hAnsi="Times New Roman"/>
                <w:sz w:val="24"/>
                <w:szCs w:val="24"/>
              </w:rPr>
            </w:pPr>
          </w:p>
        </w:tc>
      </w:tr>
    </w:tbl>
    <w:p w14:paraId="337BDED9" w14:textId="77777777" w:rsidR="001616E5" w:rsidRPr="008B1465" w:rsidRDefault="003F05E3" w:rsidP="0005457D">
      <w:pPr>
        <w:spacing w:after="0" w:line="360" w:lineRule="auto"/>
        <w:jc w:val="center"/>
        <w:rPr>
          <w:rFonts w:ascii="Times New Roman" w:hAnsi="Times New Roman"/>
          <w:b/>
          <w:sz w:val="24"/>
          <w:szCs w:val="24"/>
        </w:rPr>
      </w:pPr>
      <w:r w:rsidRPr="008B1465">
        <w:rPr>
          <w:rFonts w:ascii="Times New Roman" w:hAnsi="Times New Roman"/>
          <w:b/>
          <w:sz w:val="24"/>
          <w:szCs w:val="24"/>
        </w:rPr>
        <w:t>SECTION C: FINANCIAL MISCONDUCT</w:t>
      </w:r>
    </w:p>
    <w:tbl>
      <w:tblPr>
        <w:tblW w:w="10258" w:type="dxa"/>
        <w:tblLook w:val="04A0" w:firstRow="1" w:lastRow="0" w:firstColumn="1" w:lastColumn="0" w:noHBand="0" w:noVBand="1"/>
      </w:tblPr>
      <w:tblGrid>
        <w:gridCol w:w="852"/>
        <w:gridCol w:w="5985"/>
        <w:gridCol w:w="759"/>
        <w:gridCol w:w="664"/>
        <w:gridCol w:w="664"/>
        <w:gridCol w:w="664"/>
        <w:gridCol w:w="761"/>
      </w:tblGrid>
      <w:tr w:rsidR="000B5622" w:rsidRPr="008B1465" w14:paraId="355BA793" w14:textId="77777777" w:rsidTr="009863A5">
        <w:trPr>
          <w:trHeight w:val="398"/>
        </w:trPr>
        <w:tc>
          <w:tcPr>
            <w:tcW w:w="10258" w:type="dxa"/>
            <w:gridSpan w:val="7"/>
            <w:tcBorders>
              <w:top w:val="nil"/>
              <w:left w:val="nil"/>
              <w:bottom w:val="single" w:sz="4" w:space="0" w:color="auto"/>
              <w:right w:val="nil"/>
            </w:tcBorders>
            <w:vAlign w:val="center"/>
          </w:tcPr>
          <w:p w14:paraId="3220F4CA" w14:textId="77777777" w:rsidR="001616E5" w:rsidRPr="008B1465" w:rsidRDefault="003F05E3" w:rsidP="0005457D">
            <w:pPr>
              <w:spacing w:after="0" w:line="276" w:lineRule="auto"/>
              <w:jc w:val="center"/>
              <w:rPr>
                <w:rFonts w:ascii="Times New Roman" w:hAnsi="Times New Roman"/>
                <w:b/>
                <w:sz w:val="24"/>
                <w:szCs w:val="24"/>
              </w:rPr>
            </w:pPr>
            <w:r w:rsidRPr="008B1465">
              <w:rPr>
                <w:rFonts w:ascii="Times New Roman" w:hAnsi="Times New Roman"/>
                <w:b/>
                <w:sz w:val="24"/>
                <w:szCs w:val="24"/>
              </w:rPr>
              <w:t>I.  Value for Money Practices</w:t>
            </w:r>
          </w:p>
        </w:tc>
      </w:tr>
      <w:tr w:rsidR="000B5622" w:rsidRPr="008B1465" w14:paraId="116267E0" w14:textId="77777777" w:rsidTr="009863A5">
        <w:trPr>
          <w:trHeight w:val="398"/>
        </w:trPr>
        <w:tc>
          <w:tcPr>
            <w:tcW w:w="614" w:type="dxa"/>
            <w:tcBorders>
              <w:top w:val="single" w:sz="4" w:space="0" w:color="auto"/>
              <w:left w:val="single" w:sz="4" w:space="0" w:color="000000"/>
              <w:bottom w:val="single" w:sz="4" w:space="0" w:color="000000"/>
              <w:right w:val="single" w:sz="4" w:space="0" w:color="000000"/>
            </w:tcBorders>
            <w:vAlign w:val="center"/>
          </w:tcPr>
          <w:p w14:paraId="1838831A" w14:textId="77777777" w:rsidR="001616E5" w:rsidRPr="008B1465" w:rsidRDefault="003F05E3" w:rsidP="00861EC5">
            <w:pPr>
              <w:spacing w:after="0" w:line="276" w:lineRule="auto"/>
              <w:jc w:val="both"/>
              <w:rPr>
                <w:rFonts w:ascii="Times New Roman" w:hAnsi="Times New Roman"/>
                <w:sz w:val="24"/>
                <w:szCs w:val="24"/>
              </w:rPr>
            </w:pPr>
            <w:r w:rsidRPr="008B1465">
              <w:rPr>
                <w:rFonts w:ascii="Times New Roman" w:hAnsi="Times New Roman"/>
                <w:b/>
                <w:sz w:val="24"/>
                <w:szCs w:val="24"/>
              </w:rPr>
              <w:t>S/N</w:t>
            </w:r>
          </w:p>
        </w:tc>
        <w:tc>
          <w:tcPr>
            <w:tcW w:w="6890" w:type="dxa"/>
            <w:tcBorders>
              <w:top w:val="single" w:sz="4" w:space="0" w:color="auto"/>
              <w:left w:val="nil"/>
              <w:bottom w:val="single" w:sz="4" w:space="0" w:color="000000"/>
              <w:right w:val="single" w:sz="4" w:space="0" w:color="000000"/>
            </w:tcBorders>
            <w:vAlign w:val="center"/>
          </w:tcPr>
          <w:p w14:paraId="4B0A47F9" w14:textId="77777777" w:rsidR="001616E5" w:rsidRPr="008B1465" w:rsidRDefault="003F05E3" w:rsidP="00861EC5">
            <w:pPr>
              <w:spacing w:after="0" w:line="276" w:lineRule="auto"/>
              <w:jc w:val="both"/>
              <w:rPr>
                <w:rFonts w:ascii="Times New Roman" w:hAnsi="Times New Roman"/>
                <w:sz w:val="24"/>
                <w:szCs w:val="24"/>
              </w:rPr>
            </w:pPr>
            <w:r w:rsidRPr="008B1465">
              <w:rPr>
                <w:rFonts w:ascii="Times New Roman" w:hAnsi="Times New Roman"/>
                <w:b/>
                <w:sz w:val="24"/>
                <w:szCs w:val="24"/>
              </w:rPr>
              <w:t>Items</w:t>
            </w:r>
          </w:p>
        </w:tc>
        <w:tc>
          <w:tcPr>
            <w:tcW w:w="550" w:type="dxa"/>
            <w:tcBorders>
              <w:top w:val="single" w:sz="4" w:space="0" w:color="auto"/>
              <w:left w:val="nil"/>
              <w:bottom w:val="single" w:sz="4" w:space="0" w:color="000000"/>
              <w:right w:val="single" w:sz="4" w:space="0" w:color="000000"/>
            </w:tcBorders>
            <w:vAlign w:val="center"/>
          </w:tcPr>
          <w:p w14:paraId="6477F8E4" w14:textId="77777777" w:rsidR="001616E5" w:rsidRPr="008B1465" w:rsidRDefault="003F05E3" w:rsidP="00861EC5">
            <w:pPr>
              <w:spacing w:after="0" w:line="276" w:lineRule="auto"/>
              <w:jc w:val="both"/>
              <w:rPr>
                <w:rFonts w:ascii="Times New Roman" w:hAnsi="Times New Roman"/>
                <w:sz w:val="24"/>
                <w:szCs w:val="24"/>
              </w:rPr>
            </w:pPr>
            <w:r w:rsidRPr="008B1465">
              <w:rPr>
                <w:rFonts w:ascii="Times New Roman" w:hAnsi="Times New Roman"/>
                <w:b/>
                <w:sz w:val="24"/>
                <w:szCs w:val="24"/>
              </w:rPr>
              <w:t>SA</w:t>
            </w:r>
          </w:p>
        </w:tc>
        <w:tc>
          <w:tcPr>
            <w:tcW w:w="550" w:type="dxa"/>
            <w:tcBorders>
              <w:top w:val="single" w:sz="4" w:space="0" w:color="auto"/>
              <w:left w:val="nil"/>
              <w:bottom w:val="single" w:sz="4" w:space="0" w:color="000000"/>
              <w:right w:val="single" w:sz="4" w:space="0" w:color="000000"/>
            </w:tcBorders>
            <w:vAlign w:val="center"/>
          </w:tcPr>
          <w:p w14:paraId="69943012" w14:textId="77777777" w:rsidR="001616E5" w:rsidRPr="008B1465" w:rsidRDefault="003F05E3" w:rsidP="00861EC5">
            <w:pPr>
              <w:spacing w:after="0" w:line="276" w:lineRule="auto"/>
              <w:jc w:val="both"/>
              <w:rPr>
                <w:rFonts w:ascii="Times New Roman" w:hAnsi="Times New Roman"/>
                <w:sz w:val="24"/>
                <w:szCs w:val="24"/>
              </w:rPr>
            </w:pPr>
            <w:r w:rsidRPr="008B1465">
              <w:rPr>
                <w:rFonts w:ascii="Times New Roman" w:hAnsi="Times New Roman"/>
                <w:b/>
                <w:sz w:val="24"/>
                <w:szCs w:val="24"/>
              </w:rPr>
              <w:t>A</w:t>
            </w:r>
          </w:p>
        </w:tc>
        <w:tc>
          <w:tcPr>
            <w:tcW w:w="550" w:type="dxa"/>
            <w:tcBorders>
              <w:top w:val="single" w:sz="4" w:space="0" w:color="auto"/>
              <w:left w:val="nil"/>
              <w:bottom w:val="single" w:sz="4" w:space="0" w:color="000000"/>
              <w:right w:val="single" w:sz="4" w:space="0" w:color="000000"/>
            </w:tcBorders>
            <w:vAlign w:val="center"/>
          </w:tcPr>
          <w:p w14:paraId="75051C4B" w14:textId="77777777" w:rsidR="001616E5" w:rsidRPr="008B1465" w:rsidRDefault="003F05E3" w:rsidP="00861EC5">
            <w:pPr>
              <w:spacing w:after="0" w:line="276" w:lineRule="auto"/>
              <w:jc w:val="both"/>
              <w:rPr>
                <w:rFonts w:ascii="Times New Roman" w:hAnsi="Times New Roman"/>
                <w:sz w:val="24"/>
                <w:szCs w:val="24"/>
              </w:rPr>
            </w:pPr>
            <w:r w:rsidRPr="008B1465">
              <w:rPr>
                <w:rFonts w:ascii="Times New Roman" w:hAnsi="Times New Roman"/>
                <w:b/>
                <w:sz w:val="24"/>
                <w:szCs w:val="24"/>
              </w:rPr>
              <w:t>U</w:t>
            </w:r>
          </w:p>
        </w:tc>
        <w:tc>
          <w:tcPr>
            <w:tcW w:w="550" w:type="dxa"/>
            <w:tcBorders>
              <w:top w:val="single" w:sz="4" w:space="0" w:color="auto"/>
              <w:left w:val="nil"/>
              <w:bottom w:val="single" w:sz="4" w:space="0" w:color="000000"/>
              <w:right w:val="single" w:sz="4" w:space="0" w:color="000000"/>
            </w:tcBorders>
            <w:vAlign w:val="center"/>
          </w:tcPr>
          <w:p w14:paraId="601B6FD1" w14:textId="77777777" w:rsidR="001616E5" w:rsidRPr="008B1465" w:rsidRDefault="003F05E3" w:rsidP="00861EC5">
            <w:pPr>
              <w:spacing w:after="0" w:line="276" w:lineRule="auto"/>
              <w:jc w:val="both"/>
              <w:rPr>
                <w:rFonts w:ascii="Times New Roman" w:hAnsi="Times New Roman"/>
                <w:sz w:val="24"/>
                <w:szCs w:val="24"/>
              </w:rPr>
            </w:pPr>
            <w:r w:rsidRPr="008B1465">
              <w:rPr>
                <w:rFonts w:ascii="Times New Roman" w:hAnsi="Times New Roman"/>
                <w:b/>
                <w:sz w:val="24"/>
                <w:szCs w:val="24"/>
              </w:rPr>
              <w:t>D</w:t>
            </w:r>
          </w:p>
        </w:tc>
        <w:tc>
          <w:tcPr>
            <w:tcW w:w="554" w:type="dxa"/>
            <w:tcBorders>
              <w:top w:val="single" w:sz="4" w:space="0" w:color="auto"/>
              <w:left w:val="nil"/>
              <w:bottom w:val="single" w:sz="4" w:space="0" w:color="000000"/>
              <w:right w:val="single" w:sz="4" w:space="0" w:color="000000"/>
            </w:tcBorders>
            <w:vAlign w:val="center"/>
          </w:tcPr>
          <w:p w14:paraId="179D8776" w14:textId="77777777" w:rsidR="001616E5" w:rsidRPr="008B1465" w:rsidRDefault="003F05E3" w:rsidP="00861EC5">
            <w:pPr>
              <w:spacing w:after="0" w:line="276" w:lineRule="auto"/>
              <w:jc w:val="both"/>
              <w:rPr>
                <w:rFonts w:ascii="Times New Roman" w:hAnsi="Times New Roman"/>
                <w:sz w:val="24"/>
                <w:szCs w:val="24"/>
              </w:rPr>
            </w:pPr>
            <w:r w:rsidRPr="008B1465">
              <w:rPr>
                <w:rFonts w:ascii="Times New Roman" w:hAnsi="Times New Roman"/>
                <w:b/>
                <w:sz w:val="24"/>
                <w:szCs w:val="24"/>
              </w:rPr>
              <w:t>SD</w:t>
            </w:r>
          </w:p>
        </w:tc>
      </w:tr>
      <w:tr w:rsidR="000B5622" w:rsidRPr="008B1465" w14:paraId="1AEA308D" w14:textId="77777777" w:rsidTr="009863A5">
        <w:trPr>
          <w:trHeight w:val="412"/>
        </w:trPr>
        <w:tc>
          <w:tcPr>
            <w:tcW w:w="614" w:type="dxa"/>
            <w:tcBorders>
              <w:top w:val="single" w:sz="4" w:space="0" w:color="000000"/>
              <w:left w:val="single" w:sz="4" w:space="0" w:color="000000"/>
              <w:bottom w:val="single" w:sz="4" w:space="0" w:color="000000"/>
              <w:right w:val="single" w:sz="4" w:space="0" w:color="000000"/>
            </w:tcBorders>
          </w:tcPr>
          <w:p w14:paraId="0737C416" w14:textId="77777777" w:rsidR="001616E5" w:rsidRPr="008B1465" w:rsidRDefault="001616E5" w:rsidP="00861EC5">
            <w:pPr>
              <w:pStyle w:val="ListParagraph"/>
              <w:numPr>
                <w:ilvl w:val="0"/>
                <w:numId w:val="7"/>
              </w:numPr>
              <w:spacing w:after="0" w:line="276" w:lineRule="auto"/>
              <w:jc w:val="both"/>
              <w:rPr>
                <w:rFonts w:ascii="Times New Roman" w:eastAsia="Calibri" w:hAnsi="Times New Roman"/>
                <w:sz w:val="24"/>
                <w:szCs w:val="24"/>
              </w:rPr>
            </w:pPr>
          </w:p>
        </w:tc>
        <w:tc>
          <w:tcPr>
            <w:tcW w:w="6890" w:type="dxa"/>
            <w:tcBorders>
              <w:top w:val="single" w:sz="4" w:space="0" w:color="000000"/>
              <w:left w:val="nil"/>
              <w:bottom w:val="single" w:sz="4" w:space="0" w:color="000000"/>
              <w:right w:val="single" w:sz="4" w:space="0" w:color="000000"/>
            </w:tcBorders>
          </w:tcPr>
          <w:p w14:paraId="016A2CF4" w14:textId="77777777" w:rsidR="001616E5" w:rsidRPr="008B1465" w:rsidRDefault="003F05E3" w:rsidP="00861EC5">
            <w:pPr>
              <w:spacing w:after="0" w:line="276" w:lineRule="auto"/>
              <w:jc w:val="both"/>
              <w:rPr>
                <w:rFonts w:ascii="Times New Roman" w:hAnsi="Times New Roman"/>
                <w:sz w:val="24"/>
                <w:szCs w:val="24"/>
              </w:rPr>
            </w:pPr>
            <w:r w:rsidRPr="008B1465">
              <w:rPr>
                <w:rStyle w:val="15"/>
                <w:rFonts w:ascii="Times New Roman" w:eastAsia="Calibri" w:hAnsi="Times New Roman" w:cs="Times New Roman"/>
                <w:sz w:val="24"/>
                <w:szCs w:val="24"/>
              </w:rPr>
              <w:t>The procurement activities of my university aim at achieving value for money</w:t>
            </w:r>
          </w:p>
        </w:tc>
        <w:tc>
          <w:tcPr>
            <w:tcW w:w="550" w:type="dxa"/>
            <w:tcBorders>
              <w:top w:val="single" w:sz="4" w:space="0" w:color="000000"/>
              <w:left w:val="nil"/>
              <w:bottom w:val="single" w:sz="4" w:space="0" w:color="000000"/>
              <w:right w:val="single" w:sz="4" w:space="0" w:color="000000"/>
            </w:tcBorders>
          </w:tcPr>
          <w:p w14:paraId="614B3F84" w14:textId="77777777" w:rsidR="001616E5" w:rsidRPr="008B1465" w:rsidRDefault="001616E5" w:rsidP="00861EC5">
            <w:pPr>
              <w:spacing w:after="0" w:line="276" w:lineRule="auto"/>
              <w:jc w:val="both"/>
              <w:rPr>
                <w:rFonts w:ascii="Times New Roman" w:hAnsi="Times New Roman"/>
                <w:sz w:val="24"/>
                <w:szCs w:val="24"/>
              </w:rPr>
            </w:pPr>
          </w:p>
        </w:tc>
        <w:tc>
          <w:tcPr>
            <w:tcW w:w="550" w:type="dxa"/>
            <w:tcBorders>
              <w:top w:val="single" w:sz="4" w:space="0" w:color="000000"/>
              <w:left w:val="nil"/>
              <w:bottom w:val="single" w:sz="4" w:space="0" w:color="000000"/>
              <w:right w:val="single" w:sz="4" w:space="0" w:color="000000"/>
            </w:tcBorders>
          </w:tcPr>
          <w:p w14:paraId="1ED0919C" w14:textId="77777777" w:rsidR="001616E5" w:rsidRPr="008B1465" w:rsidRDefault="001616E5" w:rsidP="00861EC5">
            <w:pPr>
              <w:spacing w:after="0" w:line="276" w:lineRule="auto"/>
              <w:jc w:val="both"/>
              <w:rPr>
                <w:rFonts w:ascii="Times New Roman" w:hAnsi="Times New Roman"/>
                <w:sz w:val="24"/>
                <w:szCs w:val="24"/>
              </w:rPr>
            </w:pPr>
          </w:p>
        </w:tc>
        <w:tc>
          <w:tcPr>
            <w:tcW w:w="550" w:type="dxa"/>
            <w:tcBorders>
              <w:top w:val="single" w:sz="4" w:space="0" w:color="000000"/>
              <w:left w:val="nil"/>
              <w:bottom w:val="single" w:sz="4" w:space="0" w:color="000000"/>
              <w:right w:val="single" w:sz="4" w:space="0" w:color="000000"/>
            </w:tcBorders>
          </w:tcPr>
          <w:p w14:paraId="426EC6C4" w14:textId="77777777" w:rsidR="001616E5" w:rsidRPr="008B1465" w:rsidRDefault="001616E5" w:rsidP="00861EC5">
            <w:pPr>
              <w:spacing w:after="0" w:line="276" w:lineRule="auto"/>
              <w:jc w:val="both"/>
              <w:rPr>
                <w:rFonts w:ascii="Times New Roman" w:hAnsi="Times New Roman"/>
                <w:sz w:val="24"/>
                <w:szCs w:val="24"/>
              </w:rPr>
            </w:pPr>
          </w:p>
        </w:tc>
        <w:tc>
          <w:tcPr>
            <w:tcW w:w="550" w:type="dxa"/>
            <w:tcBorders>
              <w:top w:val="single" w:sz="4" w:space="0" w:color="000000"/>
              <w:left w:val="nil"/>
              <w:bottom w:val="single" w:sz="4" w:space="0" w:color="000000"/>
              <w:right w:val="single" w:sz="4" w:space="0" w:color="000000"/>
            </w:tcBorders>
          </w:tcPr>
          <w:p w14:paraId="2ECC36C7" w14:textId="77777777" w:rsidR="001616E5" w:rsidRPr="008B1465" w:rsidRDefault="001616E5" w:rsidP="00861EC5">
            <w:pPr>
              <w:spacing w:after="0" w:line="276" w:lineRule="auto"/>
              <w:jc w:val="both"/>
              <w:rPr>
                <w:rFonts w:ascii="Times New Roman" w:hAnsi="Times New Roman"/>
                <w:sz w:val="24"/>
                <w:szCs w:val="24"/>
              </w:rPr>
            </w:pPr>
          </w:p>
        </w:tc>
        <w:tc>
          <w:tcPr>
            <w:tcW w:w="554" w:type="dxa"/>
            <w:tcBorders>
              <w:top w:val="single" w:sz="4" w:space="0" w:color="000000"/>
              <w:left w:val="nil"/>
              <w:bottom w:val="single" w:sz="4" w:space="0" w:color="000000"/>
              <w:right w:val="single" w:sz="4" w:space="0" w:color="000000"/>
            </w:tcBorders>
          </w:tcPr>
          <w:p w14:paraId="6B5E4782" w14:textId="77777777" w:rsidR="001616E5" w:rsidRPr="008B1465" w:rsidRDefault="001616E5" w:rsidP="00861EC5">
            <w:pPr>
              <w:spacing w:after="0" w:line="276" w:lineRule="auto"/>
              <w:jc w:val="both"/>
              <w:rPr>
                <w:rFonts w:ascii="Times New Roman" w:hAnsi="Times New Roman"/>
                <w:sz w:val="24"/>
                <w:szCs w:val="24"/>
              </w:rPr>
            </w:pPr>
          </w:p>
        </w:tc>
      </w:tr>
      <w:tr w:rsidR="000B5622" w:rsidRPr="008B1465" w14:paraId="56256F8F" w14:textId="77777777" w:rsidTr="009863A5">
        <w:trPr>
          <w:trHeight w:val="398"/>
        </w:trPr>
        <w:tc>
          <w:tcPr>
            <w:tcW w:w="614" w:type="dxa"/>
            <w:tcBorders>
              <w:top w:val="single" w:sz="4" w:space="0" w:color="000000"/>
              <w:left w:val="single" w:sz="4" w:space="0" w:color="000000"/>
              <w:bottom w:val="single" w:sz="4" w:space="0" w:color="000000"/>
              <w:right w:val="single" w:sz="4" w:space="0" w:color="000000"/>
            </w:tcBorders>
          </w:tcPr>
          <w:p w14:paraId="25556179" w14:textId="77777777" w:rsidR="001616E5" w:rsidRPr="008B1465" w:rsidRDefault="001616E5" w:rsidP="00861EC5">
            <w:pPr>
              <w:pStyle w:val="ListParagraph"/>
              <w:numPr>
                <w:ilvl w:val="0"/>
                <w:numId w:val="7"/>
              </w:numPr>
              <w:spacing w:after="0" w:line="276" w:lineRule="auto"/>
              <w:jc w:val="both"/>
              <w:rPr>
                <w:rFonts w:ascii="Times New Roman" w:eastAsia="Calibri" w:hAnsi="Times New Roman"/>
                <w:sz w:val="24"/>
                <w:szCs w:val="24"/>
              </w:rPr>
            </w:pPr>
          </w:p>
        </w:tc>
        <w:tc>
          <w:tcPr>
            <w:tcW w:w="6890" w:type="dxa"/>
            <w:tcBorders>
              <w:top w:val="single" w:sz="4" w:space="0" w:color="000000"/>
              <w:left w:val="nil"/>
              <w:bottom w:val="single" w:sz="4" w:space="0" w:color="000000"/>
              <w:right w:val="single" w:sz="4" w:space="0" w:color="000000"/>
            </w:tcBorders>
          </w:tcPr>
          <w:p w14:paraId="57892709" w14:textId="77777777" w:rsidR="001616E5" w:rsidRPr="008B1465" w:rsidRDefault="003F05E3" w:rsidP="00861EC5">
            <w:pPr>
              <w:spacing w:after="0" w:line="276" w:lineRule="auto"/>
              <w:jc w:val="both"/>
              <w:rPr>
                <w:rFonts w:ascii="Times New Roman" w:hAnsi="Times New Roman"/>
                <w:sz w:val="24"/>
                <w:szCs w:val="24"/>
              </w:rPr>
            </w:pPr>
            <w:r w:rsidRPr="008B1465">
              <w:rPr>
                <w:rStyle w:val="15"/>
                <w:rFonts w:ascii="Times New Roman" w:eastAsia="Calibri" w:hAnsi="Times New Roman" w:cs="Times New Roman"/>
                <w:sz w:val="24"/>
                <w:szCs w:val="24"/>
              </w:rPr>
              <w:t>The procurement activities of the university are in line with the public</w:t>
            </w:r>
            <w:r w:rsidR="009863A5" w:rsidRPr="008B1465">
              <w:rPr>
                <w:rStyle w:val="15"/>
                <w:rFonts w:ascii="Times New Roman" w:eastAsia="Calibri" w:hAnsi="Times New Roman" w:cs="Times New Roman"/>
                <w:sz w:val="24"/>
                <w:szCs w:val="24"/>
              </w:rPr>
              <w:t xml:space="preserve"> </w:t>
            </w:r>
            <w:r w:rsidRPr="008B1465">
              <w:rPr>
                <w:rStyle w:val="15"/>
                <w:rFonts w:ascii="Times New Roman" w:eastAsia="Calibri" w:hAnsi="Times New Roman" w:cs="Times New Roman"/>
                <w:sz w:val="24"/>
                <w:szCs w:val="24"/>
              </w:rPr>
              <w:t>procurement authority</w:t>
            </w:r>
          </w:p>
        </w:tc>
        <w:tc>
          <w:tcPr>
            <w:tcW w:w="550" w:type="dxa"/>
            <w:tcBorders>
              <w:top w:val="single" w:sz="4" w:space="0" w:color="000000"/>
              <w:left w:val="nil"/>
              <w:bottom w:val="single" w:sz="4" w:space="0" w:color="000000"/>
              <w:right w:val="single" w:sz="4" w:space="0" w:color="000000"/>
            </w:tcBorders>
          </w:tcPr>
          <w:p w14:paraId="43AB7A6E" w14:textId="77777777" w:rsidR="001616E5" w:rsidRPr="008B1465" w:rsidRDefault="001616E5" w:rsidP="00861EC5">
            <w:pPr>
              <w:spacing w:after="0" w:line="276" w:lineRule="auto"/>
              <w:jc w:val="both"/>
              <w:rPr>
                <w:rFonts w:ascii="Times New Roman" w:hAnsi="Times New Roman"/>
                <w:sz w:val="24"/>
                <w:szCs w:val="24"/>
              </w:rPr>
            </w:pPr>
          </w:p>
        </w:tc>
        <w:tc>
          <w:tcPr>
            <w:tcW w:w="550" w:type="dxa"/>
            <w:tcBorders>
              <w:top w:val="single" w:sz="4" w:space="0" w:color="000000"/>
              <w:left w:val="nil"/>
              <w:bottom w:val="single" w:sz="4" w:space="0" w:color="000000"/>
              <w:right w:val="single" w:sz="4" w:space="0" w:color="000000"/>
            </w:tcBorders>
          </w:tcPr>
          <w:p w14:paraId="2484B8F6" w14:textId="77777777" w:rsidR="001616E5" w:rsidRPr="008B1465" w:rsidRDefault="001616E5" w:rsidP="00861EC5">
            <w:pPr>
              <w:spacing w:after="0" w:line="276" w:lineRule="auto"/>
              <w:jc w:val="both"/>
              <w:rPr>
                <w:rFonts w:ascii="Times New Roman" w:hAnsi="Times New Roman"/>
                <w:sz w:val="24"/>
                <w:szCs w:val="24"/>
              </w:rPr>
            </w:pPr>
          </w:p>
        </w:tc>
        <w:tc>
          <w:tcPr>
            <w:tcW w:w="550" w:type="dxa"/>
            <w:tcBorders>
              <w:top w:val="single" w:sz="4" w:space="0" w:color="000000"/>
              <w:left w:val="nil"/>
              <w:bottom w:val="single" w:sz="4" w:space="0" w:color="000000"/>
              <w:right w:val="single" w:sz="4" w:space="0" w:color="000000"/>
            </w:tcBorders>
          </w:tcPr>
          <w:p w14:paraId="12B87788" w14:textId="77777777" w:rsidR="001616E5" w:rsidRPr="008B1465" w:rsidRDefault="001616E5" w:rsidP="00861EC5">
            <w:pPr>
              <w:spacing w:after="0" w:line="276" w:lineRule="auto"/>
              <w:jc w:val="both"/>
              <w:rPr>
                <w:rFonts w:ascii="Times New Roman" w:hAnsi="Times New Roman"/>
                <w:sz w:val="24"/>
                <w:szCs w:val="24"/>
              </w:rPr>
            </w:pPr>
          </w:p>
        </w:tc>
        <w:tc>
          <w:tcPr>
            <w:tcW w:w="550" w:type="dxa"/>
            <w:tcBorders>
              <w:top w:val="single" w:sz="4" w:space="0" w:color="000000"/>
              <w:left w:val="nil"/>
              <w:bottom w:val="single" w:sz="4" w:space="0" w:color="000000"/>
              <w:right w:val="single" w:sz="4" w:space="0" w:color="000000"/>
            </w:tcBorders>
          </w:tcPr>
          <w:p w14:paraId="49CE5ECB" w14:textId="77777777" w:rsidR="001616E5" w:rsidRPr="008B1465" w:rsidRDefault="001616E5" w:rsidP="00861EC5">
            <w:pPr>
              <w:spacing w:after="0" w:line="276" w:lineRule="auto"/>
              <w:jc w:val="both"/>
              <w:rPr>
                <w:rFonts w:ascii="Times New Roman" w:hAnsi="Times New Roman"/>
                <w:sz w:val="24"/>
                <w:szCs w:val="24"/>
              </w:rPr>
            </w:pPr>
          </w:p>
        </w:tc>
        <w:tc>
          <w:tcPr>
            <w:tcW w:w="554" w:type="dxa"/>
            <w:tcBorders>
              <w:top w:val="single" w:sz="4" w:space="0" w:color="000000"/>
              <w:left w:val="nil"/>
              <w:bottom w:val="single" w:sz="4" w:space="0" w:color="000000"/>
              <w:right w:val="single" w:sz="4" w:space="0" w:color="000000"/>
            </w:tcBorders>
          </w:tcPr>
          <w:p w14:paraId="0D17690A" w14:textId="77777777" w:rsidR="001616E5" w:rsidRPr="008B1465" w:rsidRDefault="001616E5" w:rsidP="00861EC5">
            <w:pPr>
              <w:spacing w:after="0" w:line="276" w:lineRule="auto"/>
              <w:jc w:val="both"/>
              <w:rPr>
                <w:rFonts w:ascii="Times New Roman" w:hAnsi="Times New Roman"/>
                <w:sz w:val="24"/>
                <w:szCs w:val="24"/>
              </w:rPr>
            </w:pPr>
          </w:p>
        </w:tc>
      </w:tr>
      <w:tr w:rsidR="000B5622" w:rsidRPr="008B1465" w14:paraId="7DFC4A90" w14:textId="77777777" w:rsidTr="009863A5">
        <w:trPr>
          <w:trHeight w:val="398"/>
        </w:trPr>
        <w:tc>
          <w:tcPr>
            <w:tcW w:w="614" w:type="dxa"/>
            <w:tcBorders>
              <w:top w:val="single" w:sz="4" w:space="0" w:color="000000"/>
              <w:left w:val="single" w:sz="4" w:space="0" w:color="000000"/>
              <w:bottom w:val="single" w:sz="4" w:space="0" w:color="000000"/>
              <w:right w:val="single" w:sz="4" w:space="0" w:color="000000"/>
            </w:tcBorders>
          </w:tcPr>
          <w:p w14:paraId="7535B35D" w14:textId="77777777" w:rsidR="001616E5" w:rsidRPr="008B1465" w:rsidRDefault="001616E5" w:rsidP="00861EC5">
            <w:pPr>
              <w:pStyle w:val="ListParagraph"/>
              <w:numPr>
                <w:ilvl w:val="0"/>
                <w:numId w:val="7"/>
              </w:numPr>
              <w:spacing w:after="0" w:line="276" w:lineRule="auto"/>
              <w:jc w:val="both"/>
              <w:rPr>
                <w:rFonts w:ascii="Times New Roman" w:eastAsia="Calibri" w:hAnsi="Times New Roman"/>
                <w:sz w:val="24"/>
                <w:szCs w:val="24"/>
              </w:rPr>
            </w:pPr>
          </w:p>
        </w:tc>
        <w:tc>
          <w:tcPr>
            <w:tcW w:w="6890" w:type="dxa"/>
            <w:tcBorders>
              <w:top w:val="single" w:sz="4" w:space="0" w:color="000000"/>
              <w:left w:val="nil"/>
              <w:bottom w:val="single" w:sz="4" w:space="0" w:color="000000"/>
              <w:right w:val="single" w:sz="4" w:space="0" w:color="000000"/>
            </w:tcBorders>
          </w:tcPr>
          <w:p w14:paraId="282EDEA3" w14:textId="77777777" w:rsidR="001616E5" w:rsidRPr="008B1465" w:rsidRDefault="003F05E3" w:rsidP="00861EC5">
            <w:pPr>
              <w:spacing w:after="0" w:line="276" w:lineRule="auto"/>
              <w:jc w:val="both"/>
              <w:rPr>
                <w:rFonts w:ascii="Times New Roman" w:hAnsi="Times New Roman"/>
                <w:sz w:val="24"/>
                <w:szCs w:val="24"/>
              </w:rPr>
            </w:pPr>
            <w:r w:rsidRPr="008B1465">
              <w:rPr>
                <w:rFonts w:ascii="Times New Roman" w:hAnsi="Times New Roman"/>
                <w:sz w:val="24"/>
                <w:szCs w:val="24"/>
              </w:rPr>
              <w:t xml:space="preserve">My university </w:t>
            </w:r>
            <w:r w:rsidRPr="008B1465">
              <w:rPr>
                <w:rStyle w:val="15"/>
                <w:rFonts w:ascii="Times New Roman" w:eastAsia="Calibri" w:hAnsi="Times New Roman" w:cs="Times New Roman"/>
                <w:sz w:val="24"/>
                <w:szCs w:val="24"/>
              </w:rPr>
              <w:t>applies fair and transparent rules for the selection of tenderers</w:t>
            </w:r>
          </w:p>
        </w:tc>
        <w:tc>
          <w:tcPr>
            <w:tcW w:w="550" w:type="dxa"/>
            <w:tcBorders>
              <w:top w:val="single" w:sz="4" w:space="0" w:color="000000"/>
              <w:left w:val="nil"/>
              <w:bottom w:val="single" w:sz="4" w:space="0" w:color="000000"/>
              <w:right w:val="single" w:sz="4" w:space="0" w:color="000000"/>
            </w:tcBorders>
          </w:tcPr>
          <w:p w14:paraId="291FE3C4" w14:textId="77777777" w:rsidR="001616E5" w:rsidRPr="008B1465" w:rsidRDefault="001616E5" w:rsidP="00861EC5">
            <w:pPr>
              <w:spacing w:after="0" w:line="276" w:lineRule="auto"/>
              <w:jc w:val="both"/>
              <w:rPr>
                <w:rFonts w:ascii="Times New Roman" w:hAnsi="Times New Roman"/>
                <w:sz w:val="24"/>
                <w:szCs w:val="24"/>
              </w:rPr>
            </w:pPr>
          </w:p>
        </w:tc>
        <w:tc>
          <w:tcPr>
            <w:tcW w:w="550" w:type="dxa"/>
            <w:tcBorders>
              <w:top w:val="single" w:sz="4" w:space="0" w:color="000000"/>
              <w:left w:val="nil"/>
              <w:bottom w:val="single" w:sz="4" w:space="0" w:color="000000"/>
              <w:right w:val="single" w:sz="4" w:space="0" w:color="000000"/>
            </w:tcBorders>
          </w:tcPr>
          <w:p w14:paraId="477193CB" w14:textId="77777777" w:rsidR="001616E5" w:rsidRPr="008B1465" w:rsidRDefault="001616E5" w:rsidP="00861EC5">
            <w:pPr>
              <w:spacing w:after="0" w:line="276" w:lineRule="auto"/>
              <w:jc w:val="both"/>
              <w:rPr>
                <w:rFonts w:ascii="Times New Roman" w:hAnsi="Times New Roman"/>
                <w:sz w:val="24"/>
                <w:szCs w:val="24"/>
              </w:rPr>
            </w:pPr>
          </w:p>
        </w:tc>
        <w:tc>
          <w:tcPr>
            <w:tcW w:w="550" w:type="dxa"/>
            <w:tcBorders>
              <w:top w:val="single" w:sz="4" w:space="0" w:color="000000"/>
              <w:left w:val="nil"/>
              <w:bottom w:val="single" w:sz="4" w:space="0" w:color="000000"/>
              <w:right w:val="single" w:sz="4" w:space="0" w:color="000000"/>
            </w:tcBorders>
          </w:tcPr>
          <w:p w14:paraId="6B3FB86C" w14:textId="77777777" w:rsidR="001616E5" w:rsidRPr="008B1465" w:rsidRDefault="001616E5" w:rsidP="00861EC5">
            <w:pPr>
              <w:spacing w:after="0" w:line="276" w:lineRule="auto"/>
              <w:jc w:val="both"/>
              <w:rPr>
                <w:rFonts w:ascii="Times New Roman" w:hAnsi="Times New Roman"/>
                <w:sz w:val="24"/>
                <w:szCs w:val="24"/>
              </w:rPr>
            </w:pPr>
          </w:p>
        </w:tc>
        <w:tc>
          <w:tcPr>
            <w:tcW w:w="550" w:type="dxa"/>
            <w:tcBorders>
              <w:top w:val="single" w:sz="4" w:space="0" w:color="000000"/>
              <w:left w:val="nil"/>
              <w:bottom w:val="single" w:sz="4" w:space="0" w:color="000000"/>
              <w:right w:val="single" w:sz="4" w:space="0" w:color="000000"/>
            </w:tcBorders>
          </w:tcPr>
          <w:p w14:paraId="0692F3BC" w14:textId="77777777" w:rsidR="001616E5" w:rsidRPr="008B1465" w:rsidRDefault="001616E5" w:rsidP="00861EC5">
            <w:pPr>
              <w:spacing w:after="0" w:line="276" w:lineRule="auto"/>
              <w:jc w:val="both"/>
              <w:rPr>
                <w:rFonts w:ascii="Times New Roman" w:hAnsi="Times New Roman"/>
                <w:sz w:val="24"/>
                <w:szCs w:val="24"/>
              </w:rPr>
            </w:pPr>
          </w:p>
        </w:tc>
        <w:tc>
          <w:tcPr>
            <w:tcW w:w="554" w:type="dxa"/>
            <w:tcBorders>
              <w:top w:val="single" w:sz="4" w:space="0" w:color="000000"/>
              <w:left w:val="nil"/>
              <w:bottom w:val="single" w:sz="4" w:space="0" w:color="000000"/>
              <w:right w:val="single" w:sz="4" w:space="0" w:color="000000"/>
            </w:tcBorders>
          </w:tcPr>
          <w:p w14:paraId="4E9D275F" w14:textId="77777777" w:rsidR="001616E5" w:rsidRPr="008B1465" w:rsidRDefault="001616E5" w:rsidP="00861EC5">
            <w:pPr>
              <w:spacing w:after="0" w:line="276" w:lineRule="auto"/>
              <w:jc w:val="both"/>
              <w:rPr>
                <w:rFonts w:ascii="Times New Roman" w:hAnsi="Times New Roman"/>
                <w:sz w:val="24"/>
                <w:szCs w:val="24"/>
              </w:rPr>
            </w:pPr>
          </w:p>
        </w:tc>
      </w:tr>
      <w:tr w:rsidR="000B5622" w:rsidRPr="008B1465" w14:paraId="4ED4F750" w14:textId="77777777" w:rsidTr="009863A5">
        <w:trPr>
          <w:trHeight w:val="562"/>
        </w:trPr>
        <w:tc>
          <w:tcPr>
            <w:tcW w:w="614" w:type="dxa"/>
            <w:tcBorders>
              <w:top w:val="single" w:sz="4" w:space="0" w:color="000000"/>
              <w:left w:val="single" w:sz="4" w:space="0" w:color="000000"/>
              <w:bottom w:val="single" w:sz="4" w:space="0" w:color="000000"/>
              <w:right w:val="single" w:sz="4" w:space="0" w:color="000000"/>
            </w:tcBorders>
          </w:tcPr>
          <w:p w14:paraId="52C57B76" w14:textId="77777777" w:rsidR="001616E5" w:rsidRPr="008B1465" w:rsidRDefault="001616E5" w:rsidP="00861EC5">
            <w:pPr>
              <w:pStyle w:val="ListParagraph"/>
              <w:numPr>
                <w:ilvl w:val="0"/>
                <w:numId w:val="7"/>
              </w:numPr>
              <w:spacing w:after="0" w:line="276" w:lineRule="auto"/>
              <w:jc w:val="both"/>
              <w:rPr>
                <w:rFonts w:ascii="Times New Roman" w:eastAsia="Calibri" w:hAnsi="Times New Roman"/>
                <w:sz w:val="24"/>
                <w:szCs w:val="24"/>
              </w:rPr>
            </w:pPr>
          </w:p>
        </w:tc>
        <w:tc>
          <w:tcPr>
            <w:tcW w:w="6890" w:type="dxa"/>
            <w:tcBorders>
              <w:top w:val="single" w:sz="4" w:space="0" w:color="000000"/>
              <w:left w:val="nil"/>
              <w:bottom w:val="single" w:sz="4" w:space="0" w:color="000000"/>
              <w:right w:val="single" w:sz="4" w:space="0" w:color="000000"/>
            </w:tcBorders>
          </w:tcPr>
          <w:p w14:paraId="7D1E2F29" w14:textId="77777777" w:rsidR="001616E5" w:rsidRPr="008B1465" w:rsidRDefault="003F05E3" w:rsidP="00861EC5">
            <w:pPr>
              <w:spacing w:after="0" w:line="276" w:lineRule="auto"/>
              <w:jc w:val="both"/>
              <w:rPr>
                <w:rFonts w:ascii="Times New Roman" w:hAnsi="Times New Roman"/>
                <w:sz w:val="24"/>
                <w:szCs w:val="24"/>
              </w:rPr>
            </w:pPr>
            <w:r w:rsidRPr="008B1465">
              <w:rPr>
                <w:rStyle w:val="15"/>
                <w:rFonts w:ascii="Times New Roman" w:eastAsia="Calibri" w:hAnsi="Times New Roman" w:cs="Times New Roman"/>
                <w:sz w:val="24"/>
                <w:szCs w:val="24"/>
              </w:rPr>
              <w:t>The university’s procurement activities are established through a competitive process and negotiation</w:t>
            </w:r>
          </w:p>
        </w:tc>
        <w:tc>
          <w:tcPr>
            <w:tcW w:w="550" w:type="dxa"/>
            <w:tcBorders>
              <w:top w:val="single" w:sz="4" w:space="0" w:color="000000"/>
              <w:left w:val="nil"/>
              <w:bottom w:val="single" w:sz="4" w:space="0" w:color="000000"/>
              <w:right w:val="single" w:sz="4" w:space="0" w:color="000000"/>
            </w:tcBorders>
          </w:tcPr>
          <w:p w14:paraId="0A043B2C" w14:textId="77777777" w:rsidR="001616E5" w:rsidRPr="008B1465" w:rsidRDefault="001616E5" w:rsidP="00861EC5">
            <w:pPr>
              <w:spacing w:after="0" w:line="276" w:lineRule="auto"/>
              <w:jc w:val="both"/>
              <w:rPr>
                <w:rFonts w:ascii="Times New Roman" w:hAnsi="Times New Roman"/>
                <w:sz w:val="24"/>
                <w:szCs w:val="24"/>
              </w:rPr>
            </w:pPr>
          </w:p>
        </w:tc>
        <w:tc>
          <w:tcPr>
            <w:tcW w:w="550" w:type="dxa"/>
            <w:tcBorders>
              <w:top w:val="single" w:sz="4" w:space="0" w:color="000000"/>
              <w:left w:val="nil"/>
              <w:bottom w:val="single" w:sz="4" w:space="0" w:color="000000"/>
              <w:right w:val="single" w:sz="4" w:space="0" w:color="000000"/>
            </w:tcBorders>
          </w:tcPr>
          <w:p w14:paraId="5F5EC373" w14:textId="77777777" w:rsidR="001616E5" w:rsidRPr="008B1465" w:rsidRDefault="001616E5" w:rsidP="00861EC5">
            <w:pPr>
              <w:spacing w:after="0" w:line="276" w:lineRule="auto"/>
              <w:jc w:val="both"/>
              <w:rPr>
                <w:rFonts w:ascii="Times New Roman" w:hAnsi="Times New Roman"/>
                <w:sz w:val="24"/>
                <w:szCs w:val="24"/>
              </w:rPr>
            </w:pPr>
          </w:p>
        </w:tc>
        <w:tc>
          <w:tcPr>
            <w:tcW w:w="550" w:type="dxa"/>
            <w:tcBorders>
              <w:top w:val="single" w:sz="4" w:space="0" w:color="000000"/>
              <w:left w:val="nil"/>
              <w:bottom w:val="single" w:sz="4" w:space="0" w:color="000000"/>
              <w:right w:val="single" w:sz="4" w:space="0" w:color="000000"/>
            </w:tcBorders>
          </w:tcPr>
          <w:p w14:paraId="517D0305" w14:textId="77777777" w:rsidR="001616E5" w:rsidRPr="008B1465" w:rsidRDefault="001616E5" w:rsidP="00861EC5">
            <w:pPr>
              <w:spacing w:after="0" w:line="276" w:lineRule="auto"/>
              <w:jc w:val="both"/>
              <w:rPr>
                <w:rFonts w:ascii="Times New Roman" w:hAnsi="Times New Roman"/>
                <w:sz w:val="24"/>
                <w:szCs w:val="24"/>
              </w:rPr>
            </w:pPr>
          </w:p>
        </w:tc>
        <w:tc>
          <w:tcPr>
            <w:tcW w:w="550" w:type="dxa"/>
            <w:tcBorders>
              <w:top w:val="single" w:sz="4" w:space="0" w:color="000000"/>
              <w:left w:val="nil"/>
              <w:bottom w:val="single" w:sz="4" w:space="0" w:color="000000"/>
              <w:right w:val="single" w:sz="4" w:space="0" w:color="000000"/>
            </w:tcBorders>
          </w:tcPr>
          <w:p w14:paraId="43E9B467" w14:textId="77777777" w:rsidR="001616E5" w:rsidRPr="008B1465" w:rsidRDefault="001616E5" w:rsidP="00861EC5">
            <w:pPr>
              <w:spacing w:after="0" w:line="276" w:lineRule="auto"/>
              <w:jc w:val="both"/>
              <w:rPr>
                <w:rFonts w:ascii="Times New Roman" w:hAnsi="Times New Roman"/>
                <w:sz w:val="24"/>
                <w:szCs w:val="24"/>
              </w:rPr>
            </w:pPr>
          </w:p>
        </w:tc>
        <w:tc>
          <w:tcPr>
            <w:tcW w:w="554" w:type="dxa"/>
            <w:tcBorders>
              <w:top w:val="single" w:sz="4" w:space="0" w:color="000000"/>
              <w:left w:val="nil"/>
              <w:bottom w:val="single" w:sz="4" w:space="0" w:color="000000"/>
              <w:right w:val="single" w:sz="4" w:space="0" w:color="000000"/>
            </w:tcBorders>
          </w:tcPr>
          <w:p w14:paraId="77BAA83C" w14:textId="77777777" w:rsidR="001616E5" w:rsidRPr="008B1465" w:rsidRDefault="001616E5" w:rsidP="00861EC5">
            <w:pPr>
              <w:spacing w:after="0" w:line="276" w:lineRule="auto"/>
              <w:jc w:val="both"/>
              <w:rPr>
                <w:rFonts w:ascii="Times New Roman" w:hAnsi="Times New Roman"/>
                <w:sz w:val="24"/>
                <w:szCs w:val="24"/>
              </w:rPr>
            </w:pPr>
          </w:p>
        </w:tc>
      </w:tr>
      <w:tr w:rsidR="000B5622" w:rsidRPr="008B1465" w14:paraId="790906B6" w14:textId="77777777" w:rsidTr="009863A5">
        <w:trPr>
          <w:trHeight w:val="282"/>
        </w:trPr>
        <w:tc>
          <w:tcPr>
            <w:tcW w:w="614" w:type="dxa"/>
            <w:tcBorders>
              <w:top w:val="single" w:sz="4" w:space="0" w:color="000000"/>
              <w:left w:val="single" w:sz="4" w:space="0" w:color="000000"/>
              <w:bottom w:val="single" w:sz="4" w:space="0" w:color="000000"/>
              <w:right w:val="single" w:sz="4" w:space="0" w:color="000000"/>
            </w:tcBorders>
          </w:tcPr>
          <w:p w14:paraId="5B209918" w14:textId="77777777" w:rsidR="001616E5" w:rsidRPr="008B1465" w:rsidRDefault="001616E5" w:rsidP="00861EC5">
            <w:pPr>
              <w:pStyle w:val="ListParagraph"/>
              <w:numPr>
                <w:ilvl w:val="0"/>
                <w:numId w:val="7"/>
              </w:numPr>
              <w:spacing w:after="0" w:line="276" w:lineRule="auto"/>
              <w:jc w:val="both"/>
              <w:rPr>
                <w:rFonts w:ascii="Times New Roman" w:eastAsia="Calibri" w:hAnsi="Times New Roman"/>
                <w:sz w:val="24"/>
                <w:szCs w:val="24"/>
              </w:rPr>
            </w:pPr>
          </w:p>
        </w:tc>
        <w:tc>
          <w:tcPr>
            <w:tcW w:w="6890" w:type="dxa"/>
            <w:tcBorders>
              <w:top w:val="single" w:sz="4" w:space="0" w:color="000000"/>
              <w:left w:val="nil"/>
              <w:bottom w:val="single" w:sz="4" w:space="0" w:color="000000"/>
              <w:right w:val="single" w:sz="4" w:space="0" w:color="000000"/>
            </w:tcBorders>
          </w:tcPr>
          <w:p w14:paraId="0C9E102E" w14:textId="77777777" w:rsidR="001616E5" w:rsidRPr="008B1465" w:rsidRDefault="003F05E3" w:rsidP="00861EC5">
            <w:pPr>
              <w:spacing w:after="0" w:line="276" w:lineRule="auto"/>
              <w:jc w:val="both"/>
              <w:rPr>
                <w:rFonts w:ascii="Times New Roman" w:hAnsi="Times New Roman"/>
                <w:sz w:val="24"/>
                <w:szCs w:val="24"/>
              </w:rPr>
            </w:pPr>
            <w:r w:rsidRPr="008B1465">
              <w:rPr>
                <w:rStyle w:val="15"/>
                <w:rFonts w:ascii="Times New Roman" w:eastAsia="Calibri" w:hAnsi="Times New Roman" w:cs="Times New Roman"/>
                <w:sz w:val="24"/>
                <w:szCs w:val="24"/>
              </w:rPr>
              <w:t>My university ensures its budgets are linked with the procurement activities</w:t>
            </w:r>
          </w:p>
        </w:tc>
        <w:tc>
          <w:tcPr>
            <w:tcW w:w="550" w:type="dxa"/>
            <w:tcBorders>
              <w:top w:val="single" w:sz="4" w:space="0" w:color="000000"/>
              <w:left w:val="nil"/>
              <w:bottom w:val="single" w:sz="4" w:space="0" w:color="000000"/>
              <w:right w:val="single" w:sz="4" w:space="0" w:color="000000"/>
            </w:tcBorders>
          </w:tcPr>
          <w:p w14:paraId="26DF5BC0" w14:textId="77777777" w:rsidR="001616E5" w:rsidRPr="008B1465" w:rsidRDefault="001616E5" w:rsidP="00861EC5">
            <w:pPr>
              <w:spacing w:after="0" w:line="276" w:lineRule="auto"/>
              <w:jc w:val="both"/>
              <w:rPr>
                <w:rFonts w:ascii="Times New Roman" w:hAnsi="Times New Roman"/>
                <w:sz w:val="24"/>
                <w:szCs w:val="24"/>
              </w:rPr>
            </w:pPr>
          </w:p>
        </w:tc>
        <w:tc>
          <w:tcPr>
            <w:tcW w:w="550" w:type="dxa"/>
            <w:tcBorders>
              <w:top w:val="single" w:sz="4" w:space="0" w:color="000000"/>
              <w:left w:val="nil"/>
              <w:bottom w:val="single" w:sz="4" w:space="0" w:color="000000"/>
              <w:right w:val="single" w:sz="4" w:space="0" w:color="000000"/>
            </w:tcBorders>
          </w:tcPr>
          <w:p w14:paraId="61CFA093" w14:textId="77777777" w:rsidR="001616E5" w:rsidRPr="008B1465" w:rsidRDefault="001616E5" w:rsidP="00861EC5">
            <w:pPr>
              <w:spacing w:after="0" w:line="276" w:lineRule="auto"/>
              <w:jc w:val="both"/>
              <w:rPr>
                <w:rFonts w:ascii="Times New Roman" w:hAnsi="Times New Roman"/>
                <w:sz w:val="24"/>
                <w:szCs w:val="24"/>
              </w:rPr>
            </w:pPr>
          </w:p>
        </w:tc>
        <w:tc>
          <w:tcPr>
            <w:tcW w:w="550" w:type="dxa"/>
            <w:tcBorders>
              <w:top w:val="single" w:sz="4" w:space="0" w:color="000000"/>
              <w:left w:val="nil"/>
              <w:bottom w:val="single" w:sz="4" w:space="0" w:color="000000"/>
              <w:right w:val="single" w:sz="4" w:space="0" w:color="000000"/>
            </w:tcBorders>
          </w:tcPr>
          <w:p w14:paraId="755020B5" w14:textId="77777777" w:rsidR="001616E5" w:rsidRPr="008B1465" w:rsidRDefault="001616E5" w:rsidP="00861EC5">
            <w:pPr>
              <w:spacing w:after="0" w:line="276" w:lineRule="auto"/>
              <w:jc w:val="both"/>
              <w:rPr>
                <w:rFonts w:ascii="Times New Roman" w:hAnsi="Times New Roman"/>
                <w:sz w:val="24"/>
                <w:szCs w:val="24"/>
              </w:rPr>
            </w:pPr>
          </w:p>
        </w:tc>
        <w:tc>
          <w:tcPr>
            <w:tcW w:w="550" w:type="dxa"/>
            <w:tcBorders>
              <w:top w:val="single" w:sz="4" w:space="0" w:color="000000"/>
              <w:left w:val="nil"/>
              <w:bottom w:val="single" w:sz="4" w:space="0" w:color="000000"/>
              <w:right w:val="single" w:sz="4" w:space="0" w:color="000000"/>
            </w:tcBorders>
          </w:tcPr>
          <w:p w14:paraId="1E03C2E1" w14:textId="77777777" w:rsidR="001616E5" w:rsidRPr="008B1465" w:rsidRDefault="001616E5" w:rsidP="00861EC5">
            <w:pPr>
              <w:spacing w:after="0" w:line="276" w:lineRule="auto"/>
              <w:jc w:val="both"/>
              <w:rPr>
                <w:rFonts w:ascii="Times New Roman" w:hAnsi="Times New Roman"/>
                <w:sz w:val="24"/>
                <w:szCs w:val="24"/>
              </w:rPr>
            </w:pPr>
          </w:p>
        </w:tc>
        <w:tc>
          <w:tcPr>
            <w:tcW w:w="554" w:type="dxa"/>
            <w:tcBorders>
              <w:top w:val="single" w:sz="4" w:space="0" w:color="000000"/>
              <w:left w:val="nil"/>
              <w:bottom w:val="single" w:sz="4" w:space="0" w:color="000000"/>
              <w:right w:val="single" w:sz="4" w:space="0" w:color="000000"/>
            </w:tcBorders>
          </w:tcPr>
          <w:p w14:paraId="115806C9" w14:textId="77777777" w:rsidR="001616E5" w:rsidRPr="008B1465" w:rsidRDefault="001616E5" w:rsidP="00861EC5">
            <w:pPr>
              <w:spacing w:after="0" w:line="276" w:lineRule="auto"/>
              <w:jc w:val="both"/>
              <w:rPr>
                <w:rFonts w:ascii="Times New Roman" w:hAnsi="Times New Roman"/>
                <w:sz w:val="24"/>
                <w:szCs w:val="24"/>
              </w:rPr>
            </w:pPr>
          </w:p>
        </w:tc>
      </w:tr>
      <w:tr w:rsidR="000B5622" w:rsidRPr="008B1465" w14:paraId="13797DAC" w14:textId="77777777" w:rsidTr="009863A5">
        <w:trPr>
          <w:trHeight w:val="562"/>
        </w:trPr>
        <w:tc>
          <w:tcPr>
            <w:tcW w:w="614" w:type="dxa"/>
            <w:tcBorders>
              <w:top w:val="single" w:sz="4" w:space="0" w:color="000000"/>
              <w:left w:val="single" w:sz="4" w:space="0" w:color="000000"/>
              <w:bottom w:val="single" w:sz="4" w:space="0" w:color="000000"/>
              <w:right w:val="single" w:sz="4" w:space="0" w:color="000000"/>
            </w:tcBorders>
          </w:tcPr>
          <w:p w14:paraId="6A536F12" w14:textId="77777777" w:rsidR="001616E5" w:rsidRPr="008B1465" w:rsidRDefault="001616E5" w:rsidP="00861EC5">
            <w:pPr>
              <w:pStyle w:val="ListParagraph"/>
              <w:numPr>
                <w:ilvl w:val="0"/>
                <w:numId w:val="7"/>
              </w:numPr>
              <w:spacing w:after="0" w:line="276" w:lineRule="auto"/>
              <w:jc w:val="both"/>
              <w:rPr>
                <w:rFonts w:ascii="Times New Roman" w:eastAsia="Calibri" w:hAnsi="Times New Roman"/>
                <w:sz w:val="24"/>
                <w:szCs w:val="24"/>
              </w:rPr>
            </w:pPr>
          </w:p>
        </w:tc>
        <w:tc>
          <w:tcPr>
            <w:tcW w:w="6890" w:type="dxa"/>
            <w:tcBorders>
              <w:top w:val="single" w:sz="4" w:space="0" w:color="000000"/>
              <w:left w:val="nil"/>
              <w:bottom w:val="single" w:sz="4" w:space="0" w:color="000000"/>
              <w:right w:val="single" w:sz="4" w:space="0" w:color="000000"/>
            </w:tcBorders>
          </w:tcPr>
          <w:p w14:paraId="1DD90897" w14:textId="77777777" w:rsidR="001616E5" w:rsidRPr="008B1465" w:rsidRDefault="003F05E3" w:rsidP="00861EC5">
            <w:pPr>
              <w:spacing w:after="0" w:line="276" w:lineRule="auto"/>
              <w:jc w:val="both"/>
              <w:rPr>
                <w:rFonts w:ascii="Times New Roman" w:hAnsi="Times New Roman"/>
                <w:sz w:val="24"/>
                <w:szCs w:val="24"/>
              </w:rPr>
            </w:pPr>
            <w:r w:rsidRPr="008B1465">
              <w:rPr>
                <w:rFonts w:ascii="Times New Roman" w:hAnsi="Times New Roman"/>
                <w:sz w:val="24"/>
                <w:szCs w:val="24"/>
              </w:rPr>
              <w:t xml:space="preserve">There are </w:t>
            </w:r>
            <w:r w:rsidRPr="008B1465">
              <w:rPr>
                <w:rStyle w:val="15"/>
                <w:rFonts w:ascii="Times New Roman" w:eastAsia="Calibri" w:hAnsi="Times New Roman" w:cs="Times New Roman"/>
                <w:sz w:val="24"/>
                <w:szCs w:val="24"/>
              </w:rPr>
              <w:t>accountability and transparency in the procurement of goods and services at my university</w:t>
            </w:r>
          </w:p>
        </w:tc>
        <w:tc>
          <w:tcPr>
            <w:tcW w:w="550" w:type="dxa"/>
            <w:tcBorders>
              <w:top w:val="single" w:sz="4" w:space="0" w:color="000000"/>
              <w:left w:val="nil"/>
              <w:bottom w:val="single" w:sz="4" w:space="0" w:color="000000"/>
              <w:right w:val="single" w:sz="4" w:space="0" w:color="000000"/>
            </w:tcBorders>
          </w:tcPr>
          <w:p w14:paraId="2A2B56C8" w14:textId="77777777" w:rsidR="001616E5" w:rsidRPr="008B1465" w:rsidRDefault="001616E5" w:rsidP="00861EC5">
            <w:pPr>
              <w:spacing w:after="0" w:line="276" w:lineRule="auto"/>
              <w:jc w:val="both"/>
              <w:rPr>
                <w:rFonts w:ascii="Times New Roman" w:hAnsi="Times New Roman"/>
                <w:sz w:val="24"/>
                <w:szCs w:val="24"/>
              </w:rPr>
            </w:pPr>
          </w:p>
        </w:tc>
        <w:tc>
          <w:tcPr>
            <w:tcW w:w="550" w:type="dxa"/>
            <w:tcBorders>
              <w:top w:val="single" w:sz="4" w:space="0" w:color="000000"/>
              <w:left w:val="nil"/>
              <w:bottom w:val="single" w:sz="4" w:space="0" w:color="000000"/>
              <w:right w:val="single" w:sz="4" w:space="0" w:color="000000"/>
            </w:tcBorders>
          </w:tcPr>
          <w:p w14:paraId="5BAD0CE6" w14:textId="77777777" w:rsidR="001616E5" w:rsidRPr="008B1465" w:rsidRDefault="001616E5" w:rsidP="00861EC5">
            <w:pPr>
              <w:spacing w:after="0" w:line="276" w:lineRule="auto"/>
              <w:jc w:val="both"/>
              <w:rPr>
                <w:rFonts w:ascii="Times New Roman" w:hAnsi="Times New Roman"/>
                <w:sz w:val="24"/>
                <w:szCs w:val="24"/>
              </w:rPr>
            </w:pPr>
          </w:p>
        </w:tc>
        <w:tc>
          <w:tcPr>
            <w:tcW w:w="550" w:type="dxa"/>
            <w:tcBorders>
              <w:top w:val="single" w:sz="4" w:space="0" w:color="000000"/>
              <w:left w:val="nil"/>
              <w:bottom w:val="single" w:sz="4" w:space="0" w:color="000000"/>
              <w:right w:val="single" w:sz="4" w:space="0" w:color="000000"/>
            </w:tcBorders>
          </w:tcPr>
          <w:p w14:paraId="18D4B005" w14:textId="77777777" w:rsidR="001616E5" w:rsidRPr="008B1465" w:rsidRDefault="001616E5" w:rsidP="00861EC5">
            <w:pPr>
              <w:spacing w:after="0" w:line="276" w:lineRule="auto"/>
              <w:jc w:val="both"/>
              <w:rPr>
                <w:rFonts w:ascii="Times New Roman" w:hAnsi="Times New Roman"/>
                <w:sz w:val="24"/>
                <w:szCs w:val="24"/>
              </w:rPr>
            </w:pPr>
          </w:p>
        </w:tc>
        <w:tc>
          <w:tcPr>
            <w:tcW w:w="550" w:type="dxa"/>
            <w:tcBorders>
              <w:top w:val="single" w:sz="4" w:space="0" w:color="000000"/>
              <w:left w:val="nil"/>
              <w:bottom w:val="single" w:sz="4" w:space="0" w:color="000000"/>
              <w:right w:val="single" w:sz="4" w:space="0" w:color="000000"/>
            </w:tcBorders>
          </w:tcPr>
          <w:p w14:paraId="327168D7" w14:textId="77777777" w:rsidR="001616E5" w:rsidRPr="008B1465" w:rsidRDefault="001616E5" w:rsidP="00861EC5">
            <w:pPr>
              <w:spacing w:after="0" w:line="276" w:lineRule="auto"/>
              <w:jc w:val="both"/>
              <w:rPr>
                <w:rFonts w:ascii="Times New Roman" w:hAnsi="Times New Roman"/>
                <w:sz w:val="24"/>
                <w:szCs w:val="24"/>
              </w:rPr>
            </w:pPr>
          </w:p>
        </w:tc>
        <w:tc>
          <w:tcPr>
            <w:tcW w:w="554" w:type="dxa"/>
            <w:tcBorders>
              <w:top w:val="single" w:sz="4" w:space="0" w:color="000000"/>
              <w:left w:val="nil"/>
              <w:bottom w:val="single" w:sz="4" w:space="0" w:color="000000"/>
              <w:right w:val="single" w:sz="4" w:space="0" w:color="000000"/>
            </w:tcBorders>
          </w:tcPr>
          <w:p w14:paraId="43CFBC59" w14:textId="77777777" w:rsidR="001616E5" w:rsidRPr="008B1465" w:rsidRDefault="001616E5" w:rsidP="00861EC5">
            <w:pPr>
              <w:spacing w:after="0" w:line="276" w:lineRule="auto"/>
              <w:jc w:val="both"/>
              <w:rPr>
                <w:rFonts w:ascii="Times New Roman" w:hAnsi="Times New Roman"/>
                <w:sz w:val="24"/>
                <w:szCs w:val="24"/>
              </w:rPr>
            </w:pPr>
          </w:p>
        </w:tc>
      </w:tr>
      <w:tr w:rsidR="000B5622" w:rsidRPr="008B1465" w14:paraId="14C4F00E" w14:textId="77777777" w:rsidTr="009863A5">
        <w:trPr>
          <w:trHeight w:val="562"/>
        </w:trPr>
        <w:tc>
          <w:tcPr>
            <w:tcW w:w="614" w:type="dxa"/>
            <w:tcBorders>
              <w:top w:val="single" w:sz="4" w:space="0" w:color="000000"/>
              <w:left w:val="single" w:sz="4" w:space="0" w:color="000000"/>
              <w:bottom w:val="single" w:sz="4" w:space="0" w:color="000000"/>
              <w:right w:val="single" w:sz="4" w:space="0" w:color="000000"/>
            </w:tcBorders>
          </w:tcPr>
          <w:p w14:paraId="36D6F312" w14:textId="77777777" w:rsidR="001616E5" w:rsidRPr="008B1465" w:rsidRDefault="001616E5" w:rsidP="00861EC5">
            <w:pPr>
              <w:pStyle w:val="ListParagraph"/>
              <w:numPr>
                <w:ilvl w:val="0"/>
                <w:numId w:val="7"/>
              </w:numPr>
              <w:spacing w:after="0" w:line="276" w:lineRule="auto"/>
              <w:jc w:val="both"/>
              <w:rPr>
                <w:rFonts w:ascii="Times New Roman" w:eastAsia="Calibri" w:hAnsi="Times New Roman"/>
                <w:sz w:val="24"/>
                <w:szCs w:val="24"/>
              </w:rPr>
            </w:pPr>
          </w:p>
        </w:tc>
        <w:tc>
          <w:tcPr>
            <w:tcW w:w="6890" w:type="dxa"/>
            <w:tcBorders>
              <w:top w:val="single" w:sz="4" w:space="0" w:color="000000"/>
              <w:left w:val="nil"/>
              <w:bottom w:val="single" w:sz="4" w:space="0" w:color="000000"/>
              <w:right w:val="single" w:sz="4" w:space="0" w:color="000000"/>
            </w:tcBorders>
          </w:tcPr>
          <w:p w14:paraId="6F37CD3B" w14:textId="77777777" w:rsidR="001616E5" w:rsidRPr="008B1465" w:rsidRDefault="003F05E3" w:rsidP="00861EC5">
            <w:pPr>
              <w:spacing w:after="0" w:line="276" w:lineRule="auto"/>
              <w:jc w:val="both"/>
              <w:rPr>
                <w:rFonts w:ascii="Times New Roman" w:hAnsi="Times New Roman"/>
                <w:sz w:val="24"/>
                <w:szCs w:val="24"/>
              </w:rPr>
            </w:pPr>
            <w:r w:rsidRPr="008B1465">
              <w:rPr>
                <w:rStyle w:val="15"/>
                <w:rFonts w:ascii="Times New Roman" w:eastAsia="Calibri" w:hAnsi="Times New Roman" w:cs="Times New Roman"/>
                <w:sz w:val="24"/>
                <w:szCs w:val="24"/>
              </w:rPr>
              <w:t>There is appropriate bidding and correct utilization of the limited bidding process</w:t>
            </w:r>
          </w:p>
        </w:tc>
        <w:tc>
          <w:tcPr>
            <w:tcW w:w="550" w:type="dxa"/>
            <w:tcBorders>
              <w:top w:val="single" w:sz="4" w:space="0" w:color="000000"/>
              <w:left w:val="nil"/>
              <w:bottom w:val="single" w:sz="4" w:space="0" w:color="000000"/>
              <w:right w:val="single" w:sz="4" w:space="0" w:color="000000"/>
            </w:tcBorders>
          </w:tcPr>
          <w:p w14:paraId="4AC94C84" w14:textId="77777777" w:rsidR="001616E5" w:rsidRPr="008B1465" w:rsidRDefault="001616E5" w:rsidP="00861EC5">
            <w:pPr>
              <w:spacing w:after="0" w:line="276" w:lineRule="auto"/>
              <w:jc w:val="both"/>
              <w:rPr>
                <w:rFonts w:ascii="Times New Roman" w:hAnsi="Times New Roman"/>
                <w:sz w:val="24"/>
                <w:szCs w:val="24"/>
              </w:rPr>
            </w:pPr>
          </w:p>
        </w:tc>
        <w:tc>
          <w:tcPr>
            <w:tcW w:w="550" w:type="dxa"/>
            <w:tcBorders>
              <w:top w:val="single" w:sz="4" w:space="0" w:color="000000"/>
              <w:left w:val="nil"/>
              <w:bottom w:val="single" w:sz="4" w:space="0" w:color="000000"/>
              <w:right w:val="single" w:sz="4" w:space="0" w:color="000000"/>
            </w:tcBorders>
          </w:tcPr>
          <w:p w14:paraId="27893600" w14:textId="77777777" w:rsidR="001616E5" w:rsidRPr="008B1465" w:rsidRDefault="001616E5" w:rsidP="00861EC5">
            <w:pPr>
              <w:spacing w:after="0" w:line="276" w:lineRule="auto"/>
              <w:jc w:val="both"/>
              <w:rPr>
                <w:rFonts w:ascii="Times New Roman" w:hAnsi="Times New Roman"/>
                <w:sz w:val="24"/>
                <w:szCs w:val="24"/>
              </w:rPr>
            </w:pPr>
          </w:p>
        </w:tc>
        <w:tc>
          <w:tcPr>
            <w:tcW w:w="550" w:type="dxa"/>
            <w:tcBorders>
              <w:top w:val="single" w:sz="4" w:space="0" w:color="000000"/>
              <w:left w:val="nil"/>
              <w:bottom w:val="single" w:sz="4" w:space="0" w:color="000000"/>
              <w:right w:val="single" w:sz="4" w:space="0" w:color="000000"/>
            </w:tcBorders>
          </w:tcPr>
          <w:p w14:paraId="55E973DE" w14:textId="77777777" w:rsidR="001616E5" w:rsidRPr="008B1465" w:rsidRDefault="001616E5" w:rsidP="00861EC5">
            <w:pPr>
              <w:spacing w:after="0" w:line="276" w:lineRule="auto"/>
              <w:jc w:val="both"/>
              <w:rPr>
                <w:rFonts w:ascii="Times New Roman" w:hAnsi="Times New Roman"/>
                <w:sz w:val="24"/>
                <w:szCs w:val="24"/>
              </w:rPr>
            </w:pPr>
          </w:p>
        </w:tc>
        <w:tc>
          <w:tcPr>
            <w:tcW w:w="550" w:type="dxa"/>
            <w:tcBorders>
              <w:top w:val="single" w:sz="4" w:space="0" w:color="000000"/>
              <w:left w:val="nil"/>
              <w:bottom w:val="single" w:sz="4" w:space="0" w:color="000000"/>
              <w:right w:val="single" w:sz="4" w:space="0" w:color="000000"/>
            </w:tcBorders>
          </w:tcPr>
          <w:p w14:paraId="780EEBA1" w14:textId="77777777" w:rsidR="001616E5" w:rsidRPr="008B1465" w:rsidRDefault="001616E5" w:rsidP="00861EC5">
            <w:pPr>
              <w:spacing w:after="0" w:line="276" w:lineRule="auto"/>
              <w:jc w:val="both"/>
              <w:rPr>
                <w:rFonts w:ascii="Times New Roman" w:hAnsi="Times New Roman"/>
                <w:sz w:val="24"/>
                <w:szCs w:val="24"/>
              </w:rPr>
            </w:pPr>
          </w:p>
        </w:tc>
        <w:tc>
          <w:tcPr>
            <w:tcW w:w="554" w:type="dxa"/>
            <w:tcBorders>
              <w:top w:val="single" w:sz="4" w:space="0" w:color="000000"/>
              <w:left w:val="nil"/>
              <w:bottom w:val="single" w:sz="4" w:space="0" w:color="000000"/>
              <w:right w:val="single" w:sz="4" w:space="0" w:color="000000"/>
            </w:tcBorders>
          </w:tcPr>
          <w:p w14:paraId="6F72737A" w14:textId="77777777" w:rsidR="001616E5" w:rsidRPr="008B1465" w:rsidRDefault="001616E5" w:rsidP="00861EC5">
            <w:pPr>
              <w:spacing w:after="0" w:line="276" w:lineRule="auto"/>
              <w:jc w:val="both"/>
              <w:rPr>
                <w:rFonts w:ascii="Times New Roman" w:hAnsi="Times New Roman"/>
                <w:sz w:val="24"/>
                <w:szCs w:val="24"/>
              </w:rPr>
            </w:pPr>
          </w:p>
        </w:tc>
      </w:tr>
      <w:tr w:rsidR="002D6F7B" w:rsidRPr="008B1465" w14:paraId="65D46508" w14:textId="77777777" w:rsidTr="009863A5">
        <w:trPr>
          <w:trHeight w:val="562"/>
        </w:trPr>
        <w:tc>
          <w:tcPr>
            <w:tcW w:w="10258" w:type="dxa"/>
            <w:gridSpan w:val="7"/>
            <w:tcBorders>
              <w:top w:val="single" w:sz="4" w:space="0" w:color="000000"/>
              <w:left w:val="nil"/>
              <w:bottom w:val="nil"/>
              <w:right w:val="nil"/>
            </w:tcBorders>
          </w:tcPr>
          <w:p w14:paraId="623A0FBE" w14:textId="77777777" w:rsidR="009863A5" w:rsidRPr="008B1465" w:rsidRDefault="009863A5" w:rsidP="00861EC5">
            <w:pPr>
              <w:spacing w:after="0" w:line="276" w:lineRule="auto"/>
              <w:jc w:val="both"/>
              <w:rPr>
                <w:rFonts w:ascii="Times New Roman" w:hAnsi="Times New Roman"/>
                <w:sz w:val="24"/>
                <w:szCs w:val="24"/>
              </w:rPr>
            </w:pPr>
          </w:p>
          <w:tbl>
            <w:tblPr>
              <w:tblpPr w:leftFromText="180" w:rightFromText="180" w:vertAnchor="text" w:horzAnchor="margin" w:tblpY="618"/>
              <w:tblW w:w="10123" w:type="dxa"/>
              <w:tblLook w:val="04A0" w:firstRow="1" w:lastRow="0" w:firstColumn="1" w:lastColumn="0" w:noHBand="0" w:noVBand="1"/>
            </w:tblPr>
            <w:tblGrid>
              <w:gridCol w:w="625"/>
              <w:gridCol w:w="6444"/>
              <w:gridCol w:w="610"/>
              <w:gridCol w:w="611"/>
              <w:gridCol w:w="611"/>
              <w:gridCol w:w="611"/>
              <w:gridCol w:w="611"/>
            </w:tblGrid>
            <w:tr w:rsidR="000B5622" w:rsidRPr="008B1465" w14:paraId="4AAC0DF2" w14:textId="77777777" w:rsidTr="00642694">
              <w:trPr>
                <w:trHeight w:val="54"/>
              </w:trPr>
              <w:tc>
                <w:tcPr>
                  <w:tcW w:w="10123" w:type="dxa"/>
                  <w:gridSpan w:val="7"/>
                  <w:tcBorders>
                    <w:top w:val="nil"/>
                    <w:left w:val="nil"/>
                    <w:bottom w:val="single" w:sz="4" w:space="0" w:color="auto"/>
                    <w:right w:val="nil"/>
                  </w:tcBorders>
                  <w:vAlign w:val="center"/>
                </w:tcPr>
                <w:p w14:paraId="687AD0E0" w14:textId="0EDEA76C" w:rsidR="009863A5" w:rsidRPr="008B1465" w:rsidRDefault="009863A5" w:rsidP="0005457D">
                  <w:pPr>
                    <w:keepNext/>
                    <w:pageBreakBefore/>
                    <w:spacing w:after="0" w:line="276" w:lineRule="auto"/>
                    <w:jc w:val="center"/>
                    <w:rPr>
                      <w:rFonts w:ascii="Times New Roman" w:hAnsi="Times New Roman"/>
                      <w:b/>
                      <w:sz w:val="24"/>
                      <w:szCs w:val="24"/>
                    </w:rPr>
                  </w:pPr>
                  <w:r w:rsidRPr="008B1465">
                    <w:rPr>
                      <w:rFonts w:ascii="Times New Roman" w:hAnsi="Times New Roman"/>
                      <w:b/>
                      <w:sz w:val="24"/>
                      <w:szCs w:val="24"/>
                    </w:rPr>
                    <w:t>II</w:t>
                  </w:r>
                  <w:r w:rsidR="0005457D">
                    <w:rPr>
                      <w:rFonts w:ascii="Times New Roman" w:hAnsi="Times New Roman"/>
                      <w:b/>
                      <w:sz w:val="24"/>
                      <w:szCs w:val="24"/>
                    </w:rPr>
                    <w:t>.</w:t>
                  </w:r>
                  <w:r w:rsidRPr="008B1465">
                    <w:rPr>
                      <w:rFonts w:ascii="Times New Roman" w:hAnsi="Times New Roman"/>
                      <w:b/>
                      <w:sz w:val="24"/>
                      <w:szCs w:val="24"/>
                    </w:rPr>
                    <w:t xml:space="preserve"> Creative Accounting Practices</w:t>
                  </w:r>
                </w:p>
              </w:tc>
            </w:tr>
            <w:tr w:rsidR="000B5622" w:rsidRPr="008B1465" w14:paraId="76B8F9CB" w14:textId="77777777" w:rsidTr="00F7128F">
              <w:trPr>
                <w:trHeight w:val="413"/>
              </w:trPr>
              <w:tc>
                <w:tcPr>
                  <w:tcW w:w="625" w:type="dxa"/>
                  <w:tcBorders>
                    <w:top w:val="single" w:sz="4" w:space="0" w:color="auto"/>
                    <w:left w:val="single" w:sz="4" w:space="0" w:color="000000"/>
                    <w:bottom w:val="single" w:sz="4" w:space="0" w:color="000000"/>
                    <w:right w:val="single" w:sz="4" w:space="0" w:color="000000"/>
                  </w:tcBorders>
                  <w:vAlign w:val="center"/>
                </w:tcPr>
                <w:p w14:paraId="459FDE52" w14:textId="77777777" w:rsidR="009863A5" w:rsidRPr="008B1465" w:rsidRDefault="009863A5" w:rsidP="00861EC5">
                  <w:pPr>
                    <w:keepNext/>
                    <w:spacing w:after="0" w:line="276" w:lineRule="auto"/>
                    <w:jc w:val="both"/>
                    <w:rPr>
                      <w:rFonts w:ascii="Times New Roman" w:hAnsi="Times New Roman"/>
                      <w:sz w:val="24"/>
                      <w:szCs w:val="24"/>
                    </w:rPr>
                  </w:pPr>
                  <w:r w:rsidRPr="008B1465">
                    <w:rPr>
                      <w:rFonts w:ascii="Times New Roman" w:hAnsi="Times New Roman"/>
                      <w:b/>
                      <w:sz w:val="24"/>
                      <w:szCs w:val="24"/>
                    </w:rPr>
                    <w:t>S/N</w:t>
                  </w:r>
                </w:p>
              </w:tc>
              <w:tc>
                <w:tcPr>
                  <w:tcW w:w="6444" w:type="dxa"/>
                  <w:tcBorders>
                    <w:top w:val="single" w:sz="4" w:space="0" w:color="auto"/>
                    <w:left w:val="nil"/>
                    <w:bottom w:val="single" w:sz="4" w:space="0" w:color="000000"/>
                    <w:right w:val="single" w:sz="4" w:space="0" w:color="000000"/>
                  </w:tcBorders>
                  <w:vAlign w:val="center"/>
                </w:tcPr>
                <w:p w14:paraId="2120CEBA" w14:textId="77777777" w:rsidR="009863A5" w:rsidRPr="008B1465" w:rsidRDefault="009863A5" w:rsidP="00861EC5">
                  <w:pPr>
                    <w:keepNext/>
                    <w:spacing w:after="0" w:line="276" w:lineRule="auto"/>
                    <w:jc w:val="both"/>
                    <w:rPr>
                      <w:rFonts w:ascii="Times New Roman" w:hAnsi="Times New Roman"/>
                      <w:sz w:val="24"/>
                      <w:szCs w:val="24"/>
                    </w:rPr>
                  </w:pPr>
                  <w:r w:rsidRPr="008B1465">
                    <w:rPr>
                      <w:rFonts w:ascii="Times New Roman" w:hAnsi="Times New Roman"/>
                      <w:b/>
                      <w:sz w:val="24"/>
                      <w:szCs w:val="24"/>
                    </w:rPr>
                    <w:t xml:space="preserve">Items </w:t>
                  </w:r>
                </w:p>
              </w:tc>
              <w:tc>
                <w:tcPr>
                  <w:tcW w:w="610" w:type="dxa"/>
                  <w:tcBorders>
                    <w:top w:val="single" w:sz="4" w:space="0" w:color="auto"/>
                    <w:left w:val="nil"/>
                    <w:bottom w:val="single" w:sz="4" w:space="0" w:color="000000"/>
                    <w:right w:val="single" w:sz="4" w:space="0" w:color="000000"/>
                  </w:tcBorders>
                  <w:vAlign w:val="center"/>
                </w:tcPr>
                <w:p w14:paraId="02A76E5F" w14:textId="77777777" w:rsidR="009863A5" w:rsidRPr="008B1465" w:rsidRDefault="009863A5" w:rsidP="00861EC5">
                  <w:pPr>
                    <w:keepNext/>
                    <w:spacing w:after="0" w:line="276" w:lineRule="auto"/>
                    <w:jc w:val="both"/>
                    <w:rPr>
                      <w:rFonts w:ascii="Times New Roman" w:hAnsi="Times New Roman"/>
                      <w:sz w:val="24"/>
                      <w:szCs w:val="24"/>
                    </w:rPr>
                  </w:pPr>
                  <w:r w:rsidRPr="008B1465">
                    <w:rPr>
                      <w:rFonts w:ascii="Times New Roman" w:hAnsi="Times New Roman"/>
                      <w:b/>
                      <w:sz w:val="24"/>
                      <w:szCs w:val="24"/>
                    </w:rPr>
                    <w:t>SA</w:t>
                  </w:r>
                </w:p>
              </w:tc>
              <w:tc>
                <w:tcPr>
                  <w:tcW w:w="611" w:type="dxa"/>
                  <w:tcBorders>
                    <w:top w:val="single" w:sz="4" w:space="0" w:color="auto"/>
                    <w:left w:val="nil"/>
                    <w:bottom w:val="single" w:sz="4" w:space="0" w:color="000000"/>
                    <w:right w:val="single" w:sz="4" w:space="0" w:color="000000"/>
                  </w:tcBorders>
                  <w:vAlign w:val="center"/>
                </w:tcPr>
                <w:p w14:paraId="6C41D9D9" w14:textId="77777777" w:rsidR="009863A5" w:rsidRPr="008B1465" w:rsidRDefault="009863A5" w:rsidP="00861EC5">
                  <w:pPr>
                    <w:keepNext/>
                    <w:spacing w:after="0" w:line="276" w:lineRule="auto"/>
                    <w:jc w:val="both"/>
                    <w:rPr>
                      <w:rFonts w:ascii="Times New Roman" w:hAnsi="Times New Roman"/>
                      <w:sz w:val="24"/>
                      <w:szCs w:val="24"/>
                    </w:rPr>
                  </w:pPr>
                  <w:r w:rsidRPr="008B1465">
                    <w:rPr>
                      <w:rFonts w:ascii="Times New Roman" w:hAnsi="Times New Roman"/>
                      <w:b/>
                      <w:sz w:val="24"/>
                      <w:szCs w:val="24"/>
                    </w:rPr>
                    <w:t>A</w:t>
                  </w:r>
                </w:p>
              </w:tc>
              <w:tc>
                <w:tcPr>
                  <w:tcW w:w="611" w:type="dxa"/>
                  <w:tcBorders>
                    <w:top w:val="single" w:sz="4" w:space="0" w:color="auto"/>
                    <w:left w:val="nil"/>
                    <w:bottom w:val="single" w:sz="4" w:space="0" w:color="000000"/>
                    <w:right w:val="single" w:sz="4" w:space="0" w:color="000000"/>
                  </w:tcBorders>
                  <w:vAlign w:val="center"/>
                </w:tcPr>
                <w:p w14:paraId="354F4189" w14:textId="77777777" w:rsidR="009863A5" w:rsidRPr="008B1465" w:rsidRDefault="009863A5" w:rsidP="00861EC5">
                  <w:pPr>
                    <w:keepNext/>
                    <w:spacing w:after="0" w:line="276" w:lineRule="auto"/>
                    <w:jc w:val="both"/>
                    <w:rPr>
                      <w:rFonts w:ascii="Times New Roman" w:hAnsi="Times New Roman"/>
                      <w:sz w:val="24"/>
                      <w:szCs w:val="24"/>
                    </w:rPr>
                  </w:pPr>
                  <w:r w:rsidRPr="008B1465">
                    <w:rPr>
                      <w:rFonts w:ascii="Times New Roman" w:hAnsi="Times New Roman"/>
                      <w:b/>
                      <w:sz w:val="24"/>
                      <w:szCs w:val="24"/>
                    </w:rPr>
                    <w:t>U</w:t>
                  </w:r>
                </w:p>
              </w:tc>
              <w:tc>
                <w:tcPr>
                  <w:tcW w:w="611" w:type="dxa"/>
                  <w:tcBorders>
                    <w:top w:val="single" w:sz="4" w:space="0" w:color="auto"/>
                    <w:left w:val="nil"/>
                    <w:bottom w:val="single" w:sz="4" w:space="0" w:color="000000"/>
                    <w:right w:val="single" w:sz="4" w:space="0" w:color="000000"/>
                  </w:tcBorders>
                  <w:vAlign w:val="center"/>
                </w:tcPr>
                <w:p w14:paraId="3C91FE4F" w14:textId="77777777" w:rsidR="009863A5" w:rsidRPr="008B1465" w:rsidRDefault="009863A5" w:rsidP="00861EC5">
                  <w:pPr>
                    <w:keepNext/>
                    <w:spacing w:after="0" w:line="276" w:lineRule="auto"/>
                    <w:jc w:val="both"/>
                    <w:rPr>
                      <w:rFonts w:ascii="Times New Roman" w:hAnsi="Times New Roman"/>
                      <w:sz w:val="24"/>
                      <w:szCs w:val="24"/>
                    </w:rPr>
                  </w:pPr>
                  <w:r w:rsidRPr="008B1465">
                    <w:rPr>
                      <w:rFonts w:ascii="Times New Roman" w:hAnsi="Times New Roman"/>
                      <w:b/>
                      <w:sz w:val="24"/>
                      <w:szCs w:val="24"/>
                    </w:rPr>
                    <w:t>D</w:t>
                  </w:r>
                </w:p>
              </w:tc>
              <w:tc>
                <w:tcPr>
                  <w:tcW w:w="611" w:type="dxa"/>
                  <w:tcBorders>
                    <w:top w:val="single" w:sz="4" w:space="0" w:color="auto"/>
                    <w:left w:val="nil"/>
                    <w:bottom w:val="single" w:sz="4" w:space="0" w:color="000000"/>
                    <w:right w:val="single" w:sz="4" w:space="0" w:color="000000"/>
                  </w:tcBorders>
                  <w:vAlign w:val="center"/>
                </w:tcPr>
                <w:p w14:paraId="47D5F8DC" w14:textId="77777777" w:rsidR="009863A5" w:rsidRPr="008B1465" w:rsidRDefault="009863A5" w:rsidP="00861EC5">
                  <w:pPr>
                    <w:keepNext/>
                    <w:spacing w:after="0" w:line="276" w:lineRule="auto"/>
                    <w:jc w:val="both"/>
                    <w:rPr>
                      <w:rFonts w:ascii="Times New Roman" w:hAnsi="Times New Roman"/>
                      <w:sz w:val="24"/>
                      <w:szCs w:val="24"/>
                    </w:rPr>
                  </w:pPr>
                  <w:r w:rsidRPr="008B1465">
                    <w:rPr>
                      <w:rFonts w:ascii="Times New Roman" w:hAnsi="Times New Roman"/>
                      <w:b/>
                      <w:sz w:val="24"/>
                      <w:szCs w:val="24"/>
                    </w:rPr>
                    <w:t>SD</w:t>
                  </w:r>
                </w:p>
              </w:tc>
            </w:tr>
            <w:tr w:rsidR="000B5622" w:rsidRPr="008B1465" w14:paraId="6A49F767" w14:textId="77777777" w:rsidTr="00F7128F">
              <w:trPr>
                <w:trHeight w:val="469"/>
              </w:trPr>
              <w:tc>
                <w:tcPr>
                  <w:tcW w:w="625" w:type="dxa"/>
                  <w:tcBorders>
                    <w:top w:val="single" w:sz="4" w:space="0" w:color="000000"/>
                    <w:left w:val="single" w:sz="4" w:space="0" w:color="000000"/>
                    <w:bottom w:val="single" w:sz="4" w:space="0" w:color="000000"/>
                    <w:right w:val="single" w:sz="4" w:space="0" w:color="000000"/>
                  </w:tcBorders>
                </w:tcPr>
                <w:p w14:paraId="3153D3D6" w14:textId="77777777" w:rsidR="009863A5" w:rsidRPr="008B1465" w:rsidRDefault="009863A5" w:rsidP="00861EC5">
                  <w:pPr>
                    <w:pStyle w:val="ListParagraph"/>
                    <w:keepNext/>
                    <w:numPr>
                      <w:ilvl w:val="0"/>
                      <w:numId w:val="7"/>
                    </w:numPr>
                    <w:spacing w:after="0" w:line="276" w:lineRule="auto"/>
                    <w:jc w:val="both"/>
                    <w:rPr>
                      <w:rFonts w:ascii="Times New Roman" w:eastAsia="Calibri" w:hAnsi="Times New Roman"/>
                      <w:sz w:val="24"/>
                      <w:szCs w:val="24"/>
                    </w:rPr>
                  </w:pPr>
                </w:p>
              </w:tc>
              <w:tc>
                <w:tcPr>
                  <w:tcW w:w="6444" w:type="dxa"/>
                  <w:tcBorders>
                    <w:top w:val="single" w:sz="4" w:space="0" w:color="000000"/>
                    <w:left w:val="nil"/>
                    <w:bottom w:val="single" w:sz="4" w:space="0" w:color="000000"/>
                    <w:right w:val="single" w:sz="4" w:space="0" w:color="000000"/>
                  </w:tcBorders>
                </w:tcPr>
                <w:p w14:paraId="77F29294" w14:textId="77777777" w:rsidR="009863A5" w:rsidRPr="008B1465" w:rsidRDefault="009863A5" w:rsidP="00861EC5">
                  <w:pPr>
                    <w:keepNext/>
                    <w:spacing w:after="0" w:line="276" w:lineRule="auto"/>
                    <w:jc w:val="both"/>
                    <w:rPr>
                      <w:rFonts w:ascii="Times New Roman" w:hAnsi="Times New Roman"/>
                      <w:sz w:val="24"/>
                      <w:szCs w:val="24"/>
                    </w:rPr>
                  </w:pPr>
                  <w:r w:rsidRPr="008B1465">
                    <w:rPr>
                      <w:rFonts w:ascii="Times New Roman" w:hAnsi="Times New Roman"/>
                      <w:sz w:val="24"/>
                      <w:szCs w:val="24"/>
                    </w:rPr>
                    <w:t>Financial reports are prepared and presented by the ethical guidelines of the university</w:t>
                  </w:r>
                </w:p>
              </w:tc>
              <w:tc>
                <w:tcPr>
                  <w:tcW w:w="610" w:type="dxa"/>
                  <w:tcBorders>
                    <w:top w:val="single" w:sz="4" w:space="0" w:color="000000"/>
                    <w:left w:val="nil"/>
                    <w:bottom w:val="single" w:sz="4" w:space="0" w:color="000000"/>
                    <w:right w:val="single" w:sz="4" w:space="0" w:color="000000"/>
                  </w:tcBorders>
                </w:tcPr>
                <w:p w14:paraId="2FEE2FCD" w14:textId="77777777" w:rsidR="009863A5" w:rsidRPr="008B1465" w:rsidRDefault="009863A5" w:rsidP="00861EC5">
                  <w:pPr>
                    <w:keepNext/>
                    <w:spacing w:after="0" w:line="276"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5FACA503" w14:textId="77777777" w:rsidR="009863A5" w:rsidRPr="008B1465" w:rsidRDefault="009863A5" w:rsidP="00861EC5">
                  <w:pPr>
                    <w:keepNext/>
                    <w:spacing w:after="0" w:line="276"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7D434040" w14:textId="77777777" w:rsidR="009863A5" w:rsidRPr="008B1465" w:rsidRDefault="009863A5" w:rsidP="00861EC5">
                  <w:pPr>
                    <w:keepNext/>
                    <w:spacing w:after="0" w:line="276"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1804C120" w14:textId="77777777" w:rsidR="009863A5" w:rsidRPr="008B1465" w:rsidRDefault="009863A5" w:rsidP="00861EC5">
                  <w:pPr>
                    <w:keepNext/>
                    <w:spacing w:after="0" w:line="276"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0971B56E" w14:textId="77777777" w:rsidR="009863A5" w:rsidRPr="008B1465" w:rsidRDefault="009863A5" w:rsidP="00861EC5">
                  <w:pPr>
                    <w:keepNext/>
                    <w:spacing w:after="0" w:line="276" w:lineRule="auto"/>
                    <w:jc w:val="both"/>
                    <w:rPr>
                      <w:rFonts w:ascii="Times New Roman" w:hAnsi="Times New Roman"/>
                      <w:sz w:val="24"/>
                      <w:szCs w:val="24"/>
                    </w:rPr>
                  </w:pPr>
                </w:p>
              </w:tc>
            </w:tr>
            <w:tr w:rsidR="000B5622" w:rsidRPr="008B1465" w14:paraId="2A18F610" w14:textId="77777777" w:rsidTr="00F7128F">
              <w:trPr>
                <w:trHeight w:val="469"/>
              </w:trPr>
              <w:tc>
                <w:tcPr>
                  <w:tcW w:w="625" w:type="dxa"/>
                  <w:tcBorders>
                    <w:top w:val="single" w:sz="4" w:space="0" w:color="000000"/>
                    <w:left w:val="single" w:sz="4" w:space="0" w:color="000000"/>
                    <w:bottom w:val="single" w:sz="4" w:space="0" w:color="000000"/>
                    <w:right w:val="single" w:sz="4" w:space="0" w:color="000000"/>
                  </w:tcBorders>
                </w:tcPr>
                <w:p w14:paraId="32A51E55" w14:textId="77777777" w:rsidR="009863A5" w:rsidRPr="008B1465" w:rsidRDefault="009863A5" w:rsidP="00861EC5">
                  <w:pPr>
                    <w:pStyle w:val="ListParagraph"/>
                    <w:keepNext/>
                    <w:numPr>
                      <w:ilvl w:val="0"/>
                      <w:numId w:val="7"/>
                    </w:numPr>
                    <w:spacing w:after="0" w:line="276" w:lineRule="auto"/>
                    <w:jc w:val="both"/>
                    <w:rPr>
                      <w:rFonts w:ascii="Times New Roman" w:eastAsia="Calibri" w:hAnsi="Times New Roman"/>
                      <w:sz w:val="24"/>
                      <w:szCs w:val="24"/>
                    </w:rPr>
                  </w:pPr>
                </w:p>
              </w:tc>
              <w:tc>
                <w:tcPr>
                  <w:tcW w:w="6444" w:type="dxa"/>
                  <w:tcBorders>
                    <w:top w:val="single" w:sz="4" w:space="0" w:color="000000"/>
                    <w:left w:val="nil"/>
                    <w:bottom w:val="single" w:sz="4" w:space="0" w:color="000000"/>
                    <w:right w:val="single" w:sz="4" w:space="0" w:color="000000"/>
                  </w:tcBorders>
                </w:tcPr>
                <w:p w14:paraId="03897CA6" w14:textId="77777777" w:rsidR="009863A5" w:rsidRPr="008B1465" w:rsidRDefault="009863A5" w:rsidP="00861EC5">
                  <w:pPr>
                    <w:keepNext/>
                    <w:spacing w:after="0" w:line="276" w:lineRule="auto"/>
                    <w:jc w:val="both"/>
                    <w:rPr>
                      <w:rFonts w:ascii="Times New Roman" w:hAnsi="Times New Roman"/>
                      <w:sz w:val="24"/>
                      <w:szCs w:val="24"/>
                    </w:rPr>
                  </w:pPr>
                  <w:r w:rsidRPr="008B1465">
                    <w:rPr>
                      <w:rFonts w:ascii="Times New Roman" w:hAnsi="Times New Roman"/>
                      <w:sz w:val="24"/>
                      <w:szCs w:val="24"/>
                    </w:rPr>
                    <w:t xml:space="preserve">Ethical standards are duly observed in the presentation of the financial reporting procedures at my </w:t>
                  </w:r>
                  <w:r w:rsidRPr="008B1465">
                    <w:rPr>
                      <w:rFonts w:ascii="Times New Roman" w:eastAsia="Calibri" w:hAnsi="Times New Roman"/>
                      <w:sz w:val="24"/>
                      <w:szCs w:val="24"/>
                    </w:rPr>
                    <w:t>university</w:t>
                  </w:r>
                </w:p>
              </w:tc>
              <w:tc>
                <w:tcPr>
                  <w:tcW w:w="610" w:type="dxa"/>
                  <w:tcBorders>
                    <w:top w:val="single" w:sz="4" w:space="0" w:color="000000"/>
                    <w:left w:val="nil"/>
                    <w:bottom w:val="single" w:sz="4" w:space="0" w:color="000000"/>
                    <w:right w:val="single" w:sz="4" w:space="0" w:color="000000"/>
                  </w:tcBorders>
                </w:tcPr>
                <w:p w14:paraId="4C7F90A5" w14:textId="77777777" w:rsidR="009863A5" w:rsidRPr="008B1465" w:rsidRDefault="009863A5" w:rsidP="00861EC5">
                  <w:pPr>
                    <w:keepNext/>
                    <w:spacing w:after="0" w:line="276"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54DCE773" w14:textId="77777777" w:rsidR="009863A5" w:rsidRPr="008B1465" w:rsidRDefault="009863A5" w:rsidP="00861EC5">
                  <w:pPr>
                    <w:keepNext/>
                    <w:spacing w:after="0" w:line="276"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39A81AFE" w14:textId="77777777" w:rsidR="009863A5" w:rsidRPr="008B1465" w:rsidRDefault="009863A5" w:rsidP="00861EC5">
                  <w:pPr>
                    <w:keepNext/>
                    <w:spacing w:after="0" w:line="276"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0120518D" w14:textId="77777777" w:rsidR="009863A5" w:rsidRPr="008B1465" w:rsidRDefault="009863A5" w:rsidP="00861EC5">
                  <w:pPr>
                    <w:keepNext/>
                    <w:spacing w:after="0" w:line="276"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4FE54871" w14:textId="77777777" w:rsidR="009863A5" w:rsidRPr="008B1465" w:rsidRDefault="009863A5" w:rsidP="00861EC5">
                  <w:pPr>
                    <w:keepNext/>
                    <w:spacing w:after="0" w:line="276" w:lineRule="auto"/>
                    <w:jc w:val="both"/>
                    <w:rPr>
                      <w:rFonts w:ascii="Times New Roman" w:hAnsi="Times New Roman"/>
                      <w:sz w:val="24"/>
                      <w:szCs w:val="24"/>
                    </w:rPr>
                  </w:pPr>
                </w:p>
              </w:tc>
            </w:tr>
            <w:tr w:rsidR="000B5622" w:rsidRPr="008B1465" w14:paraId="3BA6ED1A" w14:textId="77777777" w:rsidTr="00F7128F">
              <w:trPr>
                <w:trHeight w:val="403"/>
              </w:trPr>
              <w:tc>
                <w:tcPr>
                  <w:tcW w:w="625" w:type="dxa"/>
                  <w:tcBorders>
                    <w:top w:val="single" w:sz="4" w:space="0" w:color="000000"/>
                    <w:left w:val="single" w:sz="4" w:space="0" w:color="000000"/>
                    <w:bottom w:val="single" w:sz="4" w:space="0" w:color="000000"/>
                    <w:right w:val="single" w:sz="4" w:space="0" w:color="000000"/>
                  </w:tcBorders>
                </w:tcPr>
                <w:p w14:paraId="1AA48F0B" w14:textId="77777777" w:rsidR="009863A5" w:rsidRPr="008B1465" w:rsidRDefault="009863A5" w:rsidP="00861EC5">
                  <w:pPr>
                    <w:pStyle w:val="ListParagraph"/>
                    <w:keepNext/>
                    <w:numPr>
                      <w:ilvl w:val="0"/>
                      <w:numId w:val="7"/>
                    </w:numPr>
                    <w:spacing w:after="0" w:line="276" w:lineRule="auto"/>
                    <w:jc w:val="both"/>
                    <w:rPr>
                      <w:rFonts w:ascii="Times New Roman" w:eastAsia="Calibri" w:hAnsi="Times New Roman"/>
                      <w:sz w:val="24"/>
                      <w:szCs w:val="24"/>
                    </w:rPr>
                  </w:pPr>
                </w:p>
              </w:tc>
              <w:tc>
                <w:tcPr>
                  <w:tcW w:w="6444" w:type="dxa"/>
                  <w:tcBorders>
                    <w:top w:val="single" w:sz="4" w:space="0" w:color="000000"/>
                    <w:left w:val="nil"/>
                    <w:bottom w:val="single" w:sz="4" w:space="0" w:color="000000"/>
                    <w:right w:val="single" w:sz="4" w:space="0" w:color="000000"/>
                  </w:tcBorders>
                </w:tcPr>
                <w:p w14:paraId="36105A8F" w14:textId="77777777" w:rsidR="009863A5" w:rsidRPr="008B1465" w:rsidRDefault="009863A5" w:rsidP="00861EC5">
                  <w:pPr>
                    <w:keepNext/>
                    <w:spacing w:after="0" w:line="276" w:lineRule="auto"/>
                    <w:jc w:val="both"/>
                    <w:rPr>
                      <w:rFonts w:ascii="Times New Roman" w:hAnsi="Times New Roman"/>
                      <w:sz w:val="24"/>
                      <w:szCs w:val="24"/>
                    </w:rPr>
                  </w:pPr>
                  <w:r w:rsidRPr="008B1465">
                    <w:rPr>
                      <w:rFonts w:ascii="Times New Roman" w:hAnsi="Times New Roman"/>
                      <w:sz w:val="24"/>
                      <w:szCs w:val="24"/>
                    </w:rPr>
                    <w:t>The quality of disclosure practice for financial reporting is compliant with financial reporting standards</w:t>
                  </w:r>
                </w:p>
              </w:tc>
              <w:tc>
                <w:tcPr>
                  <w:tcW w:w="610" w:type="dxa"/>
                  <w:tcBorders>
                    <w:top w:val="single" w:sz="4" w:space="0" w:color="000000"/>
                    <w:left w:val="nil"/>
                    <w:bottom w:val="single" w:sz="4" w:space="0" w:color="000000"/>
                    <w:right w:val="single" w:sz="4" w:space="0" w:color="000000"/>
                  </w:tcBorders>
                </w:tcPr>
                <w:p w14:paraId="2C6EF751" w14:textId="77777777" w:rsidR="009863A5" w:rsidRPr="008B1465" w:rsidRDefault="009863A5" w:rsidP="00861EC5">
                  <w:pPr>
                    <w:keepNext/>
                    <w:spacing w:after="0" w:line="276"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3812B053" w14:textId="77777777" w:rsidR="009863A5" w:rsidRPr="008B1465" w:rsidRDefault="009863A5" w:rsidP="00861EC5">
                  <w:pPr>
                    <w:keepNext/>
                    <w:spacing w:after="0" w:line="276"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40032815" w14:textId="77777777" w:rsidR="009863A5" w:rsidRPr="008B1465" w:rsidRDefault="009863A5" w:rsidP="00861EC5">
                  <w:pPr>
                    <w:keepNext/>
                    <w:spacing w:after="0" w:line="276"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542595DA" w14:textId="77777777" w:rsidR="009863A5" w:rsidRPr="008B1465" w:rsidRDefault="009863A5" w:rsidP="00861EC5">
                  <w:pPr>
                    <w:keepNext/>
                    <w:spacing w:after="0" w:line="276"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40F2BF6F" w14:textId="77777777" w:rsidR="009863A5" w:rsidRPr="008B1465" w:rsidRDefault="009863A5" w:rsidP="00861EC5">
                  <w:pPr>
                    <w:keepNext/>
                    <w:spacing w:after="0" w:line="276" w:lineRule="auto"/>
                    <w:jc w:val="both"/>
                    <w:rPr>
                      <w:rFonts w:ascii="Times New Roman" w:hAnsi="Times New Roman"/>
                      <w:sz w:val="24"/>
                      <w:szCs w:val="24"/>
                    </w:rPr>
                  </w:pPr>
                </w:p>
              </w:tc>
            </w:tr>
            <w:tr w:rsidR="000B5622" w:rsidRPr="008B1465" w14:paraId="1D61843D" w14:textId="77777777" w:rsidTr="00F7128F">
              <w:trPr>
                <w:trHeight w:val="368"/>
              </w:trPr>
              <w:tc>
                <w:tcPr>
                  <w:tcW w:w="625" w:type="dxa"/>
                  <w:tcBorders>
                    <w:top w:val="single" w:sz="4" w:space="0" w:color="000000"/>
                    <w:left w:val="single" w:sz="4" w:space="0" w:color="000000"/>
                    <w:bottom w:val="single" w:sz="4" w:space="0" w:color="000000"/>
                    <w:right w:val="single" w:sz="4" w:space="0" w:color="000000"/>
                  </w:tcBorders>
                </w:tcPr>
                <w:p w14:paraId="0DE2C7E1" w14:textId="77777777" w:rsidR="009863A5" w:rsidRPr="008B1465" w:rsidRDefault="009863A5" w:rsidP="00861EC5">
                  <w:pPr>
                    <w:pStyle w:val="ListParagraph"/>
                    <w:keepNext/>
                    <w:numPr>
                      <w:ilvl w:val="0"/>
                      <w:numId w:val="7"/>
                    </w:numPr>
                    <w:spacing w:after="0" w:line="276" w:lineRule="auto"/>
                    <w:jc w:val="both"/>
                    <w:rPr>
                      <w:rFonts w:ascii="Times New Roman" w:eastAsia="Calibri" w:hAnsi="Times New Roman"/>
                      <w:sz w:val="24"/>
                      <w:szCs w:val="24"/>
                    </w:rPr>
                  </w:pPr>
                </w:p>
              </w:tc>
              <w:tc>
                <w:tcPr>
                  <w:tcW w:w="6444" w:type="dxa"/>
                  <w:tcBorders>
                    <w:top w:val="single" w:sz="4" w:space="0" w:color="000000"/>
                    <w:left w:val="nil"/>
                    <w:bottom w:val="single" w:sz="4" w:space="0" w:color="000000"/>
                    <w:right w:val="single" w:sz="4" w:space="0" w:color="000000"/>
                  </w:tcBorders>
                </w:tcPr>
                <w:p w14:paraId="501AB683" w14:textId="77777777" w:rsidR="009863A5" w:rsidRPr="008B1465" w:rsidRDefault="009863A5" w:rsidP="00861EC5">
                  <w:pPr>
                    <w:keepNext/>
                    <w:spacing w:after="0" w:line="276" w:lineRule="auto"/>
                    <w:jc w:val="both"/>
                    <w:rPr>
                      <w:rFonts w:ascii="Times New Roman" w:hAnsi="Times New Roman"/>
                      <w:sz w:val="24"/>
                      <w:szCs w:val="24"/>
                    </w:rPr>
                  </w:pPr>
                  <w:r w:rsidRPr="008B1465">
                    <w:rPr>
                      <w:rFonts w:ascii="Times New Roman" w:hAnsi="Times New Roman"/>
                      <w:sz w:val="24"/>
                      <w:szCs w:val="24"/>
                    </w:rPr>
                    <w:t>Disclosure of internal control reports increases the auditory role</w:t>
                  </w:r>
                </w:p>
              </w:tc>
              <w:tc>
                <w:tcPr>
                  <w:tcW w:w="610" w:type="dxa"/>
                  <w:tcBorders>
                    <w:top w:val="single" w:sz="4" w:space="0" w:color="000000"/>
                    <w:left w:val="nil"/>
                    <w:bottom w:val="single" w:sz="4" w:space="0" w:color="000000"/>
                    <w:right w:val="single" w:sz="4" w:space="0" w:color="000000"/>
                  </w:tcBorders>
                </w:tcPr>
                <w:p w14:paraId="2BD8AD23" w14:textId="77777777" w:rsidR="009863A5" w:rsidRPr="008B1465" w:rsidRDefault="009863A5" w:rsidP="00861EC5">
                  <w:pPr>
                    <w:keepNext/>
                    <w:spacing w:after="0" w:line="276"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3276E09F" w14:textId="77777777" w:rsidR="009863A5" w:rsidRPr="008B1465" w:rsidRDefault="009863A5" w:rsidP="00861EC5">
                  <w:pPr>
                    <w:keepNext/>
                    <w:spacing w:after="0" w:line="276"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1594037D" w14:textId="77777777" w:rsidR="009863A5" w:rsidRPr="008B1465" w:rsidRDefault="009863A5" w:rsidP="00861EC5">
                  <w:pPr>
                    <w:keepNext/>
                    <w:spacing w:after="0" w:line="276"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6A569013" w14:textId="77777777" w:rsidR="009863A5" w:rsidRPr="008B1465" w:rsidRDefault="009863A5" w:rsidP="00861EC5">
                  <w:pPr>
                    <w:keepNext/>
                    <w:spacing w:after="0" w:line="276"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15E2158D" w14:textId="77777777" w:rsidR="009863A5" w:rsidRPr="008B1465" w:rsidRDefault="009863A5" w:rsidP="00861EC5">
                  <w:pPr>
                    <w:keepNext/>
                    <w:spacing w:after="0" w:line="276" w:lineRule="auto"/>
                    <w:jc w:val="both"/>
                    <w:rPr>
                      <w:rFonts w:ascii="Times New Roman" w:hAnsi="Times New Roman"/>
                      <w:sz w:val="24"/>
                      <w:szCs w:val="24"/>
                    </w:rPr>
                  </w:pPr>
                </w:p>
              </w:tc>
            </w:tr>
            <w:tr w:rsidR="000B5622" w:rsidRPr="008B1465" w14:paraId="359246FB" w14:textId="77777777" w:rsidTr="00F7128F">
              <w:trPr>
                <w:trHeight w:val="502"/>
              </w:trPr>
              <w:tc>
                <w:tcPr>
                  <w:tcW w:w="625" w:type="dxa"/>
                  <w:tcBorders>
                    <w:top w:val="single" w:sz="4" w:space="0" w:color="000000"/>
                    <w:left w:val="single" w:sz="4" w:space="0" w:color="000000"/>
                    <w:bottom w:val="single" w:sz="4" w:space="0" w:color="000000"/>
                    <w:right w:val="single" w:sz="4" w:space="0" w:color="000000"/>
                  </w:tcBorders>
                </w:tcPr>
                <w:p w14:paraId="411ACC9C" w14:textId="77777777" w:rsidR="009863A5" w:rsidRPr="008B1465" w:rsidRDefault="009863A5" w:rsidP="00861EC5">
                  <w:pPr>
                    <w:pStyle w:val="ListParagraph"/>
                    <w:keepNext/>
                    <w:numPr>
                      <w:ilvl w:val="0"/>
                      <w:numId w:val="7"/>
                    </w:numPr>
                    <w:spacing w:after="0" w:line="276" w:lineRule="auto"/>
                    <w:jc w:val="both"/>
                    <w:rPr>
                      <w:rFonts w:ascii="Times New Roman" w:eastAsia="Calibri" w:hAnsi="Times New Roman"/>
                      <w:sz w:val="24"/>
                      <w:szCs w:val="24"/>
                    </w:rPr>
                  </w:pPr>
                </w:p>
              </w:tc>
              <w:tc>
                <w:tcPr>
                  <w:tcW w:w="6444" w:type="dxa"/>
                  <w:tcBorders>
                    <w:top w:val="single" w:sz="4" w:space="0" w:color="000000"/>
                    <w:left w:val="nil"/>
                    <w:bottom w:val="single" w:sz="4" w:space="0" w:color="000000"/>
                    <w:right w:val="single" w:sz="4" w:space="0" w:color="000000"/>
                  </w:tcBorders>
                </w:tcPr>
                <w:p w14:paraId="3C285C35" w14:textId="77777777" w:rsidR="009863A5" w:rsidRPr="008B1465" w:rsidRDefault="009863A5" w:rsidP="00861EC5">
                  <w:pPr>
                    <w:keepNext/>
                    <w:spacing w:after="0" w:line="276" w:lineRule="auto"/>
                    <w:jc w:val="both"/>
                    <w:rPr>
                      <w:rFonts w:ascii="Times New Roman" w:hAnsi="Times New Roman"/>
                      <w:sz w:val="24"/>
                      <w:szCs w:val="24"/>
                    </w:rPr>
                  </w:pPr>
                  <w:r w:rsidRPr="008B1465">
                    <w:rPr>
                      <w:rFonts w:ascii="Times New Roman" w:hAnsi="Times New Roman"/>
                      <w:sz w:val="24"/>
                      <w:szCs w:val="24"/>
                    </w:rPr>
                    <w:t>The existence of recommendations and advice about potential improvement in the reports leads to improvement in the quality of financial reporting</w:t>
                  </w:r>
                </w:p>
              </w:tc>
              <w:tc>
                <w:tcPr>
                  <w:tcW w:w="610" w:type="dxa"/>
                  <w:tcBorders>
                    <w:top w:val="single" w:sz="4" w:space="0" w:color="000000"/>
                    <w:left w:val="nil"/>
                    <w:bottom w:val="single" w:sz="4" w:space="0" w:color="000000"/>
                    <w:right w:val="single" w:sz="4" w:space="0" w:color="000000"/>
                  </w:tcBorders>
                </w:tcPr>
                <w:p w14:paraId="7366276E" w14:textId="77777777" w:rsidR="009863A5" w:rsidRPr="008B1465" w:rsidRDefault="009863A5" w:rsidP="00861EC5">
                  <w:pPr>
                    <w:keepNext/>
                    <w:spacing w:after="0" w:line="276"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3103A06C" w14:textId="77777777" w:rsidR="009863A5" w:rsidRPr="008B1465" w:rsidRDefault="009863A5" w:rsidP="00861EC5">
                  <w:pPr>
                    <w:keepNext/>
                    <w:spacing w:after="0" w:line="276"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732E13A4" w14:textId="77777777" w:rsidR="009863A5" w:rsidRPr="008B1465" w:rsidRDefault="009863A5" w:rsidP="00861EC5">
                  <w:pPr>
                    <w:keepNext/>
                    <w:spacing w:after="0" w:line="276"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49B47490" w14:textId="77777777" w:rsidR="009863A5" w:rsidRPr="008B1465" w:rsidRDefault="009863A5" w:rsidP="00861EC5">
                  <w:pPr>
                    <w:keepNext/>
                    <w:spacing w:after="0" w:line="276"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2AE88710" w14:textId="77777777" w:rsidR="009863A5" w:rsidRPr="008B1465" w:rsidRDefault="009863A5" w:rsidP="00861EC5">
                  <w:pPr>
                    <w:keepNext/>
                    <w:spacing w:after="0" w:line="276" w:lineRule="auto"/>
                    <w:jc w:val="both"/>
                    <w:rPr>
                      <w:rFonts w:ascii="Times New Roman" w:hAnsi="Times New Roman"/>
                      <w:sz w:val="24"/>
                      <w:szCs w:val="24"/>
                    </w:rPr>
                  </w:pPr>
                </w:p>
              </w:tc>
            </w:tr>
            <w:tr w:rsidR="000B5622" w:rsidRPr="008B1465" w14:paraId="114FA35C" w14:textId="77777777" w:rsidTr="00F7128F">
              <w:trPr>
                <w:trHeight w:val="502"/>
              </w:trPr>
              <w:tc>
                <w:tcPr>
                  <w:tcW w:w="625" w:type="dxa"/>
                  <w:tcBorders>
                    <w:top w:val="single" w:sz="4" w:space="0" w:color="000000"/>
                    <w:left w:val="single" w:sz="4" w:space="0" w:color="000000"/>
                    <w:bottom w:val="single" w:sz="4" w:space="0" w:color="000000"/>
                    <w:right w:val="single" w:sz="4" w:space="0" w:color="000000"/>
                  </w:tcBorders>
                </w:tcPr>
                <w:p w14:paraId="47B9E0AD" w14:textId="77777777" w:rsidR="009863A5" w:rsidRPr="008B1465" w:rsidRDefault="009863A5" w:rsidP="00861EC5">
                  <w:pPr>
                    <w:pStyle w:val="ListParagraph"/>
                    <w:keepNext/>
                    <w:numPr>
                      <w:ilvl w:val="0"/>
                      <w:numId w:val="7"/>
                    </w:numPr>
                    <w:spacing w:after="0" w:line="276" w:lineRule="auto"/>
                    <w:jc w:val="both"/>
                    <w:rPr>
                      <w:rFonts w:ascii="Times New Roman" w:eastAsia="Calibri" w:hAnsi="Times New Roman"/>
                      <w:sz w:val="24"/>
                      <w:szCs w:val="24"/>
                    </w:rPr>
                  </w:pPr>
                </w:p>
              </w:tc>
              <w:tc>
                <w:tcPr>
                  <w:tcW w:w="6444" w:type="dxa"/>
                  <w:tcBorders>
                    <w:top w:val="single" w:sz="4" w:space="0" w:color="000000"/>
                    <w:left w:val="nil"/>
                    <w:bottom w:val="single" w:sz="4" w:space="0" w:color="000000"/>
                    <w:right w:val="single" w:sz="4" w:space="0" w:color="000000"/>
                  </w:tcBorders>
                </w:tcPr>
                <w:p w14:paraId="40ED305A" w14:textId="77777777" w:rsidR="009863A5" w:rsidRPr="008B1465" w:rsidRDefault="009863A5" w:rsidP="00861EC5">
                  <w:pPr>
                    <w:keepNext/>
                    <w:spacing w:after="0" w:line="276" w:lineRule="auto"/>
                    <w:jc w:val="both"/>
                    <w:rPr>
                      <w:rFonts w:ascii="Times New Roman" w:hAnsi="Times New Roman"/>
                      <w:sz w:val="24"/>
                      <w:szCs w:val="24"/>
                    </w:rPr>
                  </w:pPr>
                  <w:r w:rsidRPr="008B1465">
                    <w:rPr>
                      <w:rFonts w:ascii="Times New Roman" w:hAnsi="Times New Roman"/>
                      <w:sz w:val="24"/>
                      <w:szCs w:val="24"/>
                    </w:rPr>
                    <w:t>A clear determination of the responsibilities and authorities among departments leads to improvements in the quality of financial reporting</w:t>
                  </w:r>
                </w:p>
              </w:tc>
              <w:tc>
                <w:tcPr>
                  <w:tcW w:w="610" w:type="dxa"/>
                  <w:tcBorders>
                    <w:top w:val="single" w:sz="4" w:space="0" w:color="000000"/>
                    <w:left w:val="nil"/>
                    <w:bottom w:val="single" w:sz="4" w:space="0" w:color="000000"/>
                    <w:right w:val="single" w:sz="4" w:space="0" w:color="000000"/>
                  </w:tcBorders>
                </w:tcPr>
                <w:p w14:paraId="6664CEED" w14:textId="77777777" w:rsidR="009863A5" w:rsidRPr="008B1465" w:rsidRDefault="009863A5" w:rsidP="00861EC5">
                  <w:pPr>
                    <w:keepNext/>
                    <w:spacing w:after="0" w:line="276"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446338F5" w14:textId="77777777" w:rsidR="009863A5" w:rsidRPr="008B1465" w:rsidRDefault="009863A5" w:rsidP="00861EC5">
                  <w:pPr>
                    <w:keepNext/>
                    <w:spacing w:after="0" w:line="276"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2D8CE732" w14:textId="77777777" w:rsidR="009863A5" w:rsidRPr="008B1465" w:rsidRDefault="009863A5" w:rsidP="00861EC5">
                  <w:pPr>
                    <w:keepNext/>
                    <w:spacing w:after="0" w:line="276"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118E3AFD" w14:textId="77777777" w:rsidR="009863A5" w:rsidRPr="008B1465" w:rsidRDefault="009863A5" w:rsidP="00861EC5">
                  <w:pPr>
                    <w:keepNext/>
                    <w:spacing w:after="0" w:line="276"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1879BCE0" w14:textId="77777777" w:rsidR="009863A5" w:rsidRPr="008B1465" w:rsidRDefault="009863A5" w:rsidP="00861EC5">
                  <w:pPr>
                    <w:keepNext/>
                    <w:spacing w:after="0" w:line="276" w:lineRule="auto"/>
                    <w:jc w:val="both"/>
                    <w:rPr>
                      <w:rFonts w:ascii="Times New Roman" w:hAnsi="Times New Roman"/>
                      <w:sz w:val="24"/>
                      <w:szCs w:val="24"/>
                    </w:rPr>
                  </w:pPr>
                </w:p>
              </w:tc>
            </w:tr>
          </w:tbl>
          <w:p w14:paraId="373ACCED" w14:textId="77777777" w:rsidR="009863A5" w:rsidRPr="008B1465" w:rsidRDefault="009863A5" w:rsidP="00861EC5">
            <w:pPr>
              <w:spacing w:after="0" w:line="276" w:lineRule="auto"/>
              <w:jc w:val="both"/>
              <w:rPr>
                <w:rFonts w:ascii="Times New Roman" w:hAnsi="Times New Roman"/>
                <w:sz w:val="24"/>
                <w:szCs w:val="24"/>
              </w:rPr>
            </w:pPr>
          </w:p>
        </w:tc>
      </w:tr>
    </w:tbl>
    <w:p w14:paraId="2034C1F2" w14:textId="526CE8B8" w:rsidR="001616E5" w:rsidRPr="008B1465" w:rsidRDefault="003F05E3" w:rsidP="00642694">
      <w:pPr>
        <w:spacing w:after="0" w:line="360" w:lineRule="auto"/>
        <w:jc w:val="center"/>
        <w:rPr>
          <w:rFonts w:ascii="Times New Roman" w:eastAsia="Calibri" w:hAnsi="Times New Roman"/>
          <w:b/>
          <w:sz w:val="24"/>
          <w:szCs w:val="24"/>
        </w:rPr>
      </w:pPr>
      <w:r w:rsidRPr="008B1465">
        <w:rPr>
          <w:rFonts w:ascii="Times New Roman" w:eastAsia="Calibri" w:hAnsi="Times New Roman"/>
          <w:b/>
          <w:bCs/>
          <w:sz w:val="24"/>
          <w:szCs w:val="24"/>
        </w:rPr>
        <w:t>III.</w:t>
      </w:r>
      <w:r w:rsidRPr="008B1465">
        <w:rPr>
          <w:rFonts w:ascii="Times New Roman" w:eastAsia="Calibri" w:hAnsi="Times New Roman"/>
          <w:sz w:val="24"/>
          <w:szCs w:val="24"/>
        </w:rPr>
        <w:t xml:space="preserve"> </w:t>
      </w:r>
      <w:r w:rsidRPr="008B1465">
        <w:rPr>
          <w:rFonts w:ascii="Times New Roman" w:eastAsia="Calibri" w:hAnsi="Times New Roman"/>
          <w:b/>
          <w:sz w:val="24"/>
          <w:szCs w:val="24"/>
        </w:rPr>
        <w:t>Procurement Practices</w:t>
      </w:r>
    </w:p>
    <w:tbl>
      <w:tblPr>
        <w:tblW w:w="10123" w:type="dxa"/>
        <w:tblInd w:w="135" w:type="dxa"/>
        <w:tblLook w:val="04A0" w:firstRow="1" w:lastRow="0" w:firstColumn="1" w:lastColumn="0" w:noHBand="0" w:noVBand="1"/>
      </w:tblPr>
      <w:tblGrid>
        <w:gridCol w:w="625"/>
        <w:gridCol w:w="6444"/>
        <w:gridCol w:w="610"/>
        <w:gridCol w:w="611"/>
        <w:gridCol w:w="611"/>
        <w:gridCol w:w="611"/>
        <w:gridCol w:w="611"/>
      </w:tblGrid>
      <w:tr w:rsidR="000B5622" w:rsidRPr="008B1465" w14:paraId="1C08863A" w14:textId="77777777" w:rsidTr="009863A5">
        <w:trPr>
          <w:trHeight w:val="560"/>
        </w:trPr>
        <w:tc>
          <w:tcPr>
            <w:tcW w:w="625" w:type="dxa"/>
            <w:tcBorders>
              <w:top w:val="single" w:sz="4" w:space="0" w:color="000000"/>
              <w:left w:val="single" w:sz="4" w:space="0" w:color="000000"/>
              <w:bottom w:val="single" w:sz="4" w:space="0" w:color="000000"/>
              <w:right w:val="single" w:sz="4" w:space="0" w:color="000000"/>
            </w:tcBorders>
            <w:vAlign w:val="center"/>
          </w:tcPr>
          <w:p w14:paraId="230112D2" w14:textId="77777777" w:rsidR="001616E5" w:rsidRPr="008B1465" w:rsidRDefault="003F05E3" w:rsidP="007541CB">
            <w:pPr>
              <w:spacing w:after="0" w:line="360" w:lineRule="auto"/>
              <w:jc w:val="both"/>
              <w:rPr>
                <w:rFonts w:ascii="Times New Roman" w:hAnsi="Times New Roman"/>
                <w:sz w:val="24"/>
                <w:szCs w:val="24"/>
              </w:rPr>
            </w:pPr>
            <w:r w:rsidRPr="008B1465">
              <w:rPr>
                <w:rFonts w:ascii="Times New Roman" w:hAnsi="Times New Roman"/>
                <w:b/>
                <w:sz w:val="24"/>
                <w:szCs w:val="24"/>
              </w:rPr>
              <w:t>S/N</w:t>
            </w:r>
          </w:p>
        </w:tc>
        <w:tc>
          <w:tcPr>
            <w:tcW w:w="6444" w:type="dxa"/>
            <w:tcBorders>
              <w:top w:val="single" w:sz="4" w:space="0" w:color="000000"/>
              <w:left w:val="nil"/>
              <w:bottom w:val="single" w:sz="4" w:space="0" w:color="000000"/>
              <w:right w:val="single" w:sz="4" w:space="0" w:color="000000"/>
            </w:tcBorders>
            <w:vAlign w:val="center"/>
          </w:tcPr>
          <w:p w14:paraId="7B3BB4B6" w14:textId="77777777" w:rsidR="001616E5" w:rsidRPr="008B1465" w:rsidRDefault="003F05E3" w:rsidP="007541CB">
            <w:pPr>
              <w:spacing w:after="0" w:line="360" w:lineRule="auto"/>
              <w:jc w:val="center"/>
              <w:rPr>
                <w:rFonts w:ascii="Times New Roman" w:hAnsi="Times New Roman"/>
                <w:sz w:val="24"/>
                <w:szCs w:val="24"/>
              </w:rPr>
            </w:pPr>
            <w:r w:rsidRPr="008B1465">
              <w:rPr>
                <w:rFonts w:ascii="Times New Roman" w:hAnsi="Times New Roman"/>
                <w:b/>
                <w:sz w:val="24"/>
                <w:szCs w:val="24"/>
              </w:rPr>
              <w:t>Items</w:t>
            </w:r>
          </w:p>
        </w:tc>
        <w:tc>
          <w:tcPr>
            <w:tcW w:w="610" w:type="dxa"/>
            <w:tcBorders>
              <w:top w:val="single" w:sz="4" w:space="0" w:color="000000"/>
              <w:left w:val="nil"/>
              <w:bottom w:val="single" w:sz="4" w:space="0" w:color="000000"/>
              <w:right w:val="single" w:sz="4" w:space="0" w:color="000000"/>
            </w:tcBorders>
            <w:vAlign w:val="center"/>
          </w:tcPr>
          <w:p w14:paraId="3C90B3B0" w14:textId="77777777" w:rsidR="001616E5" w:rsidRPr="008B1465" w:rsidRDefault="003F05E3" w:rsidP="007541CB">
            <w:pPr>
              <w:spacing w:after="0" w:line="360" w:lineRule="auto"/>
              <w:jc w:val="both"/>
              <w:rPr>
                <w:rFonts w:ascii="Times New Roman" w:hAnsi="Times New Roman"/>
                <w:sz w:val="24"/>
                <w:szCs w:val="24"/>
              </w:rPr>
            </w:pPr>
            <w:r w:rsidRPr="008B1465">
              <w:rPr>
                <w:rFonts w:ascii="Times New Roman" w:hAnsi="Times New Roman"/>
                <w:b/>
                <w:sz w:val="24"/>
                <w:szCs w:val="24"/>
              </w:rPr>
              <w:t>SA</w:t>
            </w:r>
          </w:p>
        </w:tc>
        <w:tc>
          <w:tcPr>
            <w:tcW w:w="611" w:type="dxa"/>
            <w:tcBorders>
              <w:top w:val="single" w:sz="4" w:space="0" w:color="000000"/>
              <w:left w:val="nil"/>
              <w:bottom w:val="single" w:sz="4" w:space="0" w:color="000000"/>
              <w:right w:val="single" w:sz="4" w:space="0" w:color="000000"/>
            </w:tcBorders>
            <w:vAlign w:val="center"/>
          </w:tcPr>
          <w:p w14:paraId="164A2D4C" w14:textId="77777777" w:rsidR="001616E5" w:rsidRPr="008B1465" w:rsidRDefault="003F05E3" w:rsidP="007541CB">
            <w:pPr>
              <w:spacing w:after="0" w:line="360" w:lineRule="auto"/>
              <w:jc w:val="both"/>
              <w:rPr>
                <w:rFonts w:ascii="Times New Roman" w:hAnsi="Times New Roman"/>
                <w:sz w:val="24"/>
                <w:szCs w:val="24"/>
              </w:rPr>
            </w:pPr>
            <w:r w:rsidRPr="008B1465">
              <w:rPr>
                <w:rFonts w:ascii="Times New Roman" w:hAnsi="Times New Roman"/>
                <w:b/>
                <w:sz w:val="24"/>
                <w:szCs w:val="24"/>
              </w:rPr>
              <w:t>A</w:t>
            </w:r>
          </w:p>
        </w:tc>
        <w:tc>
          <w:tcPr>
            <w:tcW w:w="611" w:type="dxa"/>
            <w:tcBorders>
              <w:top w:val="single" w:sz="4" w:space="0" w:color="000000"/>
              <w:left w:val="nil"/>
              <w:bottom w:val="single" w:sz="4" w:space="0" w:color="000000"/>
              <w:right w:val="single" w:sz="4" w:space="0" w:color="000000"/>
            </w:tcBorders>
            <w:vAlign w:val="center"/>
          </w:tcPr>
          <w:p w14:paraId="36B88597" w14:textId="77777777" w:rsidR="001616E5" w:rsidRPr="008B1465" w:rsidRDefault="003F05E3" w:rsidP="007541CB">
            <w:pPr>
              <w:spacing w:after="0" w:line="360" w:lineRule="auto"/>
              <w:jc w:val="both"/>
              <w:rPr>
                <w:rFonts w:ascii="Times New Roman" w:hAnsi="Times New Roman"/>
                <w:sz w:val="24"/>
                <w:szCs w:val="24"/>
              </w:rPr>
            </w:pPr>
            <w:r w:rsidRPr="008B1465">
              <w:rPr>
                <w:rFonts w:ascii="Times New Roman" w:hAnsi="Times New Roman"/>
                <w:b/>
                <w:sz w:val="24"/>
                <w:szCs w:val="24"/>
              </w:rPr>
              <w:t>U</w:t>
            </w:r>
          </w:p>
        </w:tc>
        <w:tc>
          <w:tcPr>
            <w:tcW w:w="611" w:type="dxa"/>
            <w:tcBorders>
              <w:top w:val="single" w:sz="4" w:space="0" w:color="000000"/>
              <w:left w:val="nil"/>
              <w:bottom w:val="single" w:sz="4" w:space="0" w:color="000000"/>
              <w:right w:val="single" w:sz="4" w:space="0" w:color="000000"/>
            </w:tcBorders>
            <w:vAlign w:val="center"/>
          </w:tcPr>
          <w:p w14:paraId="5FE9C88C" w14:textId="77777777" w:rsidR="001616E5" w:rsidRPr="008B1465" w:rsidRDefault="003F05E3" w:rsidP="007541CB">
            <w:pPr>
              <w:spacing w:after="0" w:line="360" w:lineRule="auto"/>
              <w:jc w:val="both"/>
              <w:rPr>
                <w:rFonts w:ascii="Times New Roman" w:hAnsi="Times New Roman"/>
                <w:sz w:val="24"/>
                <w:szCs w:val="24"/>
              </w:rPr>
            </w:pPr>
            <w:r w:rsidRPr="008B1465">
              <w:rPr>
                <w:rFonts w:ascii="Times New Roman" w:hAnsi="Times New Roman"/>
                <w:b/>
                <w:sz w:val="24"/>
                <w:szCs w:val="24"/>
              </w:rPr>
              <w:t>D</w:t>
            </w:r>
          </w:p>
        </w:tc>
        <w:tc>
          <w:tcPr>
            <w:tcW w:w="611" w:type="dxa"/>
            <w:tcBorders>
              <w:top w:val="single" w:sz="4" w:space="0" w:color="000000"/>
              <w:left w:val="nil"/>
              <w:bottom w:val="single" w:sz="4" w:space="0" w:color="000000"/>
              <w:right w:val="single" w:sz="4" w:space="0" w:color="000000"/>
            </w:tcBorders>
            <w:vAlign w:val="center"/>
          </w:tcPr>
          <w:p w14:paraId="26BF82C5" w14:textId="77777777" w:rsidR="001616E5" w:rsidRPr="008B1465" w:rsidRDefault="003F05E3" w:rsidP="007541CB">
            <w:pPr>
              <w:spacing w:after="0" w:line="360" w:lineRule="auto"/>
              <w:jc w:val="both"/>
              <w:rPr>
                <w:rFonts w:ascii="Times New Roman" w:hAnsi="Times New Roman"/>
                <w:sz w:val="24"/>
                <w:szCs w:val="24"/>
              </w:rPr>
            </w:pPr>
            <w:r w:rsidRPr="008B1465">
              <w:rPr>
                <w:rFonts w:ascii="Times New Roman" w:hAnsi="Times New Roman"/>
                <w:b/>
                <w:sz w:val="24"/>
                <w:szCs w:val="24"/>
              </w:rPr>
              <w:t>SD</w:t>
            </w:r>
          </w:p>
        </w:tc>
      </w:tr>
      <w:tr w:rsidR="000B5622" w:rsidRPr="008B1465" w14:paraId="3DB2065E" w14:textId="77777777" w:rsidTr="009863A5">
        <w:trPr>
          <w:trHeight w:val="469"/>
        </w:trPr>
        <w:tc>
          <w:tcPr>
            <w:tcW w:w="625" w:type="dxa"/>
            <w:tcBorders>
              <w:top w:val="single" w:sz="4" w:space="0" w:color="000000"/>
              <w:left w:val="single" w:sz="4" w:space="0" w:color="000000"/>
              <w:bottom w:val="single" w:sz="4" w:space="0" w:color="000000"/>
              <w:right w:val="single" w:sz="4" w:space="0" w:color="000000"/>
            </w:tcBorders>
          </w:tcPr>
          <w:p w14:paraId="0E121D90" w14:textId="77777777" w:rsidR="001616E5" w:rsidRPr="008B1465" w:rsidRDefault="001616E5" w:rsidP="007541CB">
            <w:pPr>
              <w:pStyle w:val="ListParagraph"/>
              <w:numPr>
                <w:ilvl w:val="0"/>
                <w:numId w:val="7"/>
              </w:numPr>
              <w:spacing w:after="0" w:line="360" w:lineRule="auto"/>
              <w:jc w:val="center"/>
              <w:rPr>
                <w:rFonts w:ascii="Times New Roman" w:eastAsia="Calibri" w:hAnsi="Times New Roman"/>
                <w:sz w:val="24"/>
                <w:szCs w:val="24"/>
              </w:rPr>
            </w:pPr>
          </w:p>
        </w:tc>
        <w:tc>
          <w:tcPr>
            <w:tcW w:w="6444" w:type="dxa"/>
            <w:tcBorders>
              <w:top w:val="single" w:sz="4" w:space="0" w:color="000000"/>
              <w:left w:val="nil"/>
              <w:bottom w:val="single" w:sz="4" w:space="0" w:color="000000"/>
              <w:right w:val="single" w:sz="4" w:space="0" w:color="000000"/>
            </w:tcBorders>
          </w:tcPr>
          <w:p w14:paraId="6804E385" w14:textId="77777777" w:rsidR="001616E5" w:rsidRPr="008B1465" w:rsidRDefault="003F05E3" w:rsidP="007541CB">
            <w:pPr>
              <w:spacing w:after="0" w:line="360" w:lineRule="auto"/>
              <w:rPr>
                <w:rFonts w:ascii="Times New Roman" w:hAnsi="Times New Roman"/>
                <w:sz w:val="24"/>
                <w:szCs w:val="24"/>
              </w:rPr>
            </w:pPr>
            <w:r w:rsidRPr="008B1465">
              <w:rPr>
                <w:rFonts w:ascii="Times New Roman" w:hAnsi="Times New Roman"/>
                <w:sz w:val="24"/>
                <w:szCs w:val="24"/>
              </w:rPr>
              <w:t>There are a sufficient number of qualified staff to undertake procurement required under the proposed project</w:t>
            </w:r>
          </w:p>
        </w:tc>
        <w:tc>
          <w:tcPr>
            <w:tcW w:w="610" w:type="dxa"/>
            <w:tcBorders>
              <w:top w:val="single" w:sz="4" w:space="0" w:color="000000"/>
              <w:left w:val="nil"/>
              <w:bottom w:val="single" w:sz="4" w:space="0" w:color="000000"/>
              <w:right w:val="single" w:sz="4" w:space="0" w:color="000000"/>
            </w:tcBorders>
          </w:tcPr>
          <w:p w14:paraId="1E9946BA" w14:textId="77777777" w:rsidR="001616E5" w:rsidRPr="008B1465" w:rsidRDefault="001616E5" w:rsidP="007541CB">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793B0623" w14:textId="77777777" w:rsidR="001616E5" w:rsidRPr="008B1465" w:rsidRDefault="001616E5" w:rsidP="007541CB">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6867723C" w14:textId="77777777" w:rsidR="001616E5" w:rsidRPr="008B1465" w:rsidRDefault="001616E5" w:rsidP="007541CB">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63965C02" w14:textId="77777777" w:rsidR="001616E5" w:rsidRPr="008B1465" w:rsidRDefault="001616E5" w:rsidP="007541CB">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1A54AE5E" w14:textId="77777777" w:rsidR="001616E5" w:rsidRPr="008B1465" w:rsidRDefault="001616E5" w:rsidP="007541CB">
            <w:pPr>
              <w:spacing w:after="0" w:line="360" w:lineRule="auto"/>
              <w:jc w:val="both"/>
              <w:rPr>
                <w:rFonts w:ascii="Times New Roman" w:hAnsi="Times New Roman"/>
                <w:sz w:val="24"/>
                <w:szCs w:val="24"/>
              </w:rPr>
            </w:pPr>
          </w:p>
        </w:tc>
      </w:tr>
      <w:tr w:rsidR="000B5622" w:rsidRPr="008B1465" w14:paraId="08F8F4E9" w14:textId="77777777" w:rsidTr="009863A5">
        <w:trPr>
          <w:trHeight w:val="356"/>
        </w:trPr>
        <w:tc>
          <w:tcPr>
            <w:tcW w:w="625" w:type="dxa"/>
            <w:tcBorders>
              <w:top w:val="single" w:sz="4" w:space="0" w:color="000000"/>
              <w:left w:val="single" w:sz="4" w:space="0" w:color="000000"/>
              <w:bottom w:val="single" w:sz="4" w:space="0" w:color="000000"/>
              <w:right w:val="single" w:sz="4" w:space="0" w:color="000000"/>
            </w:tcBorders>
          </w:tcPr>
          <w:p w14:paraId="71AB2328" w14:textId="77777777" w:rsidR="001616E5" w:rsidRPr="008B1465" w:rsidRDefault="001616E5" w:rsidP="007541CB">
            <w:pPr>
              <w:pStyle w:val="ListParagraph"/>
              <w:numPr>
                <w:ilvl w:val="0"/>
                <w:numId w:val="7"/>
              </w:numPr>
              <w:spacing w:after="0" w:line="360" w:lineRule="auto"/>
              <w:jc w:val="center"/>
              <w:rPr>
                <w:rFonts w:ascii="Times New Roman" w:eastAsia="Calibri" w:hAnsi="Times New Roman"/>
                <w:sz w:val="24"/>
                <w:szCs w:val="24"/>
              </w:rPr>
            </w:pPr>
          </w:p>
        </w:tc>
        <w:tc>
          <w:tcPr>
            <w:tcW w:w="6444" w:type="dxa"/>
            <w:tcBorders>
              <w:top w:val="single" w:sz="4" w:space="0" w:color="000000"/>
              <w:left w:val="nil"/>
              <w:bottom w:val="single" w:sz="4" w:space="0" w:color="000000"/>
              <w:right w:val="single" w:sz="4" w:space="0" w:color="000000"/>
            </w:tcBorders>
          </w:tcPr>
          <w:p w14:paraId="4D709BA8" w14:textId="77777777" w:rsidR="001616E5" w:rsidRPr="008B1465" w:rsidRDefault="003F05E3" w:rsidP="007541CB">
            <w:pPr>
              <w:spacing w:after="0" w:line="360" w:lineRule="auto"/>
              <w:rPr>
                <w:rFonts w:ascii="Times New Roman" w:hAnsi="Times New Roman"/>
                <w:sz w:val="24"/>
                <w:szCs w:val="24"/>
              </w:rPr>
            </w:pPr>
            <w:r w:rsidRPr="008B1465">
              <w:rPr>
                <w:rFonts w:ascii="Times New Roman" w:hAnsi="Times New Roman"/>
                <w:sz w:val="24"/>
                <w:szCs w:val="24"/>
              </w:rPr>
              <w:t xml:space="preserve">There is a systematic process to identify procurement requirements at </w:t>
            </w:r>
            <w:r w:rsidRPr="008B1465">
              <w:rPr>
                <w:rFonts w:ascii="Times New Roman" w:eastAsia="Calibri" w:hAnsi="Times New Roman"/>
                <w:sz w:val="24"/>
                <w:szCs w:val="24"/>
              </w:rPr>
              <w:t>my</w:t>
            </w:r>
            <w:r w:rsidRPr="008B1465">
              <w:rPr>
                <w:rFonts w:ascii="Times New Roman" w:hAnsi="Times New Roman"/>
                <w:sz w:val="24"/>
                <w:szCs w:val="24"/>
              </w:rPr>
              <w:t xml:space="preserve"> university</w:t>
            </w:r>
          </w:p>
        </w:tc>
        <w:tc>
          <w:tcPr>
            <w:tcW w:w="610" w:type="dxa"/>
            <w:tcBorders>
              <w:top w:val="single" w:sz="4" w:space="0" w:color="000000"/>
              <w:left w:val="nil"/>
              <w:bottom w:val="single" w:sz="4" w:space="0" w:color="000000"/>
              <w:right w:val="single" w:sz="4" w:space="0" w:color="000000"/>
            </w:tcBorders>
          </w:tcPr>
          <w:p w14:paraId="74106C0C" w14:textId="77777777" w:rsidR="001616E5" w:rsidRPr="008B1465" w:rsidRDefault="001616E5" w:rsidP="007541CB">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350DF767" w14:textId="77777777" w:rsidR="001616E5" w:rsidRPr="008B1465" w:rsidRDefault="001616E5" w:rsidP="007541CB">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73D90BBF" w14:textId="77777777" w:rsidR="001616E5" w:rsidRPr="008B1465" w:rsidRDefault="001616E5" w:rsidP="007541CB">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68A49CB7" w14:textId="77777777" w:rsidR="001616E5" w:rsidRPr="008B1465" w:rsidRDefault="001616E5" w:rsidP="007541CB">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0E1CFBEA" w14:textId="77777777" w:rsidR="001616E5" w:rsidRPr="008B1465" w:rsidRDefault="001616E5" w:rsidP="007541CB">
            <w:pPr>
              <w:spacing w:after="0" w:line="360" w:lineRule="auto"/>
              <w:jc w:val="both"/>
              <w:rPr>
                <w:rFonts w:ascii="Times New Roman" w:hAnsi="Times New Roman"/>
                <w:sz w:val="24"/>
                <w:szCs w:val="24"/>
              </w:rPr>
            </w:pPr>
          </w:p>
        </w:tc>
      </w:tr>
      <w:tr w:rsidR="000B5622" w:rsidRPr="008B1465" w14:paraId="1FAE6AF0" w14:textId="77777777" w:rsidTr="009863A5">
        <w:trPr>
          <w:trHeight w:val="483"/>
        </w:trPr>
        <w:tc>
          <w:tcPr>
            <w:tcW w:w="625" w:type="dxa"/>
            <w:tcBorders>
              <w:top w:val="single" w:sz="4" w:space="0" w:color="000000"/>
              <w:left w:val="single" w:sz="4" w:space="0" w:color="000000"/>
              <w:bottom w:val="single" w:sz="4" w:space="0" w:color="000000"/>
              <w:right w:val="single" w:sz="4" w:space="0" w:color="000000"/>
            </w:tcBorders>
          </w:tcPr>
          <w:p w14:paraId="51D84B43" w14:textId="77777777" w:rsidR="001616E5" w:rsidRPr="008B1465" w:rsidRDefault="001616E5" w:rsidP="007541CB">
            <w:pPr>
              <w:pStyle w:val="ListParagraph"/>
              <w:numPr>
                <w:ilvl w:val="0"/>
                <w:numId w:val="7"/>
              </w:numPr>
              <w:spacing w:after="0" w:line="360" w:lineRule="auto"/>
              <w:jc w:val="center"/>
              <w:rPr>
                <w:rFonts w:ascii="Times New Roman" w:eastAsia="Calibri" w:hAnsi="Times New Roman"/>
                <w:sz w:val="24"/>
                <w:szCs w:val="24"/>
              </w:rPr>
            </w:pPr>
          </w:p>
        </w:tc>
        <w:tc>
          <w:tcPr>
            <w:tcW w:w="6444" w:type="dxa"/>
            <w:tcBorders>
              <w:top w:val="single" w:sz="4" w:space="0" w:color="000000"/>
              <w:left w:val="nil"/>
              <w:bottom w:val="single" w:sz="4" w:space="0" w:color="000000"/>
              <w:right w:val="single" w:sz="4" w:space="0" w:color="000000"/>
            </w:tcBorders>
          </w:tcPr>
          <w:p w14:paraId="71CC2127" w14:textId="77777777" w:rsidR="001616E5" w:rsidRPr="008B1465" w:rsidRDefault="003F05E3" w:rsidP="007541CB">
            <w:pPr>
              <w:spacing w:after="0" w:line="360" w:lineRule="auto"/>
              <w:rPr>
                <w:rFonts w:ascii="Times New Roman" w:hAnsi="Times New Roman"/>
                <w:sz w:val="24"/>
                <w:szCs w:val="24"/>
              </w:rPr>
            </w:pPr>
            <w:r w:rsidRPr="008B1465">
              <w:rPr>
                <w:rFonts w:ascii="Times New Roman" w:hAnsi="Times New Roman"/>
                <w:sz w:val="24"/>
                <w:szCs w:val="24"/>
              </w:rPr>
              <w:t>Procurement department registers and tracks warranty and latent defects liability periods</w:t>
            </w:r>
          </w:p>
        </w:tc>
        <w:tc>
          <w:tcPr>
            <w:tcW w:w="610" w:type="dxa"/>
            <w:tcBorders>
              <w:top w:val="single" w:sz="4" w:space="0" w:color="000000"/>
              <w:left w:val="nil"/>
              <w:bottom w:val="single" w:sz="4" w:space="0" w:color="000000"/>
              <w:right w:val="single" w:sz="4" w:space="0" w:color="000000"/>
            </w:tcBorders>
          </w:tcPr>
          <w:p w14:paraId="3F20D0E0" w14:textId="77777777" w:rsidR="001616E5" w:rsidRPr="008B1465" w:rsidRDefault="001616E5" w:rsidP="007541CB">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68F9F704" w14:textId="77777777" w:rsidR="001616E5" w:rsidRPr="008B1465" w:rsidRDefault="001616E5" w:rsidP="007541CB">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588645E5" w14:textId="77777777" w:rsidR="001616E5" w:rsidRPr="008B1465" w:rsidRDefault="001616E5" w:rsidP="007541CB">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32343C2E" w14:textId="77777777" w:rsidR="001616E5" w:rsidRPr="008B1465" w:rsidRDefault="001616E5" w:rsidP="007541CB">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18F59052" w14:textId="77777777" w:rsidR="001616E5" w:rsidRPr="008B1465" w:rsidRDefault="001616E5" w:rsidP="007541CB">
            <w:pPr>
              <w:spacing w:after="0" w:line="360" w:lineRule="auto"/>
              <w:jc w:val="both"/>
              <w:rPr>
                <w:rFonts w:ascii="Times New Roman" w:hAnsi="Times New Roman"/>
                <w:sz w:val="24"/>
                <w:szCs w:val="24"/>
              </w:rPr>
            </w:pPr>
          </w:p>
        </w:tc>
      </w:tr>
      <w:tr w:rsidR="000B5622" w:rsidRPr="008B1465" w14:paraId="30F6A2E7" w14:textId="77777777" w:rsidTr="009863A5">
        <w:trPr>
          <w:trHeight w:val="403"/>
        </w:trPr>
        <w:tc>
          <w:tcPr>
            <w:tcW w:w="625" w:type="dxa"/>
            <w:tcBorders>
              <w:top w:val="single" w:sz="4" w:space="0" w:color="000000"/>
              <w:left w:val="single" w:sz="4" w:space="0" w:color="000000"/>
              <w:bottom w:val="single" w:sz="4" w:space="0" w:color="000000"/>
              <w:right w:val="single" w:sz="4" w:space="0" w:color="000000"/>
            </w:tcBorders>
          </w:tcPr>
          <w:p w14:paraId="0149482B" w14:textId="77777777" w:rsidR="001616E5" w:rsidRPr="008B1465" w:rsidRDefault="001616E5" w:rsidP="007541CB">
            <w:pPr>
              <w:pStyle w:val="ListParagraph"/>
              <w:numPr>
                <w:ilvl w:val="0"/>
                <w:numId w:val="7"/>
              </w:numPr>
              <w:spacing w:after="0" w:line="360" w:lineRule="auto"/>
              <w:jc w:val="center"/>
              <w:rPr>
                <w:rFonts w:ascii="Times New Roman" w:eastAsia="Calibri" w:hAnsi="Times New Roman"/>
                <w:sz w:val="24"/>
                <w:szCs w:val="24"/>
              </w:rPr>
            </w:pPr>
          </w:p>
        </w:tc>
        <w:tc>
          <w:tcPr>
            <w:tcW w:w="6444" w:type="dxa"/>
            <w:tcBorders>
              <w:top w:val="single" w:sz="4" w:space="0" w:color="000000"/>
              <w:left w:val="nil"/>
              <w:bottom w:val="single" w:sz="4" w:space="0" w:color="000000"/>
              <w:right w:val="single" w:sz="4" w:space="0" w:color="000000"/>
            </w:tcBorders>
          </w:tcPr>
          <w:p w14:paraId="736237F7" w14:textId="77777777" w:rsidR="001616E5" w:rsidRPr="008B1465" w:rsidRDefault="003F05E3" w:rsidP="007541CB">
            <w:pPr>
              <w:spacing w:after="0" w:line="360" w:lineRule="auto"/>
              <w:rPr>
                <w:rFonts w:ascii="Times New Roman" w:hAnsi="Times New Roman"/>
                <w:sz w:val="24"/>
                <w:szCs w:val="24"/>
              </w:rPr>
            </w:pPr>
            <w:r w:rsidRPr="008B1465">
              <w:rPr>
                <w:rStyle w:val="15"/>
                <w:rFonts w:ascii="Times New Roman" w:eastAsia="Calibri" w:hAnsi="Times New Roman" w:cs="Times New Roman"/>
                <w:sz w:val="24"/>
                <w:szCs w:val="24"/>
              </w:rPr>
              <w:t>There is a standard statement of ethics and those involved in procurement are required to formally be committed</w:t>
            </w:r>
          </w:p>
        </w:tc>
        <w:tc>
          <w:tcPr>
            <w:tcW w:w="610" w:type="dxa"/>
            <w:tcBorders>
              <w:top w:val="single" w:sz="4" w:space="0" w:color="000000"/>
              <w:left w:val="nil"/>
              <w:bottom w:val="single" w:sz="4" w:space="0" w:color="000000"/>
              <w:right w:val="single" w:sz="4" w:space="0" w:color="000000"/>
            </w:tcBorders>
          </w:tcPr>
          <w:p w14:paraId="1A09EE3A" w14:textId="77777777" w:rsidR="001616E5" w:rsidRPr="008B1465" w:rsidRDefault="001616E5" w:rsidP="007541CB">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0A04F0E1" w14:textId="77777777" w:rsidR="001616E5" w:rsidRPr="008B1465" w:rsidRDefault="001616E5" w:rsidP="007541CB">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7A9997FD" w14:textId="77777777" w:rsidR="001616E5" w:rsidRPr="008B1465" w:rsidRDefault="001616E5" w:rsidP="007541CB">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7168C436" w14:textId="77777777" w:rsidR="001616E5" w:rsidRPr="008B1465" w:rsidRDefault="001616E5" w:rsidP="007541CB">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5B3C3CD5" w14:textId="77777777" w:rsidR="001616E5" w:rsidRPr="008B1465" w:rsidRDefault="001616E5" w:rsidP="007541CB">
            <w:pPr>
              <w:spacing w:after="0" w:line="360" w:lineRule="auto"/>
              <w:jc w:val="both"/>
              <w:rPr>
                <w:rFonts w:ascii="Times New Roman" w:hAnsi="Times New Roman"/>
                <w:sz w:val="24"/>
                <w:szCs w:val="24"/>
              </w:rPr>
            </w:pPr>
          </w:p>
        </w:tc>
      </w:tr>
      <w:tr w:rsidR="000B5622" w:rsidRPr="008B1465" w14:paraId="62293226" w14:textId="77777777" w:rsidTr="009863A5">
        <w:trPr>
          <w:trHeight w:val="403"/>
        </w:trPr>
        <w:tc>
          <w:tcPr>
            <w:tcW w:w="625" w:type="dxa"/>
            <w:tcBorders>
              <w:top w:val="single" w:sz="4" w:space="0" w:color="000000"/>
              <w:left w:val="single" w:sz="4" w:space="0" w:color="000000"/>
              <w:bottom w:val="single" w:sz="4" w:space="0" w:color="000000"/>
              <w:right w:val="single" w:sz="4" w:space="0" w:color="000000"/>
            </w:tcBorders>
          </w:tcPr>
          <w:p w14:paraId="00D44480" w14:textId="77777777" w:rsidR="001616E5" w:rsidRPr="008B1465" w:rsidRDefault="001616E5" w:rsidP="007541CB">
            <w:pPr>
              <w:pStyle w:val="ListParagraph"/>
              <w:numPr>
                <w:ilvl w:val="0"/>
                <w:numId w:val="7"/>
              </w:numPr>
              <w:spacing w:after="0" w:line="360" w:lineRule="auto"/>
              <w:jc w:val="center"/>
              <w:rPr>
                <w:rFonts w:ascii="Times New Roman" w:eastAsia="Calibri" w:hAnsi="Times New Roman"/>
                <w:sz w:val="24"/>
                <w:szCs w:val="24"/>
              </w:rPr>
            </w:pPr>
          </w:p>
        </w:tc>
        <w:tc>
          <w:tcPr>
            <w:tcW w:w="6444" w:type="dxa"/>
            <w:tcBorders>
              <w:top w:val="single" w:sz="4" w:space="0" w:color="000000"/>
              <w:left w:val="nil"/>
              <w:bottom w:val="single" w:sz="4" w:space="0" w:color="000000"/>
              <w:right w:val="single" w:sz="4" w:space="0" w:color="000000"/>
            </w:tcBorders>
          </w:tcPr>
          <w:p w14:paraId="6A548809" w14:textId="77777777" w:rsidR="001616E5" w:rsidRPr="008B1465" w:rsidRDefault="003F05E3" w:rsidP="007541CB">
            <w:pPr>
              <w:spacing w:after="0" w:line="360" w:lineRule="auto"/>
              <w:rPr>
                <w:rStyle w:val="15"/>
                <w:rFonts w:ascii="Times New Roman" w:eastAsia="Calibri" w:hAnsi="Times New Roman" w:cs="Times New Roman"/>
                <w:sz w:val="24"/>
                <w:szCs w:val="24"/>
              </w:rPr>
            </w:pPr>
            <w:r w:rsidRPr="008B1465">
              <w:rPr>
                <w:rStyle w:val="15"/>
                <w:rFonts w:ascii="Times New Roman" w:eastAsia="Calibri" w:hAnsi="Times New Roman" w:cs="Times New Roman"/>
                <w:sz w:val="24"/>
                <w:szCs w:val="24"/>
              </w:rPr>
              <w:t>Those involved in procurement are required to declare any potential conflict of interest and remove such from the procurement process</w:t>
            </w:r>
          </w:p>
        </w:tc>
        <w:tc>
          <w:tcPr>
            <w:tcW w:w="610" w:type="dxa"/>
            <w:tcBorders>
              <w:top w:val="single" w:sz="4" w:space="0" w:color="000000"/>
              <w:left w:val="nil"/>
              <w:bottom w:val="single" w:sz="4" w:space="0" w:color="000000"/>
              <w:right w:val="single" w:sz="4" w:space="0" w:color="000000"/>
            </w:tcBorders>
          </w:tcPr>
          <w:p w14:paraId="47F3C18C" w14:textId="77777777" w:rsidR="001616E5" w:rsidRPr="008B1465" w:rsidRDefault="001616E5" w:rsidP="007541CB">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6D54FBF6" w14:textId="77777777" w:rsidR="001616E5" w:rsidRPr="008B1465" w:rsidRDefault="001616E5" w:rsidP="007541CB">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7052FFFB" w14:textId="77777777" w:rsidR="001616E5" w:rsidRPr="008B1465" w:rsidRDefault="001616E5" w:rsidP="007541CB">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3B332483" w14:textId="77777777" w:rsidR="001616E5" w:rsidRPr="008B1465" w:rsidRDefault="001616E5" w:rsidP="007541CB">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340C97D2" w14:textId="77777777" w:rsidR="001616E5" w:rsidRPr="008B1465" w:rsidRDefault="001616E5" w:rsidP="007541CB">
            <w:pPr>
              <w:spacing w:after="0" w:line="360" w:lineRule="auto"/>
              <w:jc w:val="both"/>
              <w:rPr>
                <w:rFonts w:ascii="Times New Roman" w:hAnsi="Times New Roman"/>
                <w:sz w:val="24"/>
                <w:szCs w:val="24"/>
              </w:rPr>
            </w:pPr>
          </w:p>
        </w:tc>
      </w:tr>
      <w:tr w:rsidR="000B5622" w:rsidRPr="008B1465" w14:paraId="7E70D9DE" w14:textId="77777777" w:rsidTr="009863A5">
        <w:trPr>
          <w:trHeight w:val="403"/>
        </w:trPr>
        <w:tc>
          <w:tcPr>
            <w:tcW w:w="625" w:type="dxa"/>
            <w:tcBorders>
              <w:top w:val="single" w:sz="4" w:space="0" w:color="000000"/>
              <w:left w:val="single" w:sz="4" w:space="0" w:color="000000"/>
              <w:bottom w:val="single" w:sz="4" w:space="0" w:color="000000"/>
              <w:right w:val="single" w:sz="4" w:space="0" w:color="000000"/>
            </w:tcBorders>
          </w:tcPr>
          <w:p w14:paraId="6175B3FE" w14:textId="77777777" w:rsidR="001616E5" w:rsidRPr="008B1465" w:rsidRDefault="001616E5" w:rsidP="007541CB">
            <w:pPr>
              <w:pStyle w:val="ListParagraph"/>
              <w:numPr>
                <w:ilvl w:val="0"/>
                <w:numId w:val="7"/>
              </w:numPr>
              <w:spacing w:after="0" w:line="360" w:lineRule="auto"/>
              <w:jc w:val="center"/>
              <w:rPr>
                <w:rFonts w:ascii="Times New Roman" w:eastAsia="Calibri" w:hAnsi="Times New Roman"/>
                <w:sz w:val="24"/>
                <w:szCs w:val="24"/>
              </w:rPr>
            </w:pPr>
          </w:p>
        </w:tc>
        <w:tc>
          <w:tcPr>
            <w:tcW w:w="6444" w:type="dxa"/>
            <w:tcBorders>
              <w:top w:val="single" w:sz="4" w:space="0" w:color="000000"/>
              <w:left w:val="nil"/>
              <w:bottom w:val="single" w:sz="4" w:space="0" w:color="000000"/>
              <w:right w:val="single" w:sz="4" w:space="0" w:color="000000"/>
            </w:tcBorders>
          </w:tcPr>
          <w:p w14:paraId="7B870F75" w14:textId="77777777" w:rsidR="001616E5" w:rsidRPr="008B1465" w:rsidRDefault="003F05E3" w:rsidP="007541CB">
            <w:pPr>
              <w:spacing w:after="0" w:line="360" w:lineRule="auto"/>
              <w:rPr>
                <w:rStyle w:val="15"/>
                <w:rFonts w:ascii="Times New Roman" w:eastAsia="Calibri" w:hAnsi="Times New Roman" w:cs="Times New Roman"/>
                <w:sz w:val="24"/>
                <w:szCs w:val="24"/>
              </w:rPr>
            </w:pPr>
            <w:r w:rsidRPr="008B1465">
              <w:rPr>
                <w:rStyle w:val="15"/>
                <w:rFonts w:ascii="Times New Roman" w:eastAsia="Calibri" w:hAnsi="Times New Roman" w:cs="Times New Roman"/>
                <w:sz w:val="24"/>
                <w:szCs w:val="24"/>
              </w:rPr>
              <w:t>Those who approve procurement transactions have procurement experience and qualifications to that effect</w:t>
            </w:r>
          </w:p>
        </w:tc>
        <w:tc>
          <w:tcPr>
            <w:tcW w:w="610" w:type="dxa"/>
            <w:tcBorders>
              <w:top w:val="single" w:sz="4" w:space="0" w:color="000000"/>
              <w:left w:val="nil"/>
              <w:bottom w:val="single" w:sz="4" w:space="0" w:color="000000"/>
              <w:right w:val="single" w:sz="4" w:space="0" w:color="000000"/>
            </w:tcBorders>
          </w:tcPr>
          <w:p w14:paraId="0768E2D5" w14:textId="77777777" w:rsidR="001616E5" w:rsidRPr="008B1465" w:rsidRDefault="001616E5" w:rsidP="007541CB">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5DD2CB6F" w14:textId="77777777" w:rsidR="001616E5" w:rsidRPr="008B1465" w:rsidRDefault="001616E5" w:rsidP="007541CB">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7AD35B28" w14:textId="77777777" w:rsidR="001616E5" w:rsidRPr="008B1465" w:rsidRDefault="001616E5" w:rsidP="007541CB">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195CF4B6" w14:textId="77777777" w:rsidR="001616E5" w:rsidRPr="008B1465" w:rsidRDefault="001616E5" w:rsidP="007541CB">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1E24A23E" w14:textId="77777777" w:rsidR="001616E5" w:rsidRPr="008B1465" w:rsidRDefault="001616E5" w:rsidP="007541CB">
            <w:pPr>
              <w:spacing w:after="0" w:line="360" w:lineRule="auto"/>
              <w:jc w:val="both"/>
              <w:rPr>
                <w:rFonts w:ascii="Times New Roman" w:hAnsi="Times New Roman"/>
                <w:sz w:val="24"/>
                <w:szCs w:val="24"/>
              </w:rPr>
            </w:pPr>
          </w:p>
        </w:tc>
      </w:tr>
      <w:tr w:rsidR="000B5622" w:rsidRPr="008B1465" w14:paraId="1D69CDAD" w14:textId="77777777" w:rsidTr="009863A5">
        <w:trPr>
          <w:trHeight w:val="403"/>
        </w:trPr>
        <w:tc>
          <w:tcPr>
            <w:tcW w:w="625" w:type="dxa"/>
            <w:tcBorders>
              <w:top w:val="single" w:sz="4" w:space="0" w:color="000000"/>
              <w:left w:val="single" w:sz="4" w:space="0" w:color="000000"/>
              <w:bottom w:val="single" w:sz="4" w:space="0" w:color="000000"/>
              <w:right w:val="single" w:sz="4" w:space="0" w:color="000000"/>
            </w:tcBorders>
          </w:tcPr>
          <w:p w14:paraId="4A632670" w14:textId="77777777" w:rsidR="001616E5" w:rsidRPr="008B1465" w:rsidRDefault="001616E5" w:rsidP="007541CB">
            <w:pPr>
              <w:pStyle w:val="ListParagraph"/>
              <w:numPr>
                <w:ilvl w:val="0"/>
                <w:numId w:val="7"/>
              </w:numPr>
              <w:spacing w:after="0" w:line="360" w:lineRule="auto"/>
              <w:jc w:val="center"/>
              <w:rPr>
                <w:rFonts w:ascii="Times New Roman" w:eastAsia="Calibri" w:hAnsi="Times New Roman"/>
                <w:sz w:val="24"/>
                <w:szCs w:val="24"/>
              </w:rPr>
            </w:pPr>
          </w:p>
        </w:tc>
        <w:tc>
          <w:tcPr>
            <w:tcW w:w="6444" w:type="dxa"/>
            <w:tcBorders>
              <w:top w:val="single" w:sz="4" w:space="0" w:color="000000"/>
              <w:left w:val="nil"/>
              <w:bottom w:val="single" w:sz="4" w:space="0" w:color="000000"/>
              <w:right w:val="single" w:sz="4" w:space="0" w:color="000000"/>
            </w:tcBorders>
          </w:tcPr>
          <w:p w14:paraId="58C67C37" w14:textId="77777777" w:rsidR="001616E5" w:rsidRPr="008B1465" w:rsidRDefault="003F05E3" w:rsidP="007541CB">
            <w:pPr>
              <w:spacing w:after="0" w:line="360" w:lineRule="auto"/>
              <w:rPr>
                <w:rStyle w:val="15"/>
                <w:rFonts w:ascii="Times New Roman" w:eastAsia="Calibri" w:hAnsi="Times New Roman" w:cs="Times New Roman"/>
                <w:sz w:val="24"/>
                <w:szCs w:val="24"/>
              </w:rPr>
            </w:pPr>
            <w:r w:rsidRPr="008B1465">
              <w:rPr>
                <w:rStyle w:val="15"/>
                <w:rFonts w:ascii="Times New Roman" w:eastAsia="Calibri" w:hAnsi="Times New Roman" w:cs="Times New Roman"/>
                <w:sz w:val="24"/>
                <w:szCs w:val="24"/>
              </w:rPr>
              <w:t>Procurement decisions and disputes are supported by written narratives such as minutes of evaluation, minutes of negotiation, and notices of default / withheld payment.</w:t>
            </w:r>
          </w:p>
        </w:tc>
        <w:tc>
          <w:tcPr>
            <w:tcW w:w="610" w:type="dxa"/>
            <w:tcBorders>
              <w:top w:val="single" w:sz="4" w:space="0" w:color="000000"/>
              <w:left w:val="nil"/>
              <w:bottom w:val="single" w:sz="4" w:space="0" w:color="000000"/>
              <w:right w:val="single" w:sz="4" w:space="0" w:color="000000"/>
            </w:tcBorders>
          </w:tcPr>
          <w:p w14:paraId="5198288A" w14:textId="77777777" w:rsidR="001616E5" w:rsidRPr="008B1465" w:rsidRDefault="001616E5" w:rsidP="007541CB">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555818D0" w14:textId="77777777" w:rsidR="001616E5" w:rsidRPr="008B1465" w:rsidRDefault="001616E5" w:rsidP="007541CB">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2FBCC5DF" w14:textId="77777777" w:rsidR="001616E5" w:rsidRPr="008B1465" w:rsidRDefault="001616E5" w:rsidP="007541CB">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77FFBB79" w14:textId="77777777" w:rsidR="001616E5" w:rsidRPr="008B1465" w:rsidRDefault="001616E5" w:rsidP="007541CB">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28C80B64" w14:textId="77777777" w:rsidR="001616E5" w:rsidRPr="008B1465" w:rsidRDefault="001616E5" w:rsidP="007541CB">
            <w:pPr>
              <w:spacing w:after="0" w:line="360" w:lineRule="auto"/>
              <w:jc w:val="both"/>
              <w:rPr>
                <w:rFonts w:ascii="Times New Roman" w:hAnsi="Times New Roman"/>
                <w:sz w:val="24"/>
                <w:szCs w:val="24"/>
              </w:rPr>
            </w:pPr>
          </w:p>
        </w:tc>
      </w:tr>
    </w:tbl>
    <w:tbl>
      <w:tblPr>
        <w:tblpPr w:leftFromText="180" w:rightFromText="180" w:vertAnchor="text" w:horzAnchor="margin" w:tblpY="863"/>
        <w:tblW w:w="10123" w:type="dxa"/>
        <w:tblLook w:val="04A0" w:firstRow="1" w:lastRow="0" w:firstColumn="1" w:lastColumn="0" w:noHBand="0" w:noVBand="1"/>
      </w:tblPr>
      <w:tblGrid>
        <w:gridCol w:w="625"/>
        <w:gridCol w:w="6444"/>
        <w:gridCol w:w="610"/>
        <w:gridCol w:w="611"/>
        <w:gridCol w:w="611"/>
        <w:gridCol w:w="611"/>
        <w:gridCol w:w="611"/>
      </w:tblGrid>
      <w:tr w:rsidR="000B5622" w:rsidRPr="008B1465" w14:paraId="5EE14D91" w14:textId="77777777" w:rsidTr="009863A5">
        <w:trPr>
          <w:trHeight w:val="403"/>
        </w:trPr>
        <w:tc>
          <w:tcPr>
            <w:tcW w:w="10123" w:type="dxa"/>
            <w:gridSpan w:val="7"/>
            <w:tcBorders>
              <w:top w:val="nil"/>
              <w:left w:val="nil"/>
              <w:bottom w:val="single" w:sz="4" w:space="0" w:color="000000"/>
              <w:right w:val="nil"/>
            </w:tcBorders>
          </w:tcPr>
          <w:p w14:paraId="7F043139" w14:textId="0EC9A4B7" w:rsidR="009863A5" w:rsidRPr="008B1465" w:rsidRDefault="009863A5" w:rsidP="009863A5">
            <w:pPr>
              <w:spacing w:after="0" w:line="360" w:lineRule="auto"/>
              <w:jc w:val="center"/>
              <w:rPr>
                <w:rFonts w:ascii="Times New Roman" w:hAnsi="Times New Roman"/>
                <w:b/>
                <w:bCs/>
                <w:sz w:val="24"/>
                <w:szCs w:val="24"/>
              </w:rPr>
            </w:pPr>
            <w:r w:rsidRPr="008B1465">
              <w:rPr>
                <w:rFonts w:ascii="Times New Roman" w:hAnsi="Times New Roman"/>
                <w:b/>
                <w:bCs/>
                <w:sz w:val="24"/>
                <w:szCs w:val="24"/>
              </w:rPr>
              <w:t>IV</w:t>
            </w:r>
            <w:r w:rsidR="0005457D">
              <w:rPr>
                <w:rFonts w:ascii="Times New Roman" w:hAnsi="Times New Roman"/>
                <w:b/>
                <w:bCs/>
                <w:sz w:val="24"/>
                <w:szCs w:val="24"/>
              </w:rPr>
              <w:t>.</w:t>
            </w:r>
            <w:r w:rsidRPr="008B1465">
              <w:rPr>
                <w:rFonts w:ascii="Times New Roman" w:hAnsi="Times New Roman"/>
                <w:b/>
                <w:bCs/>
                <w:sz w:val="24"/>
                <w:szCs w:val="24"/>
              </w:rPr>
              <w:t xml:space="preserve"> Fund Misappropriation </w:t>
            </w:r>
          </w:p>
        </w:tc>
      </w:tr>
      <w:tr w:rsidR="000B5622" w:rsidRPr="008B1465" w14:paraId="1A32DCAD" w14:textId="77777777" w:rsidTr="009863A5">
        <w:trPr>
          <w:trHeight w:val="403"/>
        </w:trPr>
        <w:tc>
          <w:tcPr>
            <w:tcW w:w="625" w:type="dxa"/>
            <w:tcBorders>
              <w:top w:val="single" w:sz="4" w:space="0" w:color="000000"/>
              <w:left w:val="single" w:sz="4" w:space="0" w:color="000000"/>
              <w:bottom w:val="single" w:sz="4" w:space="0" w:color="000000"/>
              <w:right w:val="single" w:sz="4" w:space="0" w:color="000000"/>
            </w:tcBorders>
          </w:tcPr>
          <w:p w14:paraId="0469A93E" w14:textId="77777777" w:rsidR="009863A5" w:rsidRPr="008B1465" w:rsidRDefault="009863A5" w:rsidP="009863A5">
            <w:pPr>
              <w:spacing w:after="0" w:line="360" w:lineRule="auto"/>
              <w:jc w:val="center"/>
              <w:rPr>
                <w:rFonts w:ascii="Times New Roman" w:eastAsia="Calibri" w:hAnsi="Times New Roman"/>
                <w:sz w:val="24"/>
                <w:szCs w:val="24"/>
              </w:rPr>
            </w:pPr>
          </w:p>
        </w:tc>
        <w:tc>
          <w:tcPr>
            <w:tcW w:w="6444" w:type="dxa"/>
            <w:tcBorders>
              <w:top w:val="single" w:sz="4" w:space="0" w:color="000000"/>
              <w:left w:val="nil"/>
              <w:bottom w:val="single" w:sz="4" w:space="0" w:color="000000"/>
              <w:right w:val="single" w:sz="4" w:space="0" w:color="000000"/>
            </w:tcBorders>
          </w:tcPr>
          <w:p w14:paraId="648E62C6" w14:textId="77777777" w:rsidR="009863A5" w:rsidRPr="008B1465" w:rsidRDefault="009863A5" w:rsidP="009863A5">
            <w:pPr>
              <w:spacing w:after="0" w:line="360" w:lineRule="auto"/>
              <w:jc w:val="center"/>
              <w:rPr>
                <w:rStyle w:val="15"/>
                <w:rFonts w:ascii="Times New Roman" w:eastAsia="Calibri" w:hAnsi="Times New Roman" w:cs="Times New Roman"/>
                <w:b/>
                <w:bCs/>
                <w:sz w:val="24"/>
                <w:szCs w:val="24"/>
              </w:rPr>
            </w:pPr>
            <w:r w:rsidRPr="008B1465">
              <w:rPr>
                <w:rStyle w:val="15"/>
                <w:rFonts w:ascii="Times New Roman" w:eastAsia="Calibri" w:hAnsi="Times New Roman" w:cs="Times New Roman"/>
                <w:b/>
                <w:bCs/>
                <w:sz w:val="24"/>
                <w:szCs w:val="24"/>
              </w:rPr>
              <w:t>Items</w:t>
            </w:r>
          </w:p>
        </w:tc>
        <w:tc>
          <w:tcPr>
            <w:tcW w:w="610" w:type="dxa"/>
            <w:tcBorders>
              <w:top w:val="single" w:sz="4" w:space="0" w:color="000000"/>
              <w:left w:val="nil"/>
              <w:bottom w:val="single" w:sz="4" w:space="0" w:color="000000"/>
              <w:right w:val="single" w:sz="4" w:space="0" w:color="000000"/>
            </w:tcBorders>
            <w:vAlign w:val="center"/>
          </w:tcPr>
          <w:p w14:paraId="4570290F" w14:textId="77777777" w:rsidR="009863A5" w:rsidRPr="008B1465" w:rsidRDefault="009863A5" w:rsidP="009863A5">
            <w:pPr>
              <w:spacing w:after="0" w:line="360" w:lineRule="auto"/>
              <w:jc w:val="both"/>
              <w:rPr>
                <w:rFonts w:ascii="Times New Roman" w:hAnsi="Times New Roman"/>
                <w:sz w:val="24"/>
                <w:szCs w:val="24"/>
              </w:rPr>
            </w:pPr>
            <w:r w:rsidRPr="008B1465">
              <w:rPr>
                <w:rFonts w:ascii="Times New Roman" w:hAnsi="Times New Roman"/>
                <w:b/>
                <w:sz w:val="24"/>
                <w:szCs w:val="24"/>
              </w:rPr>
              <w:t>SA</w:t>
            </w:r>
          </w:p>
        </w:tc>
        <w:tc>
          <w:tcPr>
            <w:tcW w:w="611" w:type="dxa"/>
            <w:tcBorders>
              <w:top w:val="single" w:sz="4" w:space="0" w:color="000000"/>
              <w:left w:val="nil"/>
              <w:bottom w:val="single" w:sz="4" w:space="0" w:color="000000"/>
              <w:right w:val="single" w:sz="4" w:space="0" w:color="000000"/>
            </w:tcBorders>
            <w:vAlign w:val="center"/>
          </w:tcPr>
          <w:p w14:paraId="7AE40A33" w14:textId="77777777" w:rsidR="009863A5" w:rsidRPr="008B1465" w:rsidRDefault="009863A5" w:rsidP="009863A5">
            <w:pPr>
              <w:spacing w:after="0" w:line="360" w:lineRule="auto"/>
              <w:jc w:val="both"/>
              <w:rPr>
                <w:rFonts w:ascii="Times New Roman" w:hAnsi="Times New Roman"/>
                <w:sz w:val="24"/>
                <w:szCs w:val="24"/>
              </w:rPr>
            </w:pPr>
            <w:r w:rsidRPr="008B1465">
              <w:rPr>
                <w:rFonts w:ascii="Times New Roman" w:hAnsi="Times New Roman"/>
                <w:b/>
                <w:sz w:val="24"/>
                <w:szCs w:val="24"/>
              </w:rPr>
              <w:t>A</w:t>
            </w:r>
          </w:p>
        </w:tc>
        <w:tc>
          <w:tcPr>
            <w:tcW w:w="611" w:type="dxa"/>
            <w:tcBorders>
              <w:top w:val="single" w:sz="4" w:space="0" w:color="000000"/>
              <w:left w:val="nil"/>
              <w:bottom w:val="single" w:sz="4" w:space="0" w:color="000000"/>
              <w:right w:val="single" w:sz="4" w:space="0" w:color="000000"/>
            </w:tcBorders>
            <w:vAlign w:val="center"/>
          </w:tcPr>
          <w:p w14:paraId="196839FF" w14:textId="77777777" w:rsidR="009863A5" w:rsidRPr="008B1465" w:rsidRDefault="009863A5" w:rsidP="009863A5">
            <w:pPr>
              <w:spacing w:after="0" w:line="360" w:lineRule="auto"/>
              <w:jc w:val="both"/>
              <w:rPr>
                <w:rFonts w:ascii="Times New Roman" w:hAnsi="Times New Roman"/>
                <w:sz w:val="24"/>
                <w:szCs w:val="24"/>
              </w:rPr>
            </w:pPr>
            <w:r w:rsidRPr="008B1465">
              <w:rPr>
                <w:rFonts w:ascii="Times New Roman" w:hAnsi="Times New Roman"/>
                <w:b/>
                <w:sz w:val="24"/>
                <w:szCs w:val="24"/>
              </w:rPr>
              <w:t>U</w:t>
            </w:r>
          </w:p>
        </w:tc>
        <w:tc>
          <w:tcPr>
            <w:tcW w:w="611" w:type="dxa"/>
            <w:tcBorders>
              <w:top w:val="single" w:sz="4" w:space="0" w:color="000000"/>
              <w:left w:val="nil"/>
              <w:bottom w:val="single" w:sz="4" w:space="0" w:color="000000"/>
              <w:right w:val="single" w:sz="4" w:space="0" w:color="000000"/>
            </w:tcBorders>
            <w:vAlign w:val="center"/>
          </w:tcPr>
          <w:p w14:paraId="4E859BAA" w14:textId="77777777" w:rsidR="009863A5" w:rsidRPr="008B1465" w:rsidRDefault="009863A5" w:rsidP="009863A5">
            <w:pPr>
              <w:spacing w:after="0" w:line="360" w:lineRule="auto"/>
              <w:jc w:val="both"/>
              <w:rPr>
                <w:rFonts w:ascii="Times New Roman" w:hAnsi="Times New Roman"/>
                <w:sz w:val="24"/>
                <w:szCs w:val="24"/>
              </w:rPr>
            </w:pPr>
            <w:r w:rsidRPr="008B1465">
              <w:rPr>
                <w:rFonts w:ascii="Times New Roman" w:hAnsi="Times New Roman"/>
                <w:b/>
                <w:sz w:val="24"/>
                <w:szCs w:val="24"/>
              </w:rPr>
              <w:t>D</w:t>
            </w:r>
          </w:p>
        </w:tc>
        <w:tc>
          <w:tcPr>
            <w:tcW w:w="611" w:type="dxa"/>
            <w:tcBorders>
              <w:top w:val="single" w:sz="4" w:space="0" w:color="000000"/>
              <w:left w:val="nil"/>
              <w:bottom w:val="single" w:sz="4" w:space="0" w:color="000000"/>
              <w:right w:val="single" w:sz="4" w:space="0" w:color="000000"/>
            </w:tcBorders>
            <w:vAlign w:val="center"/>
          </w:tcPr>
          <w:p w14:paraId="76B1B327" w14:textId="77777777" w:rsidR="009863A5" w:rsidRPr="008B1465" w:rsidRDefault="009863A5" w:rsidP="009863A5">
            <w:pPr>
              <w:spacing w:after="0" w:line="360" w:lineRule="auto"/>
              <w:jc w:val="both"/>
              <w:rPr>
                <w:rFonts w:ascii="Times New Roman" w:hAnsi="Times New Roman"/>
                <w:sz w:val="24"/>
                <w:szCs w:val="24"/>
              </w:rPr>
            </w:pPr>
            <w:r w:rsidRPr="008B1465">
              <w:rPr>
                <w:rFonts w:ascii="Times New Roman" w:hAnsi="Times New Roman"/>
                <w:b/>
                <w:sz w:val="24"/>
                <w:szCs w:val="24"/>
              </w:rPr>
              <w:t>SD</w:t>
            </w:r>
          </w:p>
        </w:tc>
      </w:tr>
      <w:tr w:rsidR="000B5622" w:rsidRPr="008B1465" w14:paraId="62289ABD" w14:textId="77777777" w:rsidTr="009863A5">
        <w:trPr>
          <w:trHeight w:val="403"/>
        </w:trPr>
        <w:tc>
          <w:tcPr>
            <w:tcW w:w="625" w:type="dxa"/>
            <w:tcBorders>
              <w:top w:val="single" w:sz="4" w:space="0" w:color="000000"/>
              <w:left w:val="single" w:sz="4" w:space="0" w:color="000000"/>
              <w:bottom w:val="single" w:sz="4" w:space="0" w:color="000000"/>
              <w:right w:val="single" w:sz="4" w:space="0" w:color="000000"/>
            </w:tcBorders>
          </w:tcPr>
          <w:p w14:paraId="2C4895EA" w14:textId="77777777" w:rsidR="009863A5" w:rsidRPr="008B1465" w:rsidRDefault="009863A5" w:rsidP="009863A5">
            <w:pPr>
              <w:pStyle w:val="ListParagraph"/>
              <w:numPr>
                <w:ilvl w:val="0"/>
                <w:numId w:val="7"/>
              </w:numPr>
              <w:spacing w:after="0" w:line="360" w:lineRule="auto"/>
              <w:jc w:val="center"/>
              <w:rPr>
                <w:rFonts w:ascii="Times New Roman" w:eastAsia="Calibri" w:hAnsi="Times New Roman"/>
                <w:sz w:val="24"/>
                <w:szCs w:val="24"/>
              </w:rPr>
            </w:pPr>
          </w:p>
        </w:tc>
        <w:tc>
          <w:tcPr>
            <w:tcW w:w="6444" w:type="dxa"/>
            <w:tcBorders>
              <w:top w:val="single" w:sz="4" w:space="0" w:color="000000"/>
              <w:left w:val="nil"/>
              <w:bottom w:val="single" w:sz="4" w:space="0" w:color="000000"/>
              <w:right w:val="single" w:sz="4" w:space="0" w:color="000000"/>
            </w:tcBorders>
          </w:tcPr>
          <w:p w14:paraId="77AC0D44" w14:textId="77777777" w:rsidR="009863A5" w:rsidRPr="008B1465" w:rsidRDefault="009863A5" w:rsidP="009863A5">
            <w:pPr>
              <w:spacing w:after="0" w:line="360" w:lineRule="auto"/>
              <w:rPr>
                <w:rStyle w:val="15"/>
                <w:rFonts w:ascii="Times New Roman" w:eastAsia="Calibri" w:hAnsi="Times New Roman" w:cs="Times New Roman"/>
                <w:sz w:val="24"/>
                <w:szCs w:val="24"/>
              </w:rPr>
            </w:pPr>
            <w:r w:rsidRPr="008B1465">
              <w:rPr>
                <w:rStyle w:val="15"/>
                <w:rFonts w:ascii="Times New Roman" w:eastAsia="Calibri" w:hAnsi="Times New Roman" w:cs="Times New Roman"/>
                <w:sz w:val="24"/>
                <w:szCs w:val="24"/>
              </w:rPr>
              <w:t>Cases of fund misappropriation have been reported at my university</w:t>
            </w:r>
          </w:p>
        </w:tc>
        <w:tc>
          <w:tcPr>
            <w:tcW w:w="610" w:type="dxa"/>
            <w:tcBorders>
              <w:top w:val="single" w:sz="4" w:space="0" w:color="000000"/>
              <w:left w:val="nil"/>
              <w:bottom w:val="single" w:sz="4" w:space="0" w:color="000000"/>
              <w:right w:val="single" w:sz="4" w:space="0" w:color="000000"/>
            </w:tcBorders>
          </w:tcPr>
          <w:p w14:paraId="1E85F30D" w14:textId="77777777" w:rsidR="009863A5" w:rsidRPr="008B1465" w:rsidRDefault="009863A5" w:rsidP="009863A5">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13C9EB41" w14:textId="77777777" w:rsidR="009863A5" w:rsidRPr="008B1465" w:rsidRDefault="009863A5" w:rsidP="009863A5">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4452D290" w14:textId="77777777" w:rsidR="009863A5" w:rsidRPr="008B1465" w:rsidRDefault="009863A5" w:rsidP="009863A5">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3864AFC3" w14:textId="77777777" w:rsidR="009863A5" w:rsidRPr="008B1465" w:rsidRDefault="009863A5" w:rsidP="009863A5">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09B79054" w14:textId="77777777" w:rsidR="009863A5" w:rsidRPr="008B1465" w:rsidRDefault="009863A5" w:rsidP="009863A5">
            <w:pPr>
              <w:spacing w:after="0" w:line="360" w:lineRule="auto"/>
              <w:jc w:val="both"/>
              <w:rPr>
                <w:rFonts w:ascii="Times New Roman" w:hAnsi="Times New Roman"/>
                <w:sz w:val="24"/>
                <w:szCs w:val="24"/>
              </w:rPr>
            </w:pPr>
          </w:p>
        </w:tc>
      </w:tr>
      <w:tr w:rsidR="000B5622" w:rsidRPr="008B1465" w14:paraId="2DBD376D" w14:textId="77777777" w:rsidTr="009863A5">
        <w:trPr>
          <w:trHeight w:val="403"/>
        </w:trPr>
        <w:tc>
          <w:tcPr>
            <w:tcW w:w="625" w:type="dxa"/>
            <w:tcBorders>
              <w:top w:val="single" w:sz="4" w:space="0" w:color="000000"/>
              <w:left w:val="single" w:sz="4" w:space="0" w:color="000000"/>
              <w:bottom w:val="single" w:sz="4" w:space="0" w:color="000000"/>
              <w:right w:val="single" w:sz="4" w:space="0" w:color="000000"/>
            </w:tcBorders>
          </w:tcPr>
          <w:p w14:paraId="4AC535A7" w14:textId="77777777" w:rsidR="009863A5" w:rsidRPr="008B1465" w:rsidRDefault="009863A5" w:rsidP="009863A5">
            <w:pPr>
              <w:pStyle w:val="ListParagraph"/>
              <w:numPr>
                <w:ilvl w:val="0"/>
                <w:numId w:val="7"/>
              </w:numPr>
              <w:spacing w:after="0" w:line="360" w:lineRule="auto"/>
              <w:jc w:val="center"/>
              <w:rPr>
                <w:rFonts w:ascii="Times New Roman" w:eastAsia="Calibri" w:hAnsi="Times New Roman"/>
                <w:sz w:val="24"/>
                <w:szCs w:val="24"/>
              </w:rPr>
            </w:pPr>
          </w:p>
        </w:tc>
        <w:tc>
          <w:tcPr>
            <w:tcW w:w="6444" w:type="dxa"/>
            <w:tcBorders>
              <w:top w:val="single" w:sz="4" w:space="0" w:color="000000"/>
              <w:left w:val="nil"/>
              <w:bottom w:val="single" w:sz="4" w:space="0" w:color="000000"/>
              <w:right w:val="single" w:sz="4" w:space="0" w:color="000000"/>
            </w:tcBorders>
          </w:tcPr>
          <w:p w14:paraId="0AA81E37" w14:textId="77777777" w:rsidR="009863A5" w:rsidRPr="008B1465" w:rsidRDefault="009863A5" w:rsidP="009863A5">
            <w:pPr>
              <w:spacing w:after="0" w:line="360" w:lineRule="auto"/>
              <w:rPr>
                <w:rStyle w:val="15"/>
                <w:rFonts w:ascii="Times New Roman" w:eastAsia="Calibri" w:hAnsi="Times New Roman" w:cs="Times New Roman"/>
                <w:sz w:val="24"/>
                <w:szCs w:val="24"/>
              </w:rPr>
            </w:pPr>
            <w:r w:rsidRPr="008B1465">
              <w:rPr>
                <w:rFonts w:ascii="Times New Roman" w:hAnsi="Times New Roman"/>
                <w:sz w:val="24"/>
                <w:szCs w:val="24"/>
              </w:rPr>
              <w:t>The effects of poor financial management are seen in my university</w:t>
            </w:r>
          </w:p>
        </w:tc>
        <w:tc>
          <w:tcPr>
            <w:tcW w:w="610" w:type="dxa"/>
            <w:tcBorders>
              <w:top w:val="single" w:sz="4" w:space="0" w:color="000000"/>
              <w:left w:val="nil"/>
              <w:bottom w:val="single" w:sz="4" w:space="0" w:color="000000"/>
              <w:right w:val="single" w:sz="4" w:space="0" w:color="000000"/>
            </w:tcBorders>
          </w:tcPr>
          <w:p w14:paraId="6E9BCF96" w14:textId="77777777" w:rsidR="009863A5" w:rsidRPr="008B1465" w:rsidRDefault="009863A5" w:rsidP="009863A5">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6A77A2C1" w14:textId="77777777" w:rsidR="009863A5" w:rsidRPr="008B1465" w:rsidRDefault="009863A5" w:rsidP="009863A5">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0AABAA4C" w14:textId="77777777" w:rsidR="009863A5" w:rsidRPr="008B1465" w:rsidRDefault="009863A5" w:rsidP="009863A5">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76B0D376" w14:textId="77777777" w:rsidR="009863A5" w:rsidRPr="008B1465" w:rsidRDefault="009863A5" w:rsidP="009863A5">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78AD5C5C" w14:textId="77777777" w:rsidR="009863A5" w:rsidRPr="008B1465" w:rsidRDefault="009863A5" w:rsidP="009863A5">
            <w:pPr>
              <w:spacing w:after="0" w:line="360" w:lineRule="auto"/>
              <w:jc w:val="both"/>
              <w:rPr>
                <w:rFonts w:ascii="Times New Roman" w:hAnsi="Times New Roman"/>
                <w:sz w:val="24"/>
                <w:szCs w:val="24"/>
              </w:rPr>
            </w:pPr>
          </w:p>
        </w:tc>
      </w:tr>
      <w:tr w:rsidR="000B5622" w:rsidRPr="008B1465" w14:paraId="6FADB61E" w14:textId="77777777" w:rsidTr="009863A5">
        <w:trPr>
          <w:trHeight w:val="403"/>
        </w:trPr>
        <w:tc>
          <w:tcPr>
            <w:tcW w:w="625" w:type="dxa"/>
            <w:tcBorders>
              <w:top w:val="single" w:sz="4" w:space="0" w:color="000000"/>
              <w:left w:val="single" w:sz="4" w:space="0" w:color="000000"/>
              <w:bottom w:val="single" w:sz="4" w:space="0" w:color="000000"/>
              <w:right w:val="single" w:sz="4" w:space="0" w:color="000000"/>
            </w:tcBorders>
          </w:tcPr>
          <w:p w14:paraId="4F0409C4" w14:textId="77777777" w:rsidR="009863A5" w:rsidRPr="008B1465" w:rsidRDefault="009863A5" w:rsidP="009863A5">
            <w:pPr>
              <w:pStyle w:val="ListParagraph"/>
              <w:numPr>
                <w:ilvl w:val="0"/>
                <w:numId w:val="7"/>
              </w:numPr>
              <w:spacing w:after="0" w:line="360" w:lineRule="auto"/>
              <w:jc w:val="center"/>
              <w:rPr>
                <w:rFonts w:ascii="Times New Roman" w:eastAsia="Calibri" w:hAnsi="Times New Roman"/>
                <w:sz w:val="24"/>
                <w:szCs w:val="24"/>
              </w:rPr>
            </w:pPr>
          </w:p>
        </w:tc>
        <w:tc>
          <w:tcPr>
            <w:tcW w:w="6444" w:type="dxa"/>
            <w:tcBorders>
              <w:top w:val="single" w:sz="4" w:space="0" w:color="000000"/>
              <w:left w:val="nil"/>
              <w:bottom w:val="single" w:sz="4" w:space="0" w:color="000000"/>
              <w:right w:val="single" w:sz="4" w:space="0" w:color="000000"/>
            </w:tcBorders>
          </w:tcPr>
          <w:p w14:paraId="68F794BE" w14:textId="77777777" w:rsidR="009863A5" w:rsidRPr="008B1465" w:rsidRDefault="009863A5" w:rsidP="009863A5">
            <w:pPr>
              <w:spacing w:after="0" w:line="360" w:lineRule="auto"/>
              <w:rPr>
                <w:rStyle w:val="15"/>
                <w:rFonts w:ascii="Times New Roman" w:eastAsia="Calibri" w:hAnsi="Times New Roman" w:cs="Times New Roman"/>
                <w:sz w:val="24"/>
                <w:szCs w:val="24"/>
              </w:rPr>
            </w:pPr>
            <w:r w:rsidRPr="008B1465">
              <w:rPr>
                <w:rStyle w:val="15"/>
                <w:rFonts w:ascii="Times New Roman" w:eastAsia="Calibri" w:hAnsi="Times New Roman" w:cs="Times New Roman"/>
                <w:sz w:val="24"/>
                <w:szCs w:val="24"/>
              </w:rPr>
              <w:t>Fund misappropriation is a common occurrence in my university</w:t>
            </w:r>
          </w:p>
        </w:tc>
        <w:tc>
          <w:tcPr>
            <w:tcW w:w="610" w:type="dxa"/>
            <w:tcBorders>
              <w:top w:val="single" w:sz="4" w:space="0" w:color="000000"/>
              <w:left w:val="nil"/>
              <w:bottom w:val="single" w:sz="4" w:space="0" w:color="000000"/>
              <w:right w:val="single" w:sz="4" w:space="0" w:color="000000"/>
            </w:tcBorders>
          </w:tcPr>
          <w:p w14:paraId="7D12367B" w14:textId="77777777" w:rsidR="009863A5" w:rsidRPr="008B1465" w:rsidRDefault="009863A5" w:rsidP="009863A5">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3EC0F762" w14:textId="77777777" w:rsidR="009863A5" w:rsidRPr="008B1465" w:rsidRDefault="009863A5" w:rsidP="009863A5">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0BDF3742" w14:textId="77777777" w:rsidR="009863A5" w:rsidRPr="008B1465" w:rsidRDefault="009863A5" w:rsidP="009863A5">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0D578B7D" w14:textId="77777777" w:rsidR="009863A5" w:rsidRPr="008B1465" w:rsidRDefault="009863A5" w:rsidP="009863A5">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728EE9D6" w14:textId="77777777" w:rsidR="009863A5" w:rsidRPr="008B1465" w:rsidRDefault="009863A5" w:rsidP="009863A5">
            <w:pPr>
              <w:spacing w:after="0" w:line="360" w:lineRule="auto"/>
              <w:jc w:val="both"/>
              <w:rPr>
                <w:rFonts w:ascii="Times New Roman" w:hAnsi="Times New Roman"/>
                <w:sz w:val="24"/>
                <w:szCs w:val="24"/>
              </w:rPr>
            </w:pPr>
          </w:p>
        </w:tc>
      </w:tr>
      <w:tr w:rsidR="000B5622" w:rsidRPr="008B1465" w14:paraId="5C4625E7" w14:textId="77777777" w:rsidTr="009863A5">
        <w:trPr>
          <w:trHeight w:val="403"/>
        </w:trPr>
        <w:tc>
          <w:tcPr>
            <w:tcW w:w="625" w:type="dxa"/>
            <w:tcBorders>
              <w:top w:val="single" w:sz="4" w:space="0" w:color="000000"/>
              <w:left w:val="single" w:sz="4" w:space="0" w:color="000000"/>
              <w:bottom w:val="single" w:sz="4" w:space="0" w:color="000000"/>
              <w:right w:val="single" w:sz="4" w:space="0" w:color="000000"/>
            </w:tcBorders>
          </w:tcPr>
          <w:p w14:paraId="76309501" w14:textId="77777777" w:rsidR="009863A5" w:rsidRPr="008B1465" w:rsidRDefault="009863A5" w:rsidP="009863A5">
            <w:pPr>
              <w:pStyle w:val="ListParagraph"/>
              <w:numPr>
                <w:ilvl w:val="0"/>
                <w:numId w:val="7"/>
              </w:numPr>
              <w:spacing w:after="0" w:line="360" w:lineRule="auto"/>
              <w:jc w:val="center"/>
              <w:rPr>
                <w:rFonts w:ascii="Times New Roman" w:eastAsia="Calibri" w:hAnsi="Times New Roman"/>
                <w:sz w:val="24"/>
                <w:szCs w:val="24"/>
              </w:rPr>
            </w:pPr>
          </w:p>
        </w:tc>
        <w:tc>
          <w:tcPr>
            <w:tcW w:w="6444" w:type="dxa"/>
            <w:tcBorders>
              <w:top w:val="single" w:sz="4" w:space="0" w:color="000000"/>
              <w:left w:val="nil"/>
              <w:bottom w:val="single" w:sz="4" w:space="0" w:color="000000"/>
              <w:right w:val="single" w:sz="4" w:space="0" w:color="000000"/>
            </w:tcBorders>
          </w:tcPr>
          <w:p w14:paraId="40D14E29" w14:textId="77777777" w:rsidR="009863A5" w:rsidRPr="008B1465" w:rsidRDefault="009863A5" w:rsidP="00861EC5">
            <w:pPr>
              <w:spacing w:after="0" w:line="360" w:lineRule="auto"/>
              <w:jc w:val="both"/>
              <w:rPr>
                <w:rStyle w:val="15"/>
                <w:rFonts w:ascii="Times New Roman" w:eastAsia="Calibri" w:hAnsi="Times New Roman" w:cs="Times New Roman"/>
                <w:sz w:val="24"/>
                <w:szCs w:val="24"/>
              </w:rPr>
            </w:pPr>
            <w:r w:rsidRPr="008B1465">
              <w:rPr>
                <w:rStyle w:val="15"/>
                <w:rFonts w:ascii="Times New Roman" w:eastAsia="Calibri" w:hAnsi="Times New Roman" w:cs="Times New Roman"/>
                <w:sz w:val="24"/>
                <w:szCs w:val="24"/>
              </w:rPr>
              <w:t>In my university, there have been cases of intervention funds being diverted to individual personal accounts.</w:t>
            </w:r>
          </w:p>
        </w:tc>
        <w:tc>
          <w:tcPr>
            <w:tcW w:w="610" w:type="dxa"/>
            <w:tcBorders>
              <w:top w:val="single" w:sz="4" w:space="0" w:color="000000"/>
              <w:left w:val="nil"/>
              <w:bottom w:val="single" w:sz="4" w:space="0" w:color="000000"/>
              <w:right w:val="single" w:sz="4" w:space="0" w:color="000000"/>
            </w:tcBorders>
          </w:tcPr>
          <w:p w14:paraId="38B04C0B" w14:textId="77777777" w:rsidR="009863A5" w:rsidRPr="008B1465" w:rsidRDefault="009863A5" w:rsidP="009863A5">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5E6210F8" w14:textId="77777777" w:rsidR="009863A5" w:rsidRPr="008B1465" w:rsidRDefault="009863A5" w:rsidP="009863A5">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7331E52A" w14:textId="77777777" w:rsidR="009863A5" w:rsidRPr="008B1465" w:rsidRDefault="009863A5" w:rsidP="009863A5">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5C316BC0" w14:textId="77777777" w:rsidR="009863A5" w:rsidRPr="008B1465" w:rsidRDefault="009863A5" w:rsidP="009863A5">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6EFF8960" w14:textId="77777777" w:rsidR="009863A5" w:rsidRPr="008B1465" w:rsidRDefault="009863A5" w:rsidP="009863A5">
            <w:pPr>
              <w:spacing w:after="0" w:line="360" w:lineRule="auto"/>
              <w:jc w:val="both"/>
              <w:rPr>
                <w:rFonts w:ascii="Times New Roman" w:hAnsi="Times New Roman"/>
                <w:sz w:val="24"/>
                <w:szCs w:val="24"/>
              </w:rPr>
            </w:pPr>
          </w:p>
        </w:tc>
      </w:tr>
      <w:tr w:rsidR="000B5622" w:rsidRPr="008B1465" w14:paraId="570C7FD8" w14:textId="77777777" w:rsidTr="009863A5">
        <w:trPr>
          <w:trHeight w:val="403"/>
        </w:trPr>
        <w:tc>
          <w:tcPr>
            <w:tcW w:w="625" w:type="dxa"/>
            <w:tcBorders>
              <w:top w:val="single" w:sz="4" w:space="0" w:color="000000"/>
              <w:left w:val="single" w:sz="4" w:space="0" w:color="000000"/>
              <w:bottom w:val="single" w:sz="4" w:space="0" w:color="000000"/>
              <w:right w:val="single" w:sz="4" w:space="0" w:color="000000"/>
            </w:tcBorders>
          </w:tcPr>
          <w:p w14:paraId="58B930AF" w14:textId="77777777" w:rsidR="009863A5" w:rsidRPr="008B1465" w:rsidRDefault="009863A5" w:rsidP="009863A5">
            <w:pPr>
              <w:pStyle w:val="ListParagraph"/>
              <w:numPr>
                <w:ilvl w:val="0"/>
                <w:numId w:val="7"/>
              </w:numPr>
              <w:spacing w:after="0" w:line="360" w:lineRule="auto"/>
              <w:jc w:val="center"/>
              <w:rPr>
                <w:rFonts w:ascii="Times New Roman" w:eastAsia="Calibri" w:hAnsi="Times New Roman"/>
                <w:sz w:val="24"/>
                <w:szCs w:val="24"/>
              </w:rPr>
            </w:pPr>
          </w:p>
        </w:tc>
        <w:tc>
          <w:tcPr>
            <w:tcW w:w="6444" w:type="dxa"/>
            <w:tcBorders>
              <w:top w:val="single" w:sz="4" w:space="0" w:color="000000"/>
              <w:left w:val="nil"/>
              <w:bottom w:val="single" w:sz="4" w:space="0" w:color="000000"/>
              <w:right w:val="single" w:sz="4" w:space="0" w:color="000000"/>
            </w:tcBorders>
          </w:tcPr>
          <w:p w14:paraId="538D9BB0" w14:textId="77777777" w:rsidR="009863A5" w:rsidRPr="008B1465" w:rsidRDefault="009863A5" w:rsidP="00861EC5">
            <w:pPr>
              <w:tabs>
                <w:tab w:val="left" w:pos="1172"/>
              </w:tabs>
              <w:spacing w:after="0" w:line="360" w:lineRule="auto"/>
              <w:jc w:val="both"/>
              <w:rPr>
                <w:rStyle w:val="15"/>
                <w:rFonts w:ascii="Times New Roman" w:eastAsia="Calibri" w:hAnsi="Times New Roman" w:cs="Times New Roman"/>
                <w:sz w:val="24"/>
                <w:szCs w:val="24"/>
              </w:rPr>
            </w:pPr>
            <w:r w:rsidRPr="008B1465">
              <w:rPr>
                <w:rStyle w:val="15"/>
                <w:rFonts w:ascii="Times New Roman" w:eastAsia="Calibri" w:hAnsi="Times New Roman" w:cs="Times New Roman"/>
                <w:sz w:val="24"/>
                <w:szCs w:val="24"/>
              </w:rPr>
              <w:t>Some employees have been accused of engaging in unauthorized spending</w:t>
            </w:r>
            <w:r w:rsidRPr="008B1465">
              <w:rPr>
                <w:rStyle w:val="15"/>
                <w:rFonts w:ascii="Times New Roman" w:eastAsia="Calibri" w:hAnsi="Times New Roman" w:cs="Times New Roman"/>
                <w:sz w:val="24"/>
                <w:szCs w:val="24"/>
              </w:rPr>
              <w:tab/>
            </w:r>
          </w:p>
        </w:tc>
        <w:tc>
          <w:tcPr>
            <w:tcW w:w="610" w:type="dxa"/>
            <w:tcBorders>
              <w:top w:val="single" w:sz="4" w:space="0" w:color="000000"/>
              <w:left w:val="nil"/>
              <w:bottom w:val="single" w:sz="4" w:space="0" w:color="000000"/>
              <w:right w:val="single" w:sz="4" w:space="0" w:color="000000"/>
            </w:tcBorders>
          </w:tcPr>
          <w:p w14:paraId="7A9AA146" w14:textId="77777777" w:rsidR="009863A5" w:rsidRPr="008B1465" w:rsidRDefault="009863A5" w:rsidP="009863A5">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192A01AE" w14:textId="77777777" w:rsidR="009863A5" w:rsidRPr="008B1465" w:rsidRDefault="009863A5" w:rsidP="009863A5">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7B8F1E70" w14:textId="77777777" w:rsidR="009863A5" w:rsidRPr="008B1465" w:rsidRDefault="009863A5" w:rsidP="009863A5">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3C8FB1AA" w14:textId="77777777" w:rsidR="009863A5" w:rsidRPr="008B1465" w:rsidRDefault="009863A5" w:rsidP="009863A5">
            <w:pPr>
              <w:spacing w:after="0" w:line="360" w:lineRule="auto"/>
              <w:jc w:val="both"/>
              <w:rPr>
                <w:rFonts w:ascii="Times New Roman" w:hAnsi="Times New Roman"/>
                <w:sz w:val="24"/>
                <w:szCs w:val="24"/>
              </w:rPr>
            </w:pPr>
          </w:p>
        </w:tc>
        <w:tc>
          <w:tcPr>
            <w:tcW w:w="611" w:type="dxa"/>
            <w:tcBorders>
              <w:top w:val="single" w:sz="4" w:space="0" w:color="000000"/>
              <w:left w:val="nil"/>
              <w:bottom w:val="single" w:sz="4" w:space="0" w:color="000000"/>
              <w:right w:val="single" w:sz="4" w:space="0" w:color="000000"/>
            </w:tcBorders>
          </w:tcPr>
          <w:p w14:paraId="6F9F8DB6" w14:textId="77777777" w:rsidR="009863A5" w:rsidRPr="008B1465" w:rsidRDefault="009863A5" w:rsidP="009863A5">
            <w:pPr>
              <w:spacing w:after="0" w:line="360" w:lineRule="auto"/>
              <w:jc w:val="both"/>
              <w:rPr>
                <w:rFonts w:ascii="Times New Roman" w:hAnsi="Times New Roman"/>
                <w:sz w:val="24"/>
                <w:szCs w:val="24"/>
              </w:rPr>
            </w:pPr>
          </w:p>
        </w:tc>
      </w:tr>
      <w:bookmarkEnd w:id="0"/>
    </w:tbl>
    <w:p w14:paraId="69AFC86C" w14:textId="7DB1FD5C" w:rsidR="00B30A8A" w:rsidRPr="008B1465" w:rsidRDefault="00B30A8A" w:rsidP="009274B4">
      <w:pPr>
        <w:spacing w:before="0" w:beforeAutospacing="0" w:after="0" w:line="240" w:lineRule="auto"/>
        <w:rPr>
          <w:rFonts w:ascii="Times New Roman" w:hAnsi="Times New Roman"/>
          <w:sz w:val="24"/>
          <w:szCs w:val="24"/>
        </w:rPr>
      </w:pPr>
    </w:p>
    <w:p w14:paraId="3051A4C4" w14:textId="472AADDF" w:rsidR="00643207" w:rsidRPr="008B1465" w:rsidRDefault="00643207" w:rsidP="00643207">
      <w:pPr>
        <w:rPr>
          <w:rFonts w:ascii="Times New Roman" w:hAnsi="Times New Roman"/>
          <w:sz w:val="24"/>
          <w:szCs w:val="24"/>
        </w:rPr>
      </w:pPr>
    </w:p>
    <w:p w14:paraId="4B5D2678" w14:textId="4F9996FE" w:rsidR="00643207" w:rsidRPr="008B1465" w:rsidRDefault="00643207" w:rsidP="00643207">
      <w:pPr>
        <w:rPr>
          <w:rFonts w:ascii="Times New Roman" w:hAnsi="Times New Roman"/>
          <w:sz w:val="24"/>
          <w:szCs w:val="24"/>
        </w:rPr>
      </w:pPr>
    </w:p>
    <w:p w14:paraId="1EED1D13" w14:textId="05F1D0EC" w:rsidR="00643207" w:rsidRDefault="00643207" w:rsidP="00643207">
      <w:pPr>
        <w:spacing w:after="0" w:line="360" w:lineRule="auto"/>
        <w:jc w:val="both"/>
        <w:rPr>
          <w:rFonts w:ascii="Times New Roman" w:hAnsi="Times New Roman"/>
          <w:sz w:val="24"/>
          <w:szCs w:val="24"/>
        </w:rPr>
      </w:pPr>
      <w:r w:rsidRPr="008B1465">
        <w:rPr>
          <w:rFonts w:ascii="Times New Roman" w:hAnsi="Times New Roman"/>
          <w:sz w:val="24"/>
          <w:szCs w:val="24"/>
        </w:rPr>
        <w:tab/>
      </w:r>
    </w:p>
    <w:p w14:paraId="52428077" w14:textId="09812A83" w:rsidR="00643207" w:rsidRPr="00643207" w:rsidRDefault="00643207" w:rsidP="00643207">
      <w:pPr>
        <w:tabs>
          <w:tab w:val="left" w:pos="3173"/>
        </w:tabs>
        <w:rPr>
          <w:rFonts w:ascii="Times New Roman" w:hAnsi="Times New Roman"/>
          <w:sz w:val="24"/>
          <w:szCs w:val="24"/>
        </w:rPr>
      </w:pPr>
    </w:p>
    <w:p w14:paraId="30DD231C" w14:textId="2E98BE11" w:rsidR="00643207" w:rsidRPr="00643207" w:rsidRDefault="00643207" w:rsidP="00643207">
      <w:pPr>
        <w:rPr>
          <w:rFonts w:ascii="Times New Roman" w:hAnsi="Times New Roman"/>
          <w:sz w:val="24"/>
          <w:szCs w:val="24"/>
        </w:rPr>
      </w:pPr>
    </w:p>
    <w:p w14:paraId="34C0644C" w14:textId="53D49472" w:rsidR="00643207" w:rsidRPr="00643207" w:rsidRDefault="00643207" w:rsidP="00643207">
      <w:pPr>
        <w:rPr>
          <w:rFonts w:ascii="Times New Roman" w:hAnsi="Times New Roman"/>
          <w:sz w:val="24"/>
          <w:szCs w:val="24"/>
        </w:rPr>
      </w:pPr>
    </w:p>
    <w:p w14:paraId="0A42D109"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321B167E" w14:textId="4EBFF35B" w:rsidR="00B97413" w:rsidRPr="002C6B67" w:rsidRDefault="00B97413" w:rsidP="002C6B67">
      <w:pPr>
        <w:pageBreakBefore/>
        <w:spacing w:line="274" w:lineRule="auto"/>
        <w:ind w:right="4680"/>
        <w:jc w:val="right"/>
        <w:rPr>
          <w:rFonts w:ascii="Times New Roman" w:hAnsi="Times New Roman"/>
          <w:b/>
          <w:bCs/>
          <w:sz w:val="24"/>
          <w:szCs w:val="24"/>
        </w:rPr>
      </w:pPr>
      <w:r w:rsidRPr="002C6B67">
        <w:rPr>
          <w:rFonts w:ascii="Times New Roman" w:hAnsi="Times New Roman"/>
          <w:b/>
          <w:bCs/>
          <w:sz w:val="24"/>
          <w:szCs w:val="24"/>
        </w:rPr>
        <w:t>Appendix II</w:t>
      </w:r>
    </w:p>
    <w:p w14:paraId="4059E9F0"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54706158"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b/>
          <w:bCs/>
          <w:color w:val="000000"/>
          <w:sz w:val="26"/>
          <w:szCs w:val="26"/>
        </w:rPr>
      </w:pPr>
    </w:p>
    <w:p w14:paraId="76535FE8"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b/>
          <w:bCs/>
          <w:color w:val="000000"/>
          <w:sz w:val="26"/>
          <w:szCs w:val="26"/>
        </w:rPr>
      </w:pPr>
      <w:r w:rsidRPr="00BF050C">
        <w:rPr>
          <w:rFonts w:ascii="Arial" w:eastAsia="SimSun" w:hAnsi="Arial" w:cs="Arial"/>
          <w:b/>
          <w:bCs/>
          <w:color w:val="000000"/>
          <w:sz w:val="26"/>
          <w:szCs w:val="26"/>
        </w:rPr>
        <w:t>Explore</w:t>
      </w:r>
    </w:p>
    <w:p w14:paraId="7793398B"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00000"/>
          <w:sz w:val="26"/>
          <w:szCs w:val="26"/>
        </w:rPr>
      </w:pPr>
    </w:p>
    <w:p w14:paraId="661389D9"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169C2985"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tbl>
      <w:tblPr>
        <w:tblW w:w="8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30"/>
        <w:gridCol w:w="2718"/>
        <w:gridCol w:w="2752"/>
      </w:tblGrid>
      <w:tr w:rsidR="00BF050C" w:rsidRPr="00BF050C" w14:paraId="6F8ACE64" w14:textId="77777777">
        <w:trPr>
          <w:cantSplit/>
        </w:trPr>
        <w:tc>
          <w:tcPr>
            <w:tcW w:w="7998" w:type="dxa"/>
            <w:gridSpan w:val="3"/>
            <w:tcBorders>
              <w:top w:val="nil"/>
              <w:left w:val="nil"/>
              <w:bottom w:val="nil"/>
              <w:right w:val="nil"/>
            </w:tcBorders>
            <w:shd w:val="clear" w:color="auto" w:fill="FFFFFF"/>
            <w:vAlign w:val="center"/>
          </w:tcPr>
          <w:p w14:paraId="7FF18511"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010205"/>
              </w:rPr>
            </w:pPr>
            <w:r w:rsidRPr="00BF050C">
              <w:rPr>
                <w:rFonts w:ascii="Arial" w:eastAsia="SimSun" w:hAnsi="Arial" w:cs="Arial"/>
                <w:b/>
                <w:bCs/>
                <w:color w:val="010205"/>
              </w:rPr>
              <w:t>Notes</w:t>
            </w:r>
          </w:p>
        </w:tc>
      </w:tr>
      <w:tr w:rsidR="00BF050C" w:rsidRPr="00BF050C" w14:paraId="5E74F7B4" w14:textId="77777777">
        <w:trPr>
          <w:cantSplit/>
        </w:trPr>
        <w:tc>
          <w:tcPr>
            <w:tcW w:w="5247" w:type="dxa"/>
            <w:gridSpan w:val="2"/>
            <w:tcBorders>
              <w:top w:val="nil"/>
              <w:left w:val="nil"/>
              <w:bottom w:val="single" w:sz="8" w:space="0" w:color="AEAEAE"/>
              <w:right w:val="nil"/>
            </w:tcBorders>
            <w:shd w:val="clear" w:color="auto" w:fill="E0E0E0"/>
          </w:tcPr>
          <w:p w14:paraId="3B1CBDDA"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Output Created</w:t>
            </w:r>
          </w:p>
        </w:tc>
        <w:tc>
          <w:tcPr>
            <w:tcW w:w="2751" w:type="dxa"/>
            <w:tcBorders>
              <w:top w:val="nil"/>
              <w:left w:val="nil"/>
              <w:bottom w:val="single" w:sz="8" w:space="0" w:color="AEAEAE"/>
              <w:right w:val="nil"/>
            </w:tcBorders>
            <w:shd w:val="clear" w:color="auto" w:fill="FFFFFF"/>
          </w:tcPr>
          <w:p w14:paraId="58AC20D9"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10-JUL-2023 15:06:54</w:t>
            </w:r>
          </w:p>
        </w:tc>
      </w:tr>
      <w:tr w:rsidR="00BF050C" w:rsidRPr="00BF050C" w14:paraId="5A77721A" w14:textId="77777777">
        <w:trPr>
          <w:cantSplit/>
        </w:trPr>
        <w:tc>
          <w:tcPr>
            <w:tcW w:w="5247" w:type="dxa"/>
            <w:gridSpan w:val="2"/>
            <w:tcBorders>
              <w:top w:val="single" w:sz="8" w:space="0" w:color="AEAEAE"/>
              <w:left w:val="nil"/>
              <w:bottom w:val="single" w:sz="8" w:space="0" w:color="AEAEAE"/>
              <w:right w:val="nil"/>
            </w:tcBorders>
            <w:shd w:val="clear" w:color="auto" w:fill="E0E0E0"/>
          </w:tcPr>
          <w:p w14:paraId="484F8A2F"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Comments</w:t>
            </w:r>
          </w:p>
        </w:tc>
        <w:tc>
          <w:tcPr>
            <w:tcW w:w="2751" w:type="dxa"/>
            <w:tcBorders>
              <w:top w:val="single" w:sz="8" w:space="0" w:color="AEAEAE"/>
              <w:left w:val="nil"/>
              <w:bottom w:val="single" w:sz="8" w:space="0" w:color="AEAEAE"/>
              <w:right w:val="nil"/>
            </w:tcBorders>
            <w:shd w:val="clear" w:color="auto" w:fill="FFFFFF"/>
          </w:tcPr>
          <w:p w14:paraId="2E750617"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516E53AA" w14:textId="77777777">
        <w:trPr>
          <w:cantSplit/>
        </w:trPr>
        <w:tc>
          <w:tcPr>
            <w:tcW w:w="2530" w:type="dxa"/>
            <w:vMerge w:val="restart"/>
            <w:tcBorders>
              <w:top w:val="single" w:sz="8" w:space="0" w:color="AEAEAE"/>
              <w:left w:val="nil"/>
              <w:bottom w:val="single" w:sz="8" w:space="0" w:color="AEAEAE"/>
              <w:right w:val="nil"/>
            </w:tcBorders>
            <w:shd w:val="clear" w:color="auto" w:fill="E0E0E0"/>
          </w:tcPr>
          <w:p w14:paraId="33612FCE"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Input</w:t>
            </w:r>
          </w:p>
        </w:tc>
        <w:tc>
          <w:tcPr>
            <w:tcW w:w="2717" w:type="dxa"/>
            <w:tcBorders>
              <w:top w:val="single" w:sz="8" w:space="0" w:color="AEAEAE"/>
              <w:left w:val="nil"/>
              <w:bottom w:val="single" w:sz="8" w:space="0" w:color="AEAEAE"/>
              <w:right w:val="nil"/>
            </w:tcBorders>
            <w:shd w:val="clear" w:color="auto" w:fill="E0E0E0"/>
          </w:tcPr>
          <w:p w14:paraId="3273BBF1"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Data</w:t>
            </w:r>
          </w:p>
        </w:tc>
        <w:tc>
          <w:tcPr>
            <w:tcW w:w="2751" w:type="dxa"/>
            <w:tcBorders>
              <w:top w:val="single" w:sz="8" w:space="0" w:color="AEAEAE"/>
              <w:left w:val="nil"/>
              <w:bottom w:val="single" w:sz="8" w:space="0" w:color="AEAEAE"/>
              <w:right w:val="nil"/>
            </w:tcBorders>
            <w:shd w:val="clear" w:color="auto" w:fill="FFFFFF"/>
          </w:tcPr>
          <w:p w14:paraId="1CFDD8AE" w14:textId="6BB394B1"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DataLatest.sav</w:t>
            </w:r>
          </w:p>
        </w:tc>
      </w:tr>
      <w:tr w:rsidR="00BF050C" w:rsidRPr="00BF050C" w14:paraId="6479DBB4" w14:textId="77777777">
        <w:trPr>
          <w:cantSplit/>
        </w:trPr>
        <w:tc>
          <w:tcPr>
            <w:tcW w:w="2530" w:type="dxa"/>
            <w:vMerge/>
            <w:tcBorders>
              <w:top w:val="single" w:sz="8" w:space="0" w:color="AEAEAE"/>
              <w:left w:val="nil"/>
              <w:bottom w:val="single" w:sz="8" w:space="0" w:color="AEAEAE"/>
              <w:right w:val="nil"/>
            </w:tcBorders>
            <w:shd w:val="clear" w:color="auto" w:fill="E0E0E0"/>
          </w:tcPr>
          <w:p w14:paraId="108C9367"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7BFF8672"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Active Dataset</w:t>
            </w:r>
          </w:p>
        </w:tc>
        <w:tc>
          <w:tcPr>
            <w:tcW w:w="2751" w:type="dxa"/>
            <w:tcBorders>
              <w:top w:val="single" w:sz="8" w:space="0" w:color="AEAEAE"/>
              <w:left w:val="nil"/>
              <w:bottom w:val="single" w:sz="8" w:space="0" w:color="AEAEAE"/>
              <w:right w:val="nil"/>
            </w:tcBorders>
            <w:shd w:val="clear" w:color="auto" w:fill="FFFFFF"/>
          </w:tcPr>
          <w:p w14:paraId="14D5ADD1"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DataSet2</w:t>
            </w:r>
          </w:p>
        </w:tc>
      </w:tr>
      <w:tr w:rsidR="00BF050C" w:rsidRPr="00BF050C" w14:paraId="6A100880" w14:textId="77777777">
        <w:trPr>
          <w:cantSplit/>
        </w:trPr>
        <w:tc>
          <w:tcPr>
            <w:tcW w:w="2530" w:type="dxa"/>
            <w:vMerge/>
            <w:tcBorders>
              <w:top w:val="single" w:sz="8" w:space="0" w:color="AEAEAE"/>
              <w:left w:val="nil"/>
              <w:bottom w:val="single" w:sz="8" w:space="0" w:color="AEAEAE"/>
              <w:right w:val="nil"/>
            </w:tcBorders>
            <w:shd w:val="clear" w:color="auto" w:fill="E0E0E0"/>
          </w:tcPr>
          <w:p w14:paraId="31EE6BBF"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22A852AF"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Filter</w:t>
            </w:r>
          </w:p>
        </w:tc>
        <w:tc>
          <w:tcPr>
            <w:tcW w:w="2751" w:type="dxa"/>
            <w:tcBorders>
              <w:top w:val="single" w:sz="8" w:space="0" w:color="AEAEAE"/>
              <w:left w:val="nil"/>
              <w:bottom w:val="single" w:sz="8" w:space="0" w:color="AEAEAE"/>
              <w:right w:val="nil"/>
            </w:tcBorders>
            <w:shd w:val="clear" w:color="auto" w:fill="FFFFFF"/>
          </w:tcPr>
          <w:p w14:paraId="2E78C450"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&lt;none&gt;</w:t>
            </w:r>
          </w:p>
        </w:tc>
      </w:tr>
      <w:tr w:rsidR="00BF050C" w:rsidRPr="00BF050C" w14:paraId="50153A7B" w14:textId="77777777">
        <w:trPr>
          <w:cantSplit/>
        </w:trPr>
        <w:tc>
          <w:tcPr>
            <w:tcW w:w="2530" w:type="dxa"/>
            <w:vMerge/>
            <w:tcBorders>
              <w:top w:val="single" w:sz="8" w:space="0" w:color="AEAEAE"/>
              <w:left w:val="nil"/>
              <w:bottom w:val="single" w:sz="8" w:space="0" w:color="AEAEAE"/>
              <w:right w:val="nil"/>
            </w:tcBorders>
            <w:shd w:val="clear" w:color="auto" w:fill="E0E0E0"/>
          </w:tcPr>
          <w:p w14:paraId="042315BB"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51056ABE"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Weight</w:t>
            </w:r>
          </w:p>
        </w:tc>
        <w:tc>
          <w:tcPr>
            <w:tcW w:w="2751" w:type="dxa"/>
            <w:tcBorders>
              <w:top w:val="single" w:sz="8" w:space="0" w:color="AEAEAE"/>
              <w:left w:val="nil"/>
              <w:bottom w:val="single" w:sz="8" w:space="0" w:color="AEAEAE"/>
              <w:right w:val="nil"/>
            </w:tcBorders>
            <w:shd w:val="clear" w:color="auto" w:fill="FFFFFF"/>
          </w:tcPr>
          <w:p w14:paraId="57DCE39F"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&lt;none&gt;</w:t>
            </w:r>
          </w:p>
        </w:tc>
      </w:tr>
      <w:tr w:rsidR="00BF050C" w:rsidRPr="00BF050C" w14:paraId="6306CE2B" w14:textId="77777777">
        <w:trPr>
          <w:cantSplit/>
        </w:trPr>
        <w:tc>
          <w:tcPr>
            <w:tcW w:w="2530" w:type="dxa"/>
            <w:vMerge/>
            <w:tcBorders>
              <w:top w:val="single" w:sz="8" w:space="0" w:color="AEAEAE"/>
              <w:left w:val="nil"/>
              <w:bottom w:val="single" w:sz="8" w:space="0" w:color="AEAEAE"/>
              <w:right w:val="nil"/>
            </w:tcBorders>
            <w:shd w:val="clear" w:color="auto" w:fill="E0E0E0"/>
          </w:tcPr>
          <w:p w14:paraId="597153DA"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6BAAC3DC"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Split File</w:t>
            </w:r>
          </w:p>
        </w:tc>
        <w:tc>
          <w:tcPr>
            <w:tcW w:w="2751" w:type="dxa"/>
            <w:tcBorders>
              <w:top w:val="single" w:sz="8" w:space="0" w:color="AEAEAE"/>
              <w:left w:val="nil"/>
              <w:bottom w:val="single" w:sz="8" w:space="0" w:color="AEAEAE"/>
              <w:right w:val="nil"/>
            </w:tcBorders>
            <w:shd w:val="clear" w:color="auto" w:fill="FFFFFF"/>
          </w:tcPr>
          <w:p w14:paraId="1128BDD2"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&lt;none&gt;</w:t>
            </w:r>
          </w:p>
        </w:tc>
      </w:tr>
      <w:tr w:rsidR="00BF050C" w:rsidRPr="00BF050C" w14:paraId="4BB8D63E" w14:textId="77777777">
        <w:trPr>
          <w:cantSplit/>
        </w:trPr>
        <w:tc>
          <w:tcPr>
            <w:tcW w:w="2530" w:type="dxa"/>
            <w:vMerge/>
            <w:tcBorders>
              <w:top w:val="single" w:sz="8" w:space="0" w:color="AEAEAE"/>
              <w:left w:val="nil"/>
              <w:bottom w:val="single" w:sz="8" w:space="0" w:color="AEAEAE"/>
              <w:right w:val="nil"/>
            </w:tcBorders>
            <w:shd w:val="clear" w:color="auto" w:fill="E0E0E0"/>
          </w:tcPr>
          <w:p w14:paraId="17204042"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4B4DE863"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N of Rows in Working Data File</w:t>
            </w:r>
          </w:p>
        </w:tc>
        <w:tc>
          <w:tcPr>
            <w:tcW w:w="2751" w:type="dxa"/>
            <w:tcBorders>
              <w:top w:val="single" w:sz="8" w:space="0" w:color="AEAEAE"/>
              <w:left w:val="nil"/>
              <w:bottom w:val="single" w:sz="8" w:space="0" w:color="AEAEAE"/>
              <w:right w:val="nil"/>
            </w:tcBorders>
            <w:shd w:val="clear" w:color="auto" w:fill="FFFFFF"/>
          </w:tcPr>
          <w:p w14:paraId="06D8F197"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364</w:t>
            </w:r>
          </w:p>
        </w:tc>
      </w:tr>
      <w:tr w:rsidR="00BF050C" w:rsidRPr="00BF050C" w14:paraId="4D10F57B" w14:textId="77777777">
        <w:trPr>
          <w:cantSplit/>
        </w:trPr>
        <w:tc>
          <w:tcPr>
            <w:tcW w:w="2530" w:type="dxa"/>
            <w:vMerge w:val="restart"/>
            <w:tcBorders>
              <w:top w:val="single" w:sz="8" w:space="0" w:color="AEAEAE"/>
              <w:left w:val="nil"/>
              <w:bottom w:val="single" w:sz="8" w:space="0" w:color="AEAEAE"/>
              <w:right w:val="nil"/>
            </w:tcBorders>
            <w:shd w:val="clear" w:color="auto" w:fill="E0E0E0"/>
          </w:tcPr>
          <w:p w14:paraId="0CFFDEB2"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Missing Value Handling</w:t>
            </w:r>
          </w:p>
        </w:tc>
        <w:tc>
          <w:tcPr>
            <w:tcW w:w="2717" w:type="dxa"/>
            <w:tcBorders>
              <w:top w:val="single" w:sz="8" w:space="0" w:color="AEAEAE"/>
              <w:left w:val="nil"/>
              <w:bottom w:val="single" w:sz="8" w:space="0" w:color="AEAEAE"/>
              <w:right w:val="nil"/>
            </w:tcBorders>
            <w:shd w:val="clear" w:color="auto" w:fill="E0E0E0"/>
          </w:tcPr>
          <w:p w14:paraId="4F0F01CB"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Definition of Missing</w:t>
            </w:r>
          </w:p>
        </w:tc>
        <w:tc>
          <w:tcPr>
            <w:tcW w:w="2751" w:type="dxa"/>
            <w:tcBorders>
              <w:top w:val="single" w:sz="8" w:space="0" w:color="AEAEAE"/>
              <w:left w:val="nil"/>
              <w:bottom w:val="single" w:sz="8" w:space="0" w:color="AEAEAE"/>
              <w:right w:val="nil"/>
            </w:tcBorders>
            <w:shd w:val="clear" w:color="auto" w:fill="FFFFFF"/>
          </w:tcPr>
          <w:p w14:paraId="0DC4AC41"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User-defined missing values for dependent variables are treated as missing.</w:t>
            </w:r>
          </w:p>
        </w:tc>
      </w:tr>
      <w:tr w:rsidR="00BF050C" w:rsidRPr="00BF050C" w14:paraId="174858CE" w14:textId="77777777">
        <w:trPr>
          <w:cantSplit/>
        </w:trPr>
        <w:tc>
          <w:tcPr>
            <w:tcW w:w="2530" w:type="dxa"/>
            <w:vMerge/>
            <w:tcBorders>
              <w:top w:val="single" w:sz="8" w:space="0" w:color="AEAEAE"/>
              <w:left w:val="nil"/>
              <w:bottom w:val="single" w:sz="8" w:space="0" w:color="AEAEAE"/>
              <w:right w:val="nil"/>
            </w:tcBorders>
            <w:shd w:val="clear" w:color="auto" w:fill="E0E0E0"/>
          </w:tcPr>
          <w:p w14:paraId="1EA64E8C"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6D2002AF"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Cases Used</w:t>
            </w:r>
          </w:p>
        </w:tc>
        <w:tc>
          <w:tcPr>
            <w:tcW w:w="2751" w:type="dxa"/>
            <w:tcBorders>
              <w:top w:val="single" w:sz="8" w:space="0" w:color="AEAEAE"/>
              <w:left w:val="nil"/>
              <w:bottom w:val="single" w:sz="8" w:space="0" w:color="AEAEAE"/>
              <w:right w:val="nil"/>
            </w:tcBorders>
            <w:shd w:val="clear" w:color="auto" w:fill="FFFFFF"/>
          </w:tcPr>
          <w:p w14:paraId="0013EBC3"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Statistics are based on cases with no missing values for any dependent variable or factor used.</w:t>
            </w:r>
          </w:p>
        </w:tc>
      </w:tr>
      <w:tr w:rsidR="00BF050C" w:rsidRPr="00BF050C" w14:paraId="7EF54965" w14:textId="77777777">
        <w:trPr>
          <w:cantSplit/>
        </w:trPr>
        <w:tc>
          <w:tcPr>
            <w:tcW w:w="5247" w:type="dxa"/>
            <w:gridSpan w:val="2"/>
            <w:tcBorders>
              <w:top w:val="single" w:sz="8" w:space="0" w:color="AEAEAE"/>
              <w:left w:val="nil"/>
              <w:bottom w:val="single" w:sz="8" w:space="0" w:color="AEAEAE"/>
              <w:right w:val="nil"/>
            </w:tcBorders>
            <w:shd w:val="clear" w:color="auto" w:fill="E0E0E0"/>
          </w:tcPr>
          <w:p w14:paraId="4D839CD2"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Syntax</w:t>
            </w:r>
          </w:p>
        </w:tc>
        <w:tc>
          <w:tcPr>
            <w:tcW w:w="2751" w:type="dxa"/>
            <w:tcBorders>
              <w:top w:val="single" w:sz="8" w:space="0" w:color="AEAEAE"/>
              <w:left w:val="nil"/>
              <w:bottom w:val="single" w:sz="8" w:space="0" w:color="AEAEAE"/>
              <w:right w:val="nil"/>
            </w:tcBorders>
            <w:shd w:val="clear" w:color="auto" w:fill="FFFFFF"/>
          </w:tcPr>
          <w:p w14:paraId="4D23FE72"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EXAMINE VARIABLES=ADE</w:t>
            </w:r>
          </w:p>
          <w:p w14:paraId="78E54117"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/PLOT HISTOGRAM NPPLOT</w:t>
            </w:r>
          </w:p>
          <w:p w14:paraId="0DFEFBDB"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/STATISTICS DESCRIPTIVES</w:t>
            </w:r>
          </w:p>
          <w:p w14:paraId="0A10B4A3"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/CINTERVAL 95</w:t>
            </w:r>
          </w:p>
          <w:p w14:paraId="3DEE8DE8"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/MISSING LISTWISE</w:t>
            </w:r>
          </w:p>
          <w:p w14:paraId="03C6DC12"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/NOTOTAL.</w:t>
            </w:r>
          </w:p>
        </w:tc>
      </w:tr>
      <w:tr w:rsidR="00BF050C" w:rsidRPr="00BF050C" w14:paraId="11218A6C" w14:textId="77777777">
        <w:trPr>
          <w:cantSplit/>
        </w:trPr>
        <w:tc>
          <w:tcPr>
            <w:tcW w:w="2530" w:type="dxa"/>
            <w:vMerge w:val="restart"/>
            <w:tcBorders>
              <w:top w:val="single" w:sz="8" w:space="0" w:color="AEAEAE"/>
              <w:left w:val="nil"/>
              <w:bottom w:val="single" w:sz="8" w:space="0" w:color="152935"/>
              <w:right w:val="nil"/>
            </w:tcBorders>
            <w:shd w:val="clear" w:color="auto" w:fill="E0E0E0"/>
          </w:tcPr>
          <w:p w14:paraId="230DA400"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Resources</w:t>
            </w:r>
          </w:p>
        </w:tc>
        <w:tc>
          <w:tcPr>
            <w:tcW w:w="2717" w:type="dxa"/>
            <w:tcBorders>
              <w:top w:val="single" w:sz="8" w:space="0" w:color="AEAEAE"/>
              <w:left w:val="nil"/>
              <w:bottom w:val="single" w:sz="8" w:space="0" w:color="AEAEAE"/>
              <w:right w:val="nil"/>
            </w:tcBorders>
            <w:shd w:val="clear" w:color="auto" w:fill="E0E0E0"/>
          </w:tcPr>
          <w:p w14:paraId="5D5954A9"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Processor Time</w:t>
            </w:r>
          </w:p>
        </w:tc>
        <w:tc>
          <w:tcPr>
            <w:tcW w:w="2751" w:type="dxa"/>
            <w:tcBorders>
              <w:top w:val="single" w:sz="8" w:space="0" w:color="AEAEAE"/>
              <w:left w:val="nil"/>
              <w:bottom w:val="single" w:sz="8" w:space="0" w:color="AEAEAE"/>
              <w:right w:val="nil"/>
            </w:tcBorders>
            <w:shd w:val="clear" w:color="auto" w:fill="FFFFFF"/>
          </w:tcPr>
          <w:p w14:paraId="4711CE3B"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00:00:08.72</w:t>
            </w:r>
          </w:p>
        </w:tc>
      </w:tr>
      <w:tr w:rsidR="00BF050C" w:rsidRPr="00BF050C" w14:paraId="4C443E7E" w14:textId="77777777">
        <w:trPr>
          <w:cantSplit/>
        </w:trPr>
        <w:tc>
          <w:tcPr>
            <w:tcW w:w="2530" w:type="dxa"/>
            <w:vMerge/>
            <w:tcBorders>
              <w:top w:val="single" w:sz="8" w:space="0" w:color="AEAEAE"/>
              <w:left w:val="nil"/>
              <w:bottom w:val="single" w:sz="8" w:space="0" w:color="152935"/>
              <w:right w:val="nil"/>
            </w:tcBorders>
            <w:shd w:val="clear" w:color="auto" w:fill="E0E0E0"/>
          </w:tcPr>
          <w:p w14:paraId="4EC814AB"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152935"/>
              <w:right w:val="nil"/>
            </w:tcBorders>
            <w:shd w:val="clear" w:color="auto" w:fill="E0E0E0"/>
          </w:tcPr>
          <w:p w14:paraId="6CCDD03D"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Elapsed Time</w:t>
            </w:r>
          </w:p>
        </w:tc>
        <w:tc>
          <w:tcPr>
            <w:tcW w:w="2751" w:type="dxa"/>
            <w:tcBorders>
              <w:top w:val="single" w:sz="8" w:space="0" w:color="AEAEAE"/>
              <w:left w:val="nil"/>
              <w:bottom w:val="single" w:sz="8" w:space="0" w:color="152935"/>
              <w:right w:val="nil"/>
            </w:tcBorders>
            <w:shd w:val="clear" w:color="auto" w:fill="FFFFFF"/>
          </w:tcPr>
          <w:p w14:paraId="2EBAB87C"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00:00:03.95</w:t>
            </w:r>
          </w:p>
        </w:tc>
      </w:tr>
    </w:tbl>
    <w:p w14:paraId="711E529E"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3354785A"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tbl>
      <w:tblPr>
        <w:tblW w:w="73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07"/>
        <w:gridCol w:w="2690"/>
        <w:gridCol w:w="1546"/>
        <w:gridCol w:w="1126"/>
        <w:gridCol w:w="1176"/>
      </w:tblGrid>
      <w:tr w:rsidR="00BF050C" w:rsidRPr="00BF050C" w14:paraId="0C1C2992" w14:textId="77777777">
        <w:trPr>
          <w:cantSplit/>
        </w:trPr>
        <w:tc>
          <w:tcPr>
            <w:tcW w:w="7343" w:type="dxa"/>
            <w:gridSpan w:val="5"/>
            <w:tcBorders>
              <w:top w:val="nil"/>
              <w:left w:val="nil"/>
              <w:bottom w:val="nil"/>
              <w:right w:val="nil"/>
            </w:tcBorders>
            <w:shd w:val="clear" w:color="auto" w:fill="FFFFFF"/>
            <w:vAlign w:val="center"/>
          </w:tcPr>
          <w:p w14:paraId="4A99DF66" w14:textId="151C5262"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010205"/>
              </w:rPr>
            </w:pPr>
            <w:r w:rsidRPr="00BF050C">
              <w:rPr>
                <w:rFonts w:ascii="Arial" w:eastAsia="SimSun" w:hAnsi="Arial" w:cs="Arial"/>
                <w:b/>
                <w:bCs/>
                <w:color w:val="010205"/>
              </w:rPr>
              <w:t>Descriptive</w:t>
            </w:r>
          </w:p>
        </w:tc>
      </w:tr>
      <w:tr w:rsidR="00BF050C" w:rsidRPr="00BF050C" w14:paraId="42779AD0" w14:textId="77777777">
        <w:trPr>
          <w:cantSplit/>
        </w:trPr>
        <w:tc>
          <w:tcPr>
            <w:tcW w:w="5041" w:type="dxa"/>
            <w:gridSpan w:val="3"/>
            <w:tcBorders>
              <w:top w:val="nil"/>
              <w:left w:val="nil"/>
              <w:bottom w:val="single" w:sz="8" w:space="0" w:color="152935"/>
              <w:right w:val="nil"/>
            </w:tcBorders>
            <w:shd w:val="clear" w:color="auto" w:fill="FFFFFF"/>
            <w:vAlign w:val="bottom"/>
          </w:tcPr>
          <w:p w14:paraId="2F736D87"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1126" w:type="dxa"/>
            <w:tcBorders>
              <w:top w:val="nil"/>
              <w:left w:val="nil"/>
              <w:bottom w:val="single" w:sz="8" w:space="0" w:color="152935"/>
              <w:right w:val="single" w:sz="8" w:space="0" w:color="E0E0E0"/>
            </w:tcBorders>
            <w:shd w:val="clear" w:color="auto" w:fill="FFFFFF"/>
            <w:vAlign w:val="bottom"/>
          </w:tcPr>
          <w:p w14:paraId="7A3DA350"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Statistic</w:t>
            </w:r>
          </w:p>
        </w:tc>
        <w:tc>
          <w:tcPr>
            <w:tcW w:w="1176" w:type="dxa"/>
            <w:tcBorders>
              <w:top w:val="nil"/>
              <w:left w:val="single" w:sz="8" w:space="0" w:color="E0E0E0"/>
              <w:bottom w:val="single" w:sz="8" w:space="0" w:color="152935"/>
              <w:right w:val="nil"/>
            </w:tcBorders>
            <w:shd w:val="clear" w:color="auto" w:fill="FFFFFF"/>
            <w:vAlign w:val="bottom"/>
          </w:tcPr>
          <w:p w14:paraId="29AF3B03"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Std. Error</w:t>
            </w:r>
          </w:p>
        </w:tc>
      </w:tr>
      <w:tr w:rsidR="00BF050C" w:rsidRPr="00BF050C" w14:paraId="7F23FFE7" w14:textId="77777777">
        <w:trPr>
          <w:cantSplit/>
        </w:trPr>
        <w:tc>
          <w:tcPr>
            <w:tcW w:w="806" w:type="dxa"/>
            <w:vMerge w:val="restart"/>
            <w:tcBorders>
              <w:top w:val="single" w:sz="8" w:space="0" w:color="152935"/>
              <w:left w:val="nil"/>
              <w:bottom w:val="single" w:sz="8" w:space="0" w:color="152935"/>
              <w:right w:val="nil"/>
            </w:tcBorders>
            <w:shd w:val="clear" w:color="auto" w:fill="E0E0E0"/>
          </w:tcPr>
          <w:p w14:paraId="017AE44D"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ADE</w:t>
            </w:r>
          </w:p>
        </w:tc>
        <w:tc>
          <w:tcPr>
            <w:tcW w:w="4235" w:type="dxa"/>
            <w:gridSpan w:val="2"/>
            <w:tcBorders>
              <w:top w:val="single" w:sz="8" w:space="0" w:color="152935"/>
              <w:left w:val="nil"/>
              <w:bottom w:val="nil"/>
              <w:right w:val="nil"/>
            </w:tcBorders>
            <w:shd w:val="clear" w:color="auto" w:fill="E0E0E0"/>
          </w:tcPr>
          <w:p w14:paraId="6294FD11"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Mean</w:t>
            </w:r>
          </w:p>
        </w:tc>
        <w:tc>
          <w:tcPr>
            <w:tcW w:w="1126" w:type="dxa"/>
            <w:tcBorders>
              <w:top w:val="single" w:sz="8" w:space="0" w:color="152935"/>
              <w:left w:val="nil"/>
              <w:bottom w:val="nil"/>
              <w:right w:val="single" w:sz="8" w:space="0" w:color="E0E0E0"/>
            </w:tcBorders>
            <w:shd w:val="clear" w:color="auto" w:fill="FFFFFF"/>
          </w:tcPr>
          <w:p w14:paraId="08BD5DA1"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5.4436</w:t>
            </w:r>
          </w:p>
        </w:tc>
        <w:tc>
          <w:tcPr>
            <w:tcW w:w="1176" w:type="dxa"/>
            <w:tcBorders>
              <w:top w:val="single" w:sz="8" w:space="0" w:color="152935"/>
              <w:left w:val="single" w:sz="8" w:space="0" w:color="E0E0E0"/>
              <w:bottom w:val="nil"/>
              <w:right w:val="nil"/>
            </w:tcBorders>
            <w:shd w:val="clear" w:color="auto" w:fill="FFFFFF"/>
          </w:tcPr>
          <w:p w14:paraId="63BDB05E"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.05899</w:t>
            </w:r>
          </w:p>
        </w:tc>
      </w:tr>
      <w:tr w:rsidR="00BF050C" w:rsidRPr="00BF050C" w14:paraId="074A39C1" w14:textId="77777777">
        <w:trPr>
          <w:cantSplit/>
        </w:trPr>
        <w:tc>
          <w:tcPr>
            <w:tcW w:w="806" w:type="dxa"/>
            <w:vMerge/>
            <w:tcBorders>
              <w:top w:val="single" w:sz="8" w:space="0" w:color="152935"/>
              <w:left w:val="nil"/>
              <w:bottom w:val="single" w:sz="8" w:space="0" w:color="152935"/>
              <w:right w:val="nil"/>
            </w:tcBorders>
            <w:shd w:val="clear" w:color="auto" w:fill="E0E0E0"/>
          </w:tcPr>
          <w:p w14:paraId="231D477E"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689" w:type="dxa"/>
            <w:vMerge w:val="restart"/>
            <w:tcBorders>
              <w:top w:val="single" w:sz="8" w:space="0" w:color="AEAEAE"/>
              <w:left w:val="nil"/>
              <w:bottom w:val="nil"/>
              <w:right w:val="nil"/>
            </w:tcBorders>
            <w:shd w:val="clear" w:color="auto" w:fill="E0E0E0"/>
          </w:tcPr>
          <w:p w14:paraId="354C68F1"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95% Confidence Interval for Mean</w:t>
            </w:r>
          </w:p>
        </w:tc>
        <w:tc>
          <w:tcPr>
            <w:tcW w:w="1546" w:type="dxa"/>
            <w:tcBorders>
              <w:top w:val="single" w:sz="8" w:space="0" w:color="AEAEAE"/>
              <w:left w:val="nil"/>
              <w:bottom w:val="single" w:sz="8" w:space="0" w:color="AEAEAE"/>
              <w:right w:val="nil"/>
            </w:tcBorders>
            <w:shd w:val="clear" w:color="auto" w:fill="E0E0E0"/>
          </w:tcPr>
          <w:p w14:paraId="4F62B9EB"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Lower Bound</w:t>
            </w:r>
          </w:p>
        </w:tc>
        <w:tc>
          <w:tcPr>
            <w:tcW w:w="1126" w:type="dxa"/>
            <w:tcBorders>
              <w:top w:val="single" w:sz="8" w:space="0" w:color="AEAEAE"/>
              <w:left w:val="nil"/>
              <w:bottom w:val="single" w:sz="8" w:space="0" w:color="AEAEAE"/>
              <w:right w:val="single" w:sz="8" w:space="0" w:color="E0E0E0"/>
            </w:tcBorders>
            <w:shd w:val="clear" w:color="auto" w:fill="FFFFFF"/>
          </w:tcPr>
          <w:p w14:paraId="19835A72"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5.3256</w:t>
            </w:r>
          </w:p>
        </w:tc>
        <w:tc>
          <w:tcPr>
            <w:tcW w:w="1176" w:type="dxa"/>
            <w:tcBorders>
              <w:top w:val="single" w:sz="8" w:space="0" w:color="AEAEAE"/>
              <w:left w:val="single" w:sz="8" w:space="0" w:color="E0E0E0"/>
              <w:bottom w:val="single" w:sz="8" w:space="0" w:color="AEAEAE"/>
              <w:right w:val="nil"/>
            </w:tcBorders>
            <w:shd w:val="clear" w:color="auto" w:fill="FFFFFF"/>
            <w:vAlign w:val="center"/>
          </w:tcPr>
          <w:p w14:paraId="5F31745F"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6197D9CC" w14:textId="77777777">
        <w:trPr>
          <w:cantSplit/>
        </w:trPr>
        <w:tc>
          <w:tcPr>
            <w:tcW w:w="806" w:type="dxa"/>
            <w:vMerge/>
            <w:tcBorders>
              <w:top w:val="single" w:sz="8" w:space="0" w:color="152935"/>
              <w:left w:val="nil"/>
              <w:bottom w:val="single" w:sz="8" w:space="0" w:color="152935"/>
              <w:right w:val="nil"/>
            </w:tcBorders>
            <w:shd w:val="clear" w:color="auto" w:fill="E0E0E0"/>
          </w:tcPr>
          <w:p w14:paraId="45966167"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2689" w:type="dxa"/>
            <w:vMerge/>
            <w:tcBorders>
              <w:top w:val="single" w:sz="8" w:space="0" w:color="AEAEAE"/>
              <w:left w:val="nil"/>
              <w:bottom w:val="nil"/>
              <w:right w:val="nil"/>
            </w:tcBorders>
            <w:shd w:val="clear" w:color="auto" w:fill="E0E0E0"/>
          </w:tcPr>
          <w:p w14:paraId="3523806A"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1546" w:type="dxa"/>
            <w:tcBorders>
              <w:top w:val="single" w:sz="8" w:space="0" w:color="AEAEAE"/>
              <w:left w:val="nil"/>
              <w:bottom w:val="nil"/>
              <w:right w:val="nil"/>
            </w:tcBorders>
            <w:shd w:val="clear" w:color="auto" w:fill="E0E0E0"/>
          </w:tcPr>
          <w:p w14:paraId="2E022DBD"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Upper Bound</w:t>
            </w:r>
          </w:p>
        </w:tc>
        <w:tc>
          <w:tcPr>
            <w:tcW w:w="1126" w:type="dxa"/>
            <w:tcBorders>
              <w:top w:val="single" w:sz="8" w:space="0" w:color="AEAEAE"/>
              <w:left w:val="nil"/>
              <w:bottom w:val="nil"/>
              <w:right w:val="single" w:sz="8" w:space="0" w:color="E0E0E0"/>
            </w:tcBorders>
            <w:shd w:val="clear" w:color="auto" w:fill="FFFFFF"/>
          </w:tcPr>
          <w:p w14:paraId="24A16D39"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5.5616</w:t>
            </w:r>
          </w:p>
        </w:tc>
        <w:tc>
          <w:tcPr>
            <w:tcW w:w="1176" w:type="dxa"/>
            <w:tcBorders>
              <w:top w:val="single" w:sz="8" w:space="0" w:color="AEAEAE"/>
              <w:left w:val="single" w:sz="8" w:space="0" w:color="E0E0E0"/>
              <w:bottom w:val="nil"/>
              <w:right w:val="nil"/>
            </w:tcBorders>
            <w:shd w:val="clear" w:color="auto" w:fill="FFFFFF"/>
            <w:vAlign w:val="center"/>
          </w:tcPr>
          <w:p w14:paraId="5FE7FB12"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738BC5D2" w14:textId="77777777">
        <w:trPr>
          <w:cantSplit/>
        </w:trPr>
        <w:tc>
          <w:tcPr>
            <w:tcW w:w="806" w:type="dxa"/>
            <w:vMerge/>
            <w:tcBorders>
              <w:top w:val="single" w:sz="8" w:space="0" w:color="152935"/>
              <w:left w:val="nil"/>
              <w:bottom w:val="single" w:sz="8" w:space="0" w:color="152935"/>
              <w:right w:val="nil"/>
            </w:tcBorders>
            <w:shd w:val="clear" w:color="auto" w:fill="E0E0E0"/>
          </w:tcPr>
          <w:p w14:paraId="198B5568"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115838A5"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5% Trimmed Mean</w:t>
            </w:r>
          </w:p>
        </w:tc>
        <w:tc>
          <w:tcPr>
            <w:tcW w:w="1126" w:type="dxa"/>
            <w:tcBorders>
              <w:top w:val="single" w:sz="8" w:space="0" w:color="AEAEAE"/>
              <w:left w:val="nil"/>
              <w:bottom w:val="nil"/>
              <w:right w:val="single" w:sz="8" w:space="0" w:color="E0E0E0"/>
            </w:tcBorders>
            <w:shd w:val="clear" w:color="auto" w:fill="FFFFFF"/>
          </w:tcPr>
          <w:p w14:paraId="0081DED2"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5.4629</w:t>
            </w:r>
          </w:p>
        </w:tc>
        <w:tc>
          <w:tcPr>
            <w:tcW w:w="1176" w:type="dxa"/>
            <w:tcBorders>
              <w:top w:val="single" w:sz="8" w:space="0" w:color="AEAEAE"/>
              <w:left w:val="single" w:sz="8" w:space="0" w:color="E0E0E0"/>
              <w:bottom w:val="nil"/>
              <w:right w:val="nil"/>
            </w:tcBorders>
            <w:shd w:val="clear" w:color="auto" w:fill="FFFFFF"/>
            <w:vAlign w:val="center"/>
          </w:tcPr>
          <w:p w14:paraId="114DDFB4"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6D2CBC60" w14:textId="77777777">
        <w:trPr>
          <w:cantSplit/>
        </w:trPr>
        <w:tc>
          <w:tcPr>
            <w:tcW w:w="806" w:type="dxa"/>
            <w:vMerge/>
            <w:tcBorders>
              <w:top w:val="single" w:sz="8" w:space="0" w:color="152935"/>
              <w:left w:val="nil"/>
              <w:bottom w:val="single" w:sz="8" w:space="0" w:color="152935"/>
              <w:right w:val="nil"/>
            </w:tcBorders>
            <w:shd w:val="clear" w:color="auto" w:fill="E0E0E0"/>
          </w:tcPr>
          <w:p w14:paraId="5430EEEE"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744AF667"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Median</w:t>
            </w:r>
          </w:p>
        </w:tc>
        <w:tc>
          <w:tcPr>
            <w:tcW w:w="1126" w:type="dxa"/>
            <w:tcBorders>
              <w:top w:val="single" w:sz="8" w:space="0" w:color="AEAEAE"/>
              <w:left w:val="nil"/>
              <w:bottom w:val="nil"/>
              <w:right w:val="single" w:sz="8" w:space="0" w:color="E0E0E0"/>
            </w:tcBorders>
            <w:shd w:val="clear" w:color="auto" w:fill="FFFFFF"/>
          </w:tcPr>
          <w:p w14:paraId="7ADBB45E"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5.5644</w:t>
            </w:r>
          </w:p>
        </w:tc>
        <w:tc>
          <w:tcPr>
            <w:tcW w:w="1176" w:type="dxa"/>
            <w:tcBorders>
              <w:top w:val="single" w:sz="8" w:space="0" w:color="AEAEAE"/>
              <w:left w:val="single" w:sz="8" w:space="0" w:color="E0E0E0"/>
              <w:bottom w:val="nil"/>
              <w:right w:val="nil"/>
            </w:tcBorders>
            <w:shd w:val="clear" w:color="auto" w:fill="FFFFFF"/>
            <w:vAlign w:val="center"/>
          </w:tcPr>
          <w:p w14:paraId="59A36A2A"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7E71DCFB" w14:textId="77777777">
        <w:trPr>
          <w:cantSplit/>
        </w:trPr>
        <w:tc>
          <w:tcPr>
            <w:tcW w:w="806" w:type="dxa"/>
            <w:vMerge/>
            <w:tcBorders>
              <w:top w:val="single" w:sz="8" w:space="0" w:color="152935"/>
              <w:left w:val="nil"/>
              <w:bottom w:val="single" w:sz="8" w:space="0" w:color="152935"/>
              <w:right w:val="nil"/>
            </w:tcBorders>
            <w:shd w:val="clear" w:color="auto" w:fill="E0E0E0"/>
          </w:tcPr>
          <w:p w14:paraId="68439706"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0405AD9B"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Variance</w:t>
            </w:r>
          </w:p>
        </w:tc>
        <w:tc>
          <w:tcPr>
            <w:tcW w:w="1126" w:type="dxa"/>
            <w:tcBorders>
              <w:top w:val="single" w:sz="8" w:space="0" w:color="AEAEAE"/>
              <w:left w:val="nil"/>
              <w:bottom w:val="nil"/>
              <w:right w:val="single" w:sz="8" w:space="0" w:color="E0E0E0"/>
            </w:tcBorders>
            <w:shd w:val="clear" w:color="auto" w:fill="FFFFFF"/>
          </w:tcPr>
          <w:p w14:paraId="68E1C06A"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.212</w:t>
            </w:r>
          </w:p>
        </w:tc>
        <w:tc>
          <w:tcPr>
            <w:tcW w:w="1176" w:type="dxa"/>
            <w:tcBorders>
              <w:top w:val="single" w:sz="8" w:space="0" w:color="AEAEAE"/>
              <w:left w:val="single" w:sz="8" w:space="0" w:color="E0E0E0"/>
              <w:bottom w:val="nil"/>
              <w:right w:val="nil"/>
            </w:tcBorders>
            <w:shd w:val="clear" w:color="auto" w:fill="FFFFFF"/>
            <w:vAlign w:val="center"/>
          </w:tcPr>
          <w:p w14:paraId="379F89AF"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3BAEB265" w14:textId="77777777">
        <w:trPr>
          <w:cantSplit/>
        </w:trPr>
        <w:tc>
          <w:tcPr>
            <w:tcW w:w="806" w:type="dxa"/>
            <w:vMerge/>
            <w:tcBorders>
              <w:top w:val="single" w:sz="8" w:space="0" w:color="152935"/>
              <w:left w:val="nil"/>
              <w:bottom w:val="single" w:sz="8" w:space="0" w:color="152935"/>
              <w:right w:val="nil"/>
            </w:tcBorders>
            <w:shd w:val="clear" w:color="auto" w:fill="E0E0E0"/>
          </w:tcPr>
          <w:p w14:paraId="7137844A"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79DAF581"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Std. Deviation</w:t>
            </w:r>
          </w:p>
        </w:tc>
        <w:tc>
          <w:tcPr>
            <w:tcW w:w="1126" w:type="dxa"/>
            <w:tcBorders>
              <w:top w:val="single" w:sz="8" w:space="0" w:color="AEAEAE"/>
              <w:left w:val="nil"/>
              <w:bottom w:val="nil"/>
              <w:right w:val="single" w:sz="8" w:space="0" w:color="E0E0E0"/>
            </w:tcBorders>
            <w:shd w:val="clear" w:color="auto" w:fill="FFFFFF"/>
          </w:tcPr>
          <w:p w14:paraId="600941FC"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.46074</w:t>
            </w:r>
          </w:p>
        </w:tc>
        <w:tc>
          <w:tcPr>
            <w:tcW w:w="1176" w:type="dxa"/>
            <w:tcBorders>
              <w:top w:val="single" w:sz="8" w:space="0" w:color="AEAEAE"/>
              <w:left w:val="single" w:sz="8" w:space="0" w:color="E0E0E0"/>
              <w:bottom w:val="nil"/>
              <w:right w:val="nil"/>
            </w:tcBorders>
            <w:shd w:val="clear" w:color="auto" w:fill="FFFFFF"/>
            <w:vAlign w:val="center"/>
          </w:tcPr>
          <w:p w14:paraId="5E353E95"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446F3490" w14:textId="77777777">
        <w:trPr>
          <w:cantSplit/>
        </w:trPr>
        <w:tc>
          <w:tcPr>
            <w:tcW w:w="806" w:type="dxa"/>
            <w:vMerge/>
            <w:tcBorders>
              <w:top w:val="single" w:sz="8" w:space="0" w:color="152935"/>
              <w:left w:val="nil"/>
              <w:bottom w:val="single" w:sz="8" w:space="0" w:color="152935"/>
              <w:right w:val="nil"/>
            </w:tcBorders>
            <w:shd w:val="clear" w:color="auto" w:fill="E0E0E0"/>
          </w:tcPr>
          <w:p w14:paraId="37FEA57B"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3F1F42E4"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Minimum</w:t>
            </w:r>
          </w:p>
        </w:tc>
        <w:tc>
          <w:tcPr>
            <w:tcW w:w="1126" w:type="dxa"/>
            <w:tcBorders>
              <w:top w:val="single" w:sz="8" w:space="0" w:color="AEAEAE"/>
              <w:left w:val="nil"/>
              <w:bottom w:val="nil"/>
              <w:right w:val="single" w:sz="8" w:space="0" w:color="E0E0E0"/>
            </w:tcBorders>
            <w:shd w:val="clear" w:color="auto" w:fill="FFFFFF"/>
          </w:tcPr>
          <w:p w14:paraId="2D55EB30"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4.42</w:t>
            </w:r>
          </w:p>
        </w:tc>
        <w:tc>
          <w:tcPr>
            <w:tcW w:w="1176" w:type="dxa"/>
            <w:tcBorders>
              <w:top w:val="single" w:sz="8" w:space="0" w:color="AEAEAE"/>
              <w:left w:val="single" w:sz="8" w:space="0" w:color="E0E0E0"/>
              <w:bottom w:val="nil"/>
              <w:right w:val="nil"/>
            </w:tcBorders>
            <w:shd w:val="clear" w:color="auto" w:fill="FFFFFF"/>
            <w:vAlign w:val="center"/>
          </w:tcPr>
          <w:p w14:paraId="542C596B"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066FA078" w14:textId="77777777">
        <w:trPr>
          <w:cantSplit/>
        </w:trPr>
        <w:tc>
          <w:tcPr>
            <w:tcW w:w="806" w:type="dxa"/>
            <w:vMerge/>
            <w:tcBorders>
              <w:top w:val="single" w:sz="8" w:space="0" w:color="152935"/>
              <w:left w:val="nil"/>
              <w:bottom w:val="single" w:sz="8" w:space="0" w:color="152935"/>
              <w:right w:val="nil"/>
            </w:tcBorders>
            <w:shd w:val="clear" w:color="auto" w:fill="E0E0E0"/>
          </w:tcPr>
          <w:p w14:paraId="79405838"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3485495E"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Maximum</w:t>
            </w:r>
          </w:p>
        </w:tc>
        <w:tc>
          <w:tcPr>
            <w:tcW w:w="1126" w:type="dxa"/>
            <w:tcBorders>
              <w:top w:val="single" w:sz="8" w:space="0" w:color="AEAEAE"/>
              <w:left w:val="nil"/>
              <w:bottom w:val="nil"/>
              <w:right w:val="single" w:sz="8" w:space="0" w:color="E0E0E0"/>
            </w:tcBorders>
            <w:shd w:val="clear" w:color="auto" w:fill="FFFFFF"/>
          </w:tcPr>
          <w:p w14:paraId="785C59B6"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6.17</w:t>
            </w:r>
          </w:p>
        </w:tc>
        <w:tc>
          <w:tcPr>
            <w:tcW w:w="1176" w:type="dxa"/>
            <w:tcBorders>
              <w:top w:val="single" w:sz="8" w:space="0" w:color="AEAEAE"/>
              <w:left w:val="single" w:sz="8" w:space="0" w:color="E0E0E0"/>
              <w:bottom w:val="nil"/>
              <w:right w:val="nil"/>
            </w:tcBorders>
            <w:shd w:val="clear" w:color="auto" w:fill="FFFFFF"/>
            <w:vAlign w:val="center"/>
          </w:tcPr>
          <w:p w14:paraId="09EA8EA9"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1BA27EF7" w14:textId="77777777">
        <w:trPr>
          <w:cantSplit/>
        </w:trPr>
        <w:tc>
          <w:tcPr>
            <w:tcW w:w="806" w:type="dxa"/>
            <w:vMerge/>
            <w:tcBorders>
              <w:top w:val="single" w:sz="8" w:space="0" w:color="152935"/>
              <w:left w:val="nil"/>
              <w:bottom w:val="single" w:sz="8" w:space="0" w:color="152935"/>
              <w:right w:val="nil"/>
            </w:tcBorders>
            <w:shd w:val="clear" w:color="auto" w:fill="E0E0E0"/>
          </w:tcPr>
          <w:p w14:paraId="036BE27B"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5CDC35B7"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Range</w:t>
            </w:r>
          </w:p>
        </w:tc>
        <w:tc>
          <w:tcPr>
            <w:tcW w:w="1126" w:type="dxa"/>
            <w:tcBorders>
              <w:top w:val="single" w:sz="8" w:space="0" w:color="AEAEAE"/>
              <w:left w:val="nil"/>
              <w:bottom w:val="nil"/>
              <w:right w:val="single" w:sz="8" w:space="0" w:color="E0E0E0"/>
            </w:tcBorders>
            <w:shd w:val="clear" w:color="auto" w:fill="FFFFFF"/>
          </w:tcPr>
          <w:p w14:paraId="07058DB1"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1.75</w:t>
            </w:r>
          </w:p>
        </w:tc>
        <w:tc>
          <w:tcPr>
            <w:tcW w:w="1176" w:type="dxa"/>
            <w:tcBorders>
              <w:top w:val="single" w:sz="8" w:space="0" w:color="AEAEAE"/>
              <w:left w:val="single" w:sz="8" w:space="0" w:color="E0E0E0"/>
              <w:bottom w:val="nil"/>
              <w:right w:val="nil"/>
            </w:tcBorders>
            <w:shd w:val="clear" w:color="auto" w:fill="FFFFFF"/>
            <w:vAlign w:val="center"/>
          </w:tcPr>
          <w:p w14:paraId="7B197B77"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669CAE55" w14:textId="77777777">
        <w:trPr>
          <w:cantSplit/>
        </w:trPr>
        <w:tc>
          <w:tcPr>
            <w:tcW w:w="806" w:type="dxa"/>
            <w:vMerge/>
            <w:tcBorders>
              <w:top w:val="single" w:sz="8" w:space="0" w:color="152935"/>
              <w:left w:val="nil"/>
              <w:bottom w:val="single" w:sz="8" w:space="0" w:color="152935"/>
              <w:right w:val="nil"/>
            </w:tcBorders>
            <w:shd w:val="clear" w:color="auto" w:fill="E0E0E0"/>
          </w:tcPr>
          <w:p w14:paraId="43ED9196"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0BF708C1"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Interquartile Range</w:t>
            </w:r>
          </w:p>
        </w:tc>
        <w:tc>
          <w:tcPr>
            <w:tcW w:w="1126" w:type="dxa"/>
            <w:tcBorders>
              <w:top w:val="single" w:sz="8" w:space="0" w:color="AEAEAE"/>
              <w:left w:val="nil"/>
              <w:bottom w:val="nil"/>
              <w:right w:val="single" w:sz="8" w:space="0" w:color="E0E0E0"/>
            </w:tcBorders>
            <w:shd w:val="clear" w:color="auto" w:fill="FFFFFF"/>
          </w:tcPr>
          <w:p w14:paraId="1F177EC0"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.78</w:t>
            </w:r>
          </w:p>
        </w:tc>
        <w:tc>
          <w:tcPr>
            <w:tcW w:w="1176" w:type="dxa"/>
            <w:tcBorders>
              <w:top w:val="single" w:sz="8" w:space="0" w:color="AEAEAE"/>
              <w:left w:val="single" w:sz="8" w:space="0" w:color="E0E0E0"/>
              <w:bottom w:val="nil"/>
              <w:right w:val="nil"/>
            </w:tcBorders>
            <w:shd w:val="clear" w:color="auto" w:fill="FFFFFF"/>
            <w:vAlign w:val="center"/>
          </w:tcPr>
          <w:p w14:paraId="63664CC9"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0AFC30DF" w14:textId="77777777">
        <w:trPr>
          <w:cantSplit/>
        </w:trPr>
        <w:tc>
          <w:tcPr>
            <w:tcW w:w="806" w:type="dxa"/>
            <w:vMerge/>
            <w:tcBorders>
              <w:top w:val="single" w:sz="8" w:space="0" w:color="152935"/>
              <w:left w:val="nil"/>
              <w:bottom w:val="single" w:sz="8" w:space="0" w:color="152935"/>
              <w:right w:val="nil"/>
            </w:tcBorders>
            <w:shd w:val="clear" w:color="auto" w:fill="E0E0E0"/>
          </w:tcPr>
          <w:p w14:paraId="23D8E1A0"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52547C6F"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Skewness</w:t>
            </w:r>
          </w:p>
        </w:tc>
        <w:tc>
          <w:tcPr>
            <w:tcW w:w="1126" w:type="dxa"/>
            <w:tcBorders>
              <w:top w:val="single" w:sz="8" w:space="0" w:color="AEAEAE"/>
              <w:left w:val="nil"/>
              <w:bottom w:val="nil"/>
              <w:right w:val="single" w:sz="8" w:space="0" w:color="E0E0E0"/>
            </w:tcBorders>
            <w:shd w:val="clear" w:color="auto" w:fill="FFFFFF"/>
          </w:tcPr>
          <w:p w14:paraId="0E3688D7"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-.499</w:t>
            </w:r>
          </w:p>
        </w:tc>
        <w:tc>
          <w:tcPr>
            <w:tcW w:w="1176" w:type="dxa"/>
            <w:tcBorders>
              <w:top w:val="single" w:sz="8" w:space="0" w:color="AEAEAE"/>
              <w:left w:val="single" w:sz="8" w:space="0" w:color="E0E0E0"/>
              <w:bottom w:val="nil"/>
              <w:right w:val="nil"/>
            </w:tcBorders>
            <w:shd w:val="clear" w:color="auto" w:fill="FFFFFF"/>
          </w:tcPr>
          <w:p w14:paraId="5D2C63C4"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.306</w:t>
            </w:r>
          </w:p>
        </w:tc>
      </w:tr>
      <w:tr w:rsidR="00BF050C" w:rsidRPr="00BF050C" w14:paraId="4AFE4308" w14:textId="77777777">
        <w:trPr>
          <w:cantSplit/>
        </w:trPr>
        <w:tc>
          <w:tcPr>
            <w:tcW w:w="806" w:type="dxa"/>
            <w:vMerge/>
            <w:tcBorders>
              <w:top w:val="single" w:sz="8" w:space="0" w:color="152935"/>
              <w:left w:val="nil"/>
              <w:bottom w:val="single" w:sz="8" w:space="0" w:color="152935"/>
              <w:right w:val="nil"/>
            </w:tcBorders>
            <w:shd w:val="clear" w:color="auto" w:fill="E0E0E0"/>
          </w:tcPr>
          <w:p w14:paraId="07EB8640"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4235" w:type="dxa"/>
            <w:gridSpan w:val="2"/>
            <w:tcBorders>
              <w:top w:val="single" w:sz="8" w:space="0" w:color="AEAEAE"/>
              <w:left w:val="nil"/>
              <w:bottom w:val="single" w:sz="8" w:space="0" w:color="152935"/>
              <w:right w:val="nil"/>
            </w:tcBorders>
            <w:shd w:val="clear" w:color="auto" w:fill="E0E0E0"/>
          </w:tcPr>
          <w:p w14:paraId="7189F14E"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Kurtosis</w:t>
            </w:r>
          </w:p>
        </w:tc>
        <w:tc>
          <w:tcPr>
            <w:tcW w:w="1126" w:type="dxa"/>
            <w:tcBorders>
              <w:top w:val="single" w:sz="8" w:space="0" w:color="AEAEAE"/>
              <w:left w:val="nil"/>
              <w:bottom w:val="single" w:sz="8" w:space="0" w:color="152935"/>
              <w:right w:val="single" w:sz="8" w:space="0" w:color="E0E0E0"/>
            </w:tcBorders>
            <w:shd w:val="clear" w:color="auto" w:fill="FFFFFF"/>
          </w:tcPr>
          <w:p w14:paraId="53FB360B"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-.721</w:t>
            </w:r>
          </w:p>
        </w:tc>
        <w:tc>
          <w:tcPr>
            <w:tcW w:w="1176" w:type="dxa"/>
            <w:tcBorders>
              <w:top w:val="single" w:sz="8" w:space="0" w:color="AEAEAE"/>
              <w:left w:val="single" w:sz="8" w:space="0" w:color="E0E0E0"/>
              <w:bottom w:val="single" w:sz="8" w:space="0" w:color="152935"/>
              <w:right w:val="nil"/>
            </w:tcBorders>
            <w:shd w:val="clear" w:color="auto" w:fill="FFFFFF"/>
          </w:tcPr>
          <w:p w14:paraId="675535CF"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.604</w:t>
            </w:r>
          </w:p>
        </w:tc>
      </w:tr>
    </w:tbl>
    <w:p w14:paraId="175E54EA"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18EC41AB"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tbl>
      <w:tblPr>
        <w:tblW w:w="75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07"/>
        <w:gridCol w:w="1126"/>
        <w:gridCol w:w="1126"/>
        <w:gridCol w:w="1126"/>
        <w:gridCol w:w="1126"/>
        <w:gridCol w:w="1126"/>
        <w:gridCol w:w="1126"/>
      </w:tblGrid>
      <w:tr w:rsidR="00BF050C" w:rsidRPr="00BF050C" w14:paraId="26595E2F" w14:textId="77777777">
        <w:trPr>
          <w:cantSplit/>
        </w:trPr>
        <w:tc>
          <w:tcPr>
            <w:tcW w:w="7562" w:type="dxa"/>
            <w:gridSpan w:val="7"/>
            <w:tcBorders>
              <w:top w:val="nil"/>
              <w:left w:val="nil"/>
              <w:bottom w:val="nil"/>
              <w:right w:val="nil"/>
            </w:tcBorders>
            <w:shd w:val="clear" w:color="auto" w:fill="FFFFFF"/>
            <w:vAlign w:val="center"/>
          </w:tcPr>
          <w:p w14:paraId="3A9FFA7D"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010205"/>
              </w:rPr>
            </w:pPr>
            <w:r w:rsidRPr="00BF050C">
              <w:rPr>
                <w:rFonts w:ascii="Arial" w:eastAsia="SimSun" w:hAnsi="Arial" w:cs="Arial"/>
                <w:b/>
                <w:bCs/>
                <w:color w:val="010205"/>
              </w:rPr>
              <w:t>Tests of Normality</w:t>
            </w:r>
          </w:p>
        </w:tc>
      </w:tr>
      <w:tr w:rsidR="00BF050C" w:rsidRPr="00BF050C" w14:paraId="4DD68E4D" w14:textId="77777777">
        <w:trPr>
          <w:cantSplit/>
        </w:trPr>
        <w:tc>
          <w:tcPr>
            <w:tcW w:w="806" w:type="dxa"/>
            <w:vMerge w:val="restart"/>
            <w:tcBorders>
              <w:top w:val="nil"/>
              <w:left w:val="nil"/>
              <w:bottom w:val="nil"/>
              <w:right w:val="nil"/>
            </w:tcBorders>
            <w:shd w:val="clear" w:color="auto" w:fill="FFFFFF"/>
            <w:vAlign w:val="bottom"/>
          </w:tcPr>
          <w:p w14:paraId="4D7F0392"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3378" w:type="dxa"/>
            <w:gridSpan w:val="3"/>
            <w:tcBorders>
              <w:top w:val="nil"/>
              <w:left w:val="nil"/>
              <w:bottom w:val="nil"/>
              <w:right w:val="nil"/>
            </w:tcBorders>
            <w:shd w:val="clear" w:color="auto" w:fill="FFFFFF"/>
            <w:vAlign w:val="bottom"/>
          </w:tcPr>
          <w:p w14:paraId="1CB8D15B"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Kolmogorov-Smirnov</w:t>
            </w:r>
            <w:r w:rsidRPr="00BF050C">
              <w:rPr>
                <w:rFonts w:ascii="Arial" w:eastAsia="SimSun" w:hAnsi="Arial" w:cs="Arial"/>
                <w:color w:val="264A60"/>
                <w:sz w:val="18"/>
                <w:szCs w:val="18"/>
                <w:vertAlign w:val="superscript"/>
              </w:rPr>
              <w:t>a</w:t>
            </w:r>
          </w:p>
        </w:tc>
        <w:tc>
          <w:tcPr>
            <w:tcW w:w="3378" w:type="dxa"/>
            <w:gridSpan w:val="3"/>
            <w:tcBorders>
              <w:top w:val="nil"/>
              <w:left w:val="single" w:sz="8" w:space="0" w:color="E0E0E0"/>
              <w:bottom w:val="nil"/>
              <w:right w:val="nil"/>
            </w:tcBorders>
            <w:shd w:val="clear" w:color="auto" w:fill="FFFFFF"/>
            <w:vAlign w:val="bottom"/>
          </w:tcPr>
          <w:p w14:paraId="79445750"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Shapiro-Wilk</w:t>
            </w:r>
          </w:p>
        </w:tc>
      </w:tr>
      <w:tr w:rsidR="00BF050C" w:rsidRPr="00BF050C" w14:paraId="0BF9DDEE" w14:textId="77777777">
        <w:trPr>
          <w:cantSplit/>
        </w:trPr>
        <w:tc>
          <w:tcPr>
            <w:tcW w:w="806" w:type="dxa"/>
            <w:vMerge/>
            <w:tcBorders>
              <w:top w:val="nil"/>
              <w:left w:val="nil"/>
              <w:bottom w:val="nil"/>
              <w:right w:val="nil"/>
            </w:tcBorders>
            <w:shd w:val="clear" w:color="auto" w:fill="FFFFFF"/>
            <w:vAlign w:val="bottom"/>
          </w:tcPr>
          <w:p w14:paraId="3B1DEBBA"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264A60"/>
                <w:sz w:val="18"/>
                <w:szCs w:val="18"/>
              </w:rPr>
            </w:pPr>
          </w:p>
        </w:tc>
        <w:tc>
          <w:tcPr>
            <w:tcW w:w="1126" w:type="dxa"/>
            <w:tcBorders>
              <w:top w:val="nil"/>
              <w:left w:val="nil"/>
              <w:bottom w:val="single" w:sz="8" w:space="0" w:color="152935"/>
              <w:right w:val="single" w:sz="8" w:space="0" w:color="E0E0E0"/>
            </w:tcBorders>
            <w:shd w:val="clear" w:color="auto" w:fill="FFFFFF"/>
            <w:vAlign w:val="bottom"/>
          </w:tcPr>
          <w:p w14:paraId="05E90A8D"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Statistic</w:t>
            </w:r>
          </w:p>
        </w:tc>
        <w:tc>
          <w:tcPr>
            <w:tcW w:w="1126" w:type="dxa"/>
            <w:tcBorders>
              <w:top w:val="nil"/>
              <w:left w:val="single" w:sz="8" w:space="0" w:color="E0E0E0"/>
              <w:bottom w:val="single" w:sz="8" w:space="0" w:color="152935"/>
              <w:right w:val="single" w:sz="8" w:space="0" w:color="E0E0E0"/>
            </w:tcBorders>
            <w:shd w:val="clear" w:color="auto" w:fill="FFFFFF"/>
            <w:vAlign w:val="bottom"/>
          </w:tcPr>
          <w:p w14:paraId="58467DBE"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df</w:t>
            </w:r>
          </w:p>
        </w:tc>
        <w:tc>
          <w:tcPr>
            <w:tcW w:w="1126" w:type="dxa"/>
            <w:tcBorders>
              <w:top w:val="nil"/>
              <w:left w:val="single" w:sz="8" w:space="0" w:color="E0E0E0"/>
              <w:bottom w:val="single" w:sz="8" w:space="0" w:color="152935"/>
              <w:right w:val="nil"/>
            </w:tcBorders>
            <w:shd w:val="clear" w:color="auto" w:fill="FFFFFF"/>
            <w:vAlign w:val="bottom"/>
          </w:tcPr>
          <w:p w14:paraId="2352B68B"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Sig.</w:t>
            </w:r>
          </w:p>
        </w:tc>
        <w:tc>
          <w:tcPr>
            <w:tcW w:w="1126" w:type="dxa"/>
            <w:tcBorders>
              <w:top w:val="nil"/>
              <w:left w:val="single" w:sz="8" w:space="0" w:color="E0E0E0"/>
              <w:bottom w:val="single" w:sz="8" w:space="0" w:color="152935"/>
              <w:right w:val="single" w:sz="8" w:space="0" w:color="E0E0E0"/>
            </w:tcBorders>
            <w:shd w:val="clear" w:color="auto" w:fill="FFFFFF"/>
            <w:vAlign w:val="bottom"/>
          </w:tcPr>
          <w:p w14:paraId="3731C824"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Statistic</w:t>
            </w:r>
          </w:p>
        </w:tc>
        <w:tc>
          <w:tcPr>
            <w:tcW w:w="1126" w:type="dxa"/>
            <w:tcBorders>
              <w:top w:val="nil"/>
              <w:left w:val="single" w:sz="8" w:space="0" w:color="E0E0E0"/>
              <w:bottom w:val="single" w:sz="8" w:space="0" w:color="152935"/>
              <w:right w:val="single" w:sz="8" w:space="0" w:color="E0E0E0"/>
            </w:tcBorders>
            <w:shd w:val="clear" w:color="auto" w:fill="FFFFFF"/>
            <w:vAlign w:val="bottom"/>
          </w:tcPr>
          <w:p w14:paraId="0BD7D829"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df</w:t>
            </w:r>
          </w:p>
        </w:tc>
        <w:tc>
          <w:tcPr>
            <w:tcW w:w="1126" w:type="dxa"/>
            <w:tcBorders>
              <w:top w:val="nil"/>
              <w:left w:val="single" w:sz="8" w:space="0" w:color="E0E0E0"/>
              <w:bottom w:val="single" w:sz="8" w:space="0" w:color="152935"/>
              <w:right w:val="nil"/>
            </w:tcBorders>
            <w:shd w:val="clear" w:color="auto" w:fill="FFFFFF"/>
            <w:vAlign w:val="bottom"/>
          </w:tcPr>
          <w:p w14:paraId="728C5084"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Sig.</w:t>
            </w:r>
          </w:p>
        </w:tc>
      </w:tr>
      <w:tr w:rsidR="00BF050C" w:rsidRPr="00BF050C" w14:paraId="16669404" w14:textId="77777777">
        <w:trPr>
          <w:cantSplit/>
        </w:trPr>
        <w:tc>
          <w:tcPr>
            <w:tcW w:w="806" w:type="dxa"/>
            <w:tcBorders>
              <w:top w:val="single" w:sz="8" w:space="0" w:color="152935"/>
              <w:left w:val="nil"/>
              <w:bottom w:val="single" w:sz="8" w:space="0" w:color="152935"/>
              <w:right w:val="nil"/>
            </w:tcBorders>
            <w:shd w:val="clear" w:color="auto" w:fill="E0E0E0"/>
          </w:tcPr>
          <w:p w14:paraId="0BC39E40"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ADE</w:t>
            </w:r>
          </w:p>
        </w:tc>
        <w:tc>
          <w:tcPr>
            <w:tcW w:w="1126" w:type="dxa"/>
            <w:tcBorders>
              <w:top w:val="single" w:sz="8" w:space="0" w:color="152935"/>
              <w:left w:val="nil"/>
              <w:bottom w:val="single" w:sz="8" w:space="0" w:color="152935"/>
              <w:right w:val="single" w:sz="8" w:space="0" w:color="E0E0E0"/>
            </w:tcBorders>
            <w:shd w:val="clear" w:color="auto" w:fill="FFFFFF"/>
          </w:tcPr>
          <w:p w14:paraId="6A9AA5DC"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.112</w:t>
            </w:r>
          </w:p>
        </w:tc>
        <w:tc>
          <w:tcPr>
            <w:tcW w:w="1126" w:type="dxa"/>
            <w:tcBorders>
              <w:top w:val="single" w:sz="8" w:space="0" w:color="152935"/>
              <w:left w:val="single" w:sz="8" w:space="0" w:color="E0E0E0"/>
              <w:bottom w:val="single" w:sz="8" w:space="0" w:color="152935"/>
              <w:right w:val="single" w:sz="8" w:space="0" w:color="E0E0E0"/>
            </w:tcBorders>
            <w:shd w:val="clear" w:color="auto" w:fill="FFFFFF"/>
          </w:tcPr>
          <w:p w14:paraId="49D9D3FE"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61</w:t>
            </w:r>
          </w:p>
        </w:tc>
        <w:tc>
          <w:tcPr>
            <w:tcW w:w="1126" w:type="dxa"/>
            <w:tcBorders>
              <w:top w:val="single" w:sz="8" w:space="0" w:color="152935"/>
              <w:left w:val="single" w:sz="8" w:space="0" w:color="E0E0E0"/>
              <w:bottom w:val="single" w:sz="8" w:space="0" w:color="152935"/>
              <w:right w:val="nil"/>
            </w:tcBorders>
            <w:shd w:val="clear" w:color="auto" w:fill="FFFFFF"/>
          </w:tcPr>
          <w:p w14:paraId="44A6A6C4"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.057</w:t>
            </w:r>
          </w:p>
        </w:tc>
        <w:tc>
          <w:tcPr>
            <w:tcW w:w="1126" w:type="dxa"/>
            <w:tcBorders>
              <w:top w:val="single" w:sz="8" w:space="0" w:color="152935"/>
              <w:left w:val="single" w:sz="8" w:space="0" w:color="E0E0E0"/>
              <w:bottom w:val="single" w:sz="8" w:space="0" w:color="152935"/>
              <w:right w:val="single" w:sz="8" w:space="0" w:color="E0E0E0"/>
            </w:tcBorders>
            <w:shd w:val="clear" w:color="auto" w:fill="FFFFFF"/>
          </w:tcPr>
          <w:p w14:paraId="485891D5"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.946</w:t>
            </w:r>
          </w:p>
        </w:tc>
        <w:tc>
          <w:tcPr>
            <w:tcW w:w="1126" w:type="dxa"/>
            <w:tcBorders>
              <w:top w:val="single" w:sz="8" w:space="0" w:color="152935"/>
              <w:left w:val="single" w:sz="8" w:space="0" w:color="E0E0E0"/>
              <w:bottom w:val="single" w:sz="8" w:space="0" w:color="152935"/>
              <w:right w:val="single" w:sz="8" w:space="0" w:color="E0E0E0"/>
            </w:tcBorders>
            <w:shd w:val="clear" w:color="auto" w:fill="FFFFFF"/>
          </w:tcPr>
          <w:p w14:paraId="08DF700C"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61</w:t>
            </w:r>
          </w:p>
        </w:tc>
        <w:tc>
          <w:tcPr>
            <w:tcW w:w="1126" w:type="dxa"/>
            <w:tcBorders>
              <w:top w:val="single" w:sz="8" w:space="0" w:color="152935"/>
              <w:left w:val="single" w:sz="8" w:space="0" w:color="E0E0E0"/>
              <w:bottom w:val="single" w:sz="8" w:space="0" w:color="152935"/>
              <w:right w:val="nil"/>
            </w:tcBorders>
            <w:shd w:val="clear" w:color="auto" w:fill="FFFFFF"/>
          </w:tcPr>
          <w:p w14:paraId="7EDA43C3" w14:textId="13231736"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.09</w:t>
            </w:r>
          </w:p>
        </w:tc>
      </w:tr>
      <w:tr w:rsidR="00BF050C" w:rsidRPr="00BF050C" w14:paraId="287CB0B8" w14:textId="77777777">
        <w:trPr>
          <w:cantSplit/>
        </w:trPr>
        <w:tc>
          <w:tcPr>
            <w:tcW w:w="7562" w:type="dxa"/>
            <w:gridSpan w:val="7"/>
            <w:tcBorders>
              <w:top w:val="nil"/>
              <w:left w:val="nil"/>
              <w:bottom w:val="nil"/>
              <w:right w:val="nil"/>
            </w:tcBorders>
            <w:shd w:val="clear" w:color="auto" w:fill="FFFFFF"/>
          </w:tcPr>
          <w:p w14:paraId="784920D0"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a. Lilliefors Significance Correction</w:t>
            </w:r>
          </w:p>
        </w:tc>
      </w:tr>
    </w:tbl>
    <w:p w14:paraId="52943EB6"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1C36AAFB"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784A1102"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b/>
          <w:bCs/>
          <w:color w:val="000000"/>
          <w:sz w:val="26"/>
          <w:szCs w:val="26"/>
        </w:rPr>
      </w:pPr>
    </w:p>
    <w:p w14:paraId="4C7B71E9"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b/>
          <w:bCs/>
          <w:color w:val="000000"/>
          <w:sz w:val="26"/>
          <w:szCs w:val="26"/>
        </w:rPr>
      </w:pPr>
      <w:r w:rsidRPr="00BF050C">
        <w:rPr>
          <w:rFonts w:ascii="Arial" w:eastAsia="SimSun" w:hAnsi="Arial" w:cs="Arial"/>
          <w:b/>
          <w:bCs/>
          <w:color w:val="000000"/>
          <w:sz w:val="26"/>
          <w:szCs w:val="26"/>
        </w:rPr>
        <w:t>ADE</w:t>
      </w:r>
    </w:p>
    <w:p w14:paraId="36CDDEF9"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00000"/>
          <w:sz w:val="26"/>
          <w:szCs w:val="26"/>
        </w:rPr>
      </w:pPr>
    </w:p>
    <w:p w14:paraId="171B0B3F" w14:textId="2348232C" w:rsidR="002F7E6C" w:rsidRDefault="002F7E6C" w:rsidP="002F7E6C">
      <w:pPr>
        <w:autoSpaceDE w:val="0"/>
        <w:autoSpaceDN w:val="0"/>
        <w:adjustRightInd w:val="0"/>
        <w:spacing w:before="0" w:beforeAutospacing="0" w:after="0" w:line="240" w:lineRule="auto"/>
        <w:rPr>
          <w:rFonts w:ascii="Times New Roman" w:eastAsia="SimSun" w:hAnsi="Times New Roman"/>
          <w:sz w:val="24"/>
          <w:szCs w:val="24"/>
        </w:rPr>
      </w:pPr>
      <w:r>
        <w:rPr>
          <w:rFonts w:ascii="Times New Roman" w:eastAsia="SimSun" w:hAnsi="Times New Roman"/>
          <w:noProof/>
          <w:sz w:val="24"/>
          <w:szCs w:val="24"/>
        </w:rPr>
        <w:drawing>
          <wp:inline distT="0" distB="0" distL="0" distR="0" wp14:anchorId="315B500F" wp14:editId="2D18ACF2">
            <wp:extent cx="5943600" cy="3396974"/>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45233" cy="3397907"/>
                    </a:xfrm>
                    <a:prstGeom prst="rect">
                      <a:avLst/>
                    </a:prstGeom>
                    <a:noFill/>
                    <a:ln>
                      <a:noFill/>
                    </a:ln>
                  </pic:spPr>
                </pic:pic>
              </a:graphicData>
            </a:graphic>
          </wp:inline>
        </w:drawing>
      </w:r>
    </w:p>
    <w:p w14:paraId="038B216B" w14:textId="77777777" w:rsidR="002F7E6C" w:rsidRDefault="002F7E6C" w:rsidP="002F7E6C">
      <w:pPr>
        <w:autoSpaceDE w:val="0"/>
        <w:autoSpaceDN w:val="0"/>
        <w:adjustRightInd w:val="0"/>
        <w:spacing w:before="0" w:beforeAutospacing="0" w:after="0" w:line="240" w:lineRule="auto"/>
        <w:rPr>
          <w:rFonts w:ascii="Times New Roman" w:eastAsia="SimSun" w:hAnsi="Times New Roman"/>
          <w:sz w:val="24"/>
          <w:szCs w:val="24"/>
        </w:rPr>
      </w:pPr>
    </w:p>
    <w:p w14:paraId="0B8DBBD3" w14:textId="77777777" w:rsidR="002F7E6C" w:rsidRDefault="002F7E6C" w:rsidP="002F7E6C">
      <w:pPr>
        <w:autoSpaceDE w:val="0"/>
        <w:autoSpaceDN w:val="0"/>
        <w:adjustRightInd w:val="0"/>
        <w:spacing w:before="0" w:beforeAutospacing="0" w:after="0" w:line="400" w:lineRule="atLeast"/>
        <w:rPr>
          <w:rFonts w:ascii="Times New Roman" w:eastAsia="SimSun" w:hAnsi="Times New Roman"/>
          <w:sz w:val="24"/>
          <w:szCs w:val="24"/>
        </w:rPr>
      </w:pPr>
    </w:p>
    <w:p w14:paraId="12EFBC71"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121D078E" w14:textId="55032F53"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r w:rsidRPr="00BF050C">
        <w:rPr>
          <w:rFonts w:ascii="Times New Roman" w:eastAsia="SimSun" w:hAnsi="Times New Roman"/>
          <w:noProof/>
          <w:sz w:val="24"/>
          <w:szCs w:val="24"/>
        </w:rPr>
        <w:drawing>
          <wp:inline distT="0" distB="0" distL="0" distR="0" wp14:anchorId="28618508" wp14:editId="3B2351BA">
            <wp:extent cx="5943600" cy="3500120"/>
            <wp:effectExtent l="0" t="0" r="0" b="508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43600" cy="3500120"/>
                    </a:xfrm>
                    <a:prstGeom prst="rect">
                      <a:avLst/>
                    </a:prstGeom>
                    <a:noFill/>
                    <a:ln>
                      <a:noFill/>
                    </a:ln>
                  </pic:spPr>
                </pic:pic>
              </a:graphicData>
            </a:graphic>
          </wp:inline>
        </w:drawing>
      </w:r>
    </w:p>
    <w:p w14:paraId="7EB79784"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p w14:paraId="643CA759"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05ED000A"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70273906"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b/>
          <w:bCs/>
          <w:color w:val="000000"/>
          <w:sz w:val="26"/>
          <w:szCs w:val="26"/>
        </w:rPr>
      </w:pPr>
    </w:p>
    <w:p w14:paraId="2BC3A0A1"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b/>
          <w:bCs/>
          <w:color w:val="000000"/>
          <w:sz w:val="26"/>
          <w:szCs w:val="26"/>
        </w:rPr>
      </w:pPr>
      <w:r w:rsidRPr="00BF050C">
        <w:rPr>
          <w:rFonts w:ascii="Arial" w:eastAsia="SimSun" w:hAnsi="Arial" w:cs="Arial"/>
          <w:b/>
          <w:bCs/>
          <w:color w:val="000000"/>
          <w:sz w:val="26"/>
          <w:szCs w:val="26"/>
        </w:rPr>
        <w:t>Explore</w:t>
      </w:r>
    </w:p>
    <w:p w14:paraId="0AF6074D"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00000"/>
          <w:sz w:val="26"/>
          <w:szCs w:val="26"/>
        </w:rPr>
      </w:pPr>
    </w:p>
    <w:p w14:paraId="1B82BB0A"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014E2C9A"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tbl>
      <w:tblPr>
        <w:tblW w:w="8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30"/>
        <w:gridCol w:w="2718"/>
        <w:gridCol w:w="2752"/>
      </w:tblGrid>
      <w:tr w:rsidR="00BF050C" w:rsidRPr="00BF050C" w14:paraId="58C1E98D" w14:textId="77777777">
        <w:trPr>
          <w:cantSplit/>
        </w:trPr>
        <w:tc>
          <w:tcPr>
            <w:tcW w:w="7998" w:type="dxa"/>
            <w:gridSpan w:val="3"/>
            <w:tcBorders>
              <w:top w:val="nil"/>
              <w:left w:val="nil"/>
              <w:bottom w:val="nil"/>
              <w:right w:val="nil"/>
            </w:tcBorders>
            <w:shd w:val="clear" w:color="auto" w:fill="FFFFFF"/>
            <w:vAlign w:val="center"/>
          </w:tcPr>
          <w:p w14:paraId="2F11CBBD"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010205"/>
              </w:rPr>
            </w:pPr>
            <w:r w:rsidRPr="00BF050C">
              <w:rPr>
                <w:rFonts w:ascii="Arial" w:eastAsia="SimSun" w:hAnsi="Arial" w:cs="Arial"/>
                <w:b/>
                <w:bCs/>
                <w:color w:val="010205"/>
              </w:rPr>
              <w:t>Notes</w:t>
            </w:r>
          </w:p>
        </w:tc>
      </w:tr>
      <w:tr w:rsidR="00BF050C" w:rsidRPr="00BF050C" w14:paraId="75E9BE1B" w14:textId="77777777">
        <w:trPr>
          <w:cantSplit/>
        </w:trPr>
        <w:tc>
          <w:tcPr>
            <w:tcW w:w="5247" w:type="dxa"/>
            <w:gridSpan w:val="2"/>
            <w:tcBorders>
              <w:top w:val="nil"/>
              <w:left w:val="nil"/>
              <w:bottom w:val="single" w:sz="8" w:space="0" w:color="AEAEAE"/>
              <w:right w:val="nil"/>
            </w:tcBorders>
            <w:shd w:val="clear" w:color="auto" w:fill="E0E0E0"/>
          </w:tcPr>
          <w:p w14:paraId="2229AE0A"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Output Created</w:t>
            </w:r>
          </w:p>
        </w:tc>
        <w:tc>
          <w:tcPr>
            <w:tcW w:w="2751" w:type="dxa"/>
            <w:tcBorders>
              <w:top w:val="nil"/>
              <w:left w:val="nil"/>
              <w:bottom w:val="single" w:sz="8" w:space="0" w:color="AEAEAE"/>
              <w:right w:val="nil"/>
            </w:tcBorders>
            <w:shd w:val="clear" w:color="auto" w:fill="FFFFFF"/>
          </w:tcPr>
          <w:p w14:paraId="34066F54"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10-JUL-2023 15:08:54</w:t>
            </w:r>
          </w:p>
        </w:tc>
      </w:tr>
      <w:tr w:rsidR="00BF050C" w:rsidRPr="00BF050C" w14:paraId="25803630" w14:textId="77777777">
        <w:trPr>
          <w:cantSplit/>
        </w:trPr>
        <w:tc>
          <w:tcPr>
            <w:tcW w:w="5247" w:type="dxa"/>
            <w:gridSpan w:val="2"/>
            <w:tcBorders>
              <w:top w:val="single" w:sz="8" w:space="0" w:color="AEAEAE"/>
              <w:left w:val="nil"/>
              <w:bottom w:val="single" w:sz="8" w:space="0" w:color="AEAEAE"/>
              <w:right w:val="nil"/>
            </w:tcBorders>
            <w:shd w:val="clear" w:color="auto" w:fill="E0E0E0"/>
          </w:tcPr>
          <w:p w14:paraId="232F14C9"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Comments</w:t>
            </w:r>
          </w:p>
        </w:tc>
        <w:tc>
          <w:tcPr>
            <w:tcW w:w="2751" w:type="dxa"/>
            <w:tcBorders>
              <w:top w:val="single" w:sz="8" w:space="0" w:color="AEAEAE"/>
              <w:left w:val="nil"/>
              <w:bottom w:val="single" w:sz="8" w:space="0" w:color="AEAEAE"/>
              <w:right w:val="nil"/>
            </w:tcBorders>
            <w:shd w:val="clear" w:color="auto" w:fill="FFFFFF"/>
          </w:tcPr>
          <w:p w14:paraId="603D29FA"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639D0040" w14:textId="77777777">
        <w:trPr>
          <w:cantSplit/>
        </w:trPr>
        <w:tc>
          <w:tcPr>
            <w:tcW w:w="2530" w:type="dxa"/>
            <w:vMerge w:val="restart"/>
            <w:tcBorders>
              <w:top w:val="single" w:sz="8" w:space="0" w:color="AEAEAE"/>
              <w:left w:val="nil"/>
              <w:bottom w:val="single" w:sz="8" w:space="0" w:color="AEAEAE"/>
              <w:right w:val="nil"/>
            </w:tcBorders>
            <w:shd w:val="clear" w:color="auto" w:fill="E0E0E0"/>
          </w:tcPr>
          <w:p w14:paraId="42AB8529"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Input</w:t>
            </w:r>
          </w:p>
        </w:tc>
        <w:tc>
          <w:tcPr>
            <w:tcW w:w="2717" w:type="dxa"/>
            <w:tcBorders>
              <w:top w:val="single" w:sz="8" w:space="0" w:color="AEAEAE"/>
              <w:left w:val="nil"/>
              <w:bottom w:val="single" w:sz="8" w:space="0" w:color="AEAEAE"/>
              <w:right w:val="nil"/>
            </w:tcBorders>
            <w:shd w:val="clear" w:color="auto" w:fill="E0E0E0"/>
          </w:tcPr>
          <w:p w14:paraId="492058CD"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Data</w:t>
            </w:r>
          </w:p>
        </w:tc>
        <w:tc>
          <w:tcPr>
            <w:tcW w:w="2751" w:type="dxa"/>
            <w:tcBorders>
              <w:top w:val="single" w:sz="8" w:space="0" w:color="AEAEAE"/>
              <w:left w:val="nil"/>
              <w:bottom w:val="single" w:sz="8" w:space="0" w:color="AEAEAE"/>
              <w:right w:val="nil"/>
            </w:tcBorders>
            <w:shd w:val="clear" w:color="auto" w:fill="FFFFFF"/>
          </w:tcPr>
          <w:p w14:paraId="78FB8151"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D:\OGUNTUASEPhD DataLatest.sav</w:t>
            </w:r>
          </w:p>
        </w:tc>
      </w:tr>
      <w:tr w:rsidR="00BF050C" w:rsidRPr="00BF050C" w14:paraId="00D704C7" w14:textId="77777777">
        <w:trPr>
          <w:cantSplit/>
        </w:trPr>
        <w:tc>
          <w:tcPr>
            <w:tcW w:w="2530" w:type="dxa"/>
            <w:vMerge/>
            <w:tcBorders>
              <w:top w:val="single" w:sz="8" w:space="0" w:color="AEAEAE"/>
              <w:left w:val="nil"/>
              <w:bottom w:val="single" w:sz="8" w:space="0" w:color="AEAEAE"/>
              <w:right w:val="nil"/>
            </w:tcBorders>
            <w:shd w:val="clear" w:color="auto" w:fill="E0E0E0"/>
          </w:tcPr>
          <w:p w14:paraId="191F92F6"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6B559692"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Active Dataset</w:t>
            </w:r>
          </w:p>
        </w:tc>
        <w:tc>
          <w:tcPr>
            <w:tcW w:w="2751" w:type="dxa"/>
            <w:tcBorders>
              <w:top w:val="single" w:sz="8" w:space="0" w:color="AEAEAE"/>
              <w:left w:val="nil"/>
              <w:bottom w:val="single" w:sz="8" w:space="0" w:color="AEAEAE"/>
              <w:right w:val="nil"/>
            </w:tcBorders>
            <w:shd w:val="clear" w:color="auto" w:fill="FFFFFF"/>
          </w:tcPr>
          <w:p w14:paraId="4D7E4983"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DataSet2</w:t>
            </w:r>
          </w:p>
        </w:tc>
      </w:tr>
      <w:tr w:rsidR="00BF050C" w:rsidRPr="00BF050C" w14:paraId="67F0821E" w14:textId="77777777">
        <w:trPr>
          <w:cantSplit/>
        </w:trPr>
        <w:tc>
          <w:tcPr>
            <w:tcW w:w="2530" w:type="dxa"/>
            <w:vMerge/>
            <w:tcBorders>
              <w:top w:val="single" w:sz="8" w:space="0" w:color="AEAEAE"/>
              <w:left w:val="nil"/>
              <w:bottom w:val="single" w:sz="8" w:space="0" w:color="AEAEAE"/>
              <w:right w:val="nil"/>
            </w:tcBorders>
            <w:shd w:val="clear" w:color="auto" w:fill="E0E0E0"/>
          </w:tcPr>
          <w:p w14:paraId="53DF0622"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2DFB16E7"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Filter</w:t>
            </w:r>
          </w:p>
        </w:tc>
        <w:tc>
          <w:tcPr>
            <w:tcW w:w="2751" w:type="dxa"/>
            <w:tcBorders>
              <w:top w:val="single" w:sz="8" w:space="0" w:color="AEAEAE"/>
              <w:left w:val="nil"/>
              <w:bottom w:val="single" w:sz="8" w:space="0" w:color="AEAEAE"/>
              <w:right w:val="nil"/>
            </w:tcBorders>
            <w:shd w:val="clear" w:color="auto" w:fill="FFFFFF"/>
          </w:tcPr>
          <w:p w14:paraId="14AA64FA"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&lt;none&gt;</w:t>
            </w:r>
          </w:p>
        </w:tc>
      </w:tr>
      <w:tr w:rsidR="00BF050C" w:rsidRPr="00BF050C" w14:paraId="2006E691" w14:textId="77777777">
        <w:trPr>
          <w:cantSplit/>
        </w:trPr>
        <w:tc>
          <w:tcPr>
            <w:tcW w:w="2530" w:type="dxa"/>
            <w:vMerge/>
            <w:tcBorders>
              <w:top w:val="single" w:sz="8" w:space="0" w:color="AEAEAE"/>
              <w:left w:val="nil"/>
              <w:bottom w:val="single" w:sz="8" w:space="0" w:color="AEAEAE"/>
              <w:right w:val="nil"/>
            </w:tcBorders>
            <w:shd w:val="clear" w:color="auto" w:fill="E0E0E0"/>
          </w:tcPr>
          <w:p w14:paraId="10BC94B0"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2DA0EAF9"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Weight</w:t>
            </w:r>
          </w:p>
        </w:tc>
        <w:tc>
          <w:tcPr>
            <w:tcW w:w="2751" w:type="dxa"/>
            <w:tcBorders>
              <w:top w:val="single" w:sz="8" w:space="0" w:color="AEAEAE"/>
              <w:left w:val="nil"/>
              <w:bottom w:val="single" w:sz="8" w:space="0" w:color="AEAEAE"/>
              <w:right w:val="nil"/>
            </w:tcBorders>
            <w:shd w:val="clear" w:color="auto" w:fill="FFFFFF"/>
          </w:tcPr>
          <w:p w14:paraId="11630D6E"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&lt;none&gt;</w:t>
            </w:r>
          </w:p>
        </w:tc>
      </w:tr>
      <w:tr w:rsidR="00BF050C" w:rsidRPr="00BF050C" w14:paraId="2DC819FD" w14:textId="77777777">
        <w:trPr>
          <w:cantSplit/>
        </w:trPr>
        <w:tc>
          <w:tcPr>
            <w:tcW w:w="2530" w:type="dxa"/>
            <w:vMerge/>
            <w:tcBorders>
              <w:top w:val="single" w:sz="8" w:space="0" w:color="AEAEAE"/>
              <w:left w:val="nil"/>
              <w:bottom w:val="single" w:sz="8" w:space="0" w:color="AEAEAE"/>
              <w:right w:val="nil"/>
            </w:tcBorders>
            <w:shd w:val="clear" w:color="auto" w:fill="E0E0E0"/>
          </w:tcPr>
          <w:p w14:paraId="43C80598"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6B8B658B"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Split File</w:t>
            </w:r>
          </w:p>
        </w:tc>
        <w:tc>
          <w:tcPr>
            <w:tcW w:w="2751" w:type="dxa"/>
            <w:tcBorders>
              <w:top w:val="single" w:sz="8" w:space="0" w:color="AEAEAE"/>
              <w:left w:val="nil"/>
              <w:bottom w:val="single" w:sz="8" w:space="0" w:color="AEAEAE"/>
              <w:right w:val="nil"/>
            </w:tcBorders>
            <w:shd w:val="clear" w:color="auto" w:fill="FFFFFF"/>
          </w:tcPr>
          <w:p w14:paraId="5DC370B8"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&lt;none&gt;</w:t>
            </w:r>
          </w:p>
        </w:tc>
      </w:tr>
      <w:tr w:rsidR="00BF050C" w:rsidRPr="00BF050C" w14:paraId="6B02B927" w14:textId="77777777">
        <w:trPr>
          <w:cantSplit/>
        </w:trPr>
        <w:tc>
          <w:tcPr>
            <w:tcW w:w="2530" w:type="dxa"/>
            <w:vMerge/>
            <w:tcBorders>
              <w:top w:val="single" w:sz="8" w:space="0" w:color="AEAEAE"/>
              <w:left w:val="nil"/>
              <w:bottom w:val="single" w:sz="8" w:space="0" w:color="AEAEAE"/>
              <w:right w:val="nil"/>
            </w:tcBorders>
            <w:shd w:val="clear" w:color="auto" w:fill="E0E0E0"/>
          </w:tcPr>
          <w:p w14:paraId="7099BBE6"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54CA6136"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N of Rows in Working Data File</w:t>
            </w:r>
          </w:p>
        </w:tc>
        <w:tc>
          <w:tcPr>
            <w:tcW w:w="2751" w:type="dxa"/>
            <w:tcBorders>
              <w:top w:val="single" w:sz="8" w:space="0" w:color="AEAEAE"/>
              <w:left w:val="nil"/>
              <w:bottom w:val="single" w:sz="8" w:space="0" w:color="AEAEAE"/>
              <w:right w:val="nil"/>
            </w:tcBorders>
            <w:shd w:val="clear" w:color="auto" w:fill="FFFFFF"/>
          </w:tcPr>
          <w:p w14:paraId="73003BCA"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364</w:t>
            </w:r>
          </w:p>
        </w:tc>
      </w:tr>
      <w:tr w:rsidR="00BF050C" w:rsidRPr="00BF050C" w14:paraId="048BD290" w14:textId="77777777">
        <w:trPr>
          <w:cantSplit/>
        </w:trPr>
        <w:tc>
          <w:tcPr>
            <w:tcW w:w="2530" w:type="dxa"/>
            <w:vMerge w:val="restart"/>
            <w:tcBorders>
              <w:top w:val="single" w:sz="8" w:space="0" w:color="AEAEAE"/>
              <w:left w:val="nil"/>
              <w:bottom w:val="single" w:sz="8" w:space="0" w:color="AEAEAE"/>
              <w:right w:val="nil"/>
            </w:tcBorders>
            <w:shd w:val="clear" w:color="auto" w:fill="E0E0E0"/>
          </w:tcPr>
          <w:p w14:paraId="62860846"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Missing Value Handling</w:t>
            </w:r>
          </w:p>
        </w:tc>
        <w:tc>
          <w:tcPr>
            <w:tcW w:w="2717" w:type="dxa"/>
            <w:tcBorders>
              <w:top w:val="single" w:sz="8" w:space="0" w:color="AEAEAE"/>
              <w:left w:val="nil"/>
              <w:bottom w:val="single" w:sz="8" w:space="0" w:color="AEAEAE"/>
              <w:right w:val="nil"/>
            </w:tcBorders>
            <w:shd w:val="clear" w:color="auto" w:fill="E0E0E0"/>
          </w:tcPr>
          <w:p w14:paraId="4AF8500D"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Definition of Missing</w:t>
            </w:r>
          </w:p>
        </w:tc>
        <w:tc>
          <w:tcPr>
            <w:tcW w:w="2751" w:type="dxa"/>
            <w:tcBorders>
              <w:top w:val="single" w:sz="8" w:space="0" w:color="AEAEAE"/>
              <w:left w:val="nil"/>
              <w:bottom w:val="single" w:sz="8" w:space="0" w:color="AEAEAE"/>
              <w:right w:val="nil"/>
            </w:tcBorders>
            <w:shd w:val="clear" w:color="auto" w:fill="FFFFFF"/>
          </w:tcPr>
          <w:p w14:paraId="3323EEC5"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User-defined missing values for dependent variables are treated as missing.</w:t>
            </w:r>
          </w:p>
        </w:tc>
      </w:tr>
      <w:tr w:rsidR="00BF050C" w:rsidRPr="00BF050C" w14:paraId="3E7A7F94" w14:textId="77777777">
        <w:trPr>
          <w:cantSplit/>
        </w:trPr>
        <w:tc>
          <w:tcPr>
            <w:tcW w:w="2530" w:type="dxa"/>
            <w:vMerge/>
            <w:tcBorders>
              <w:top w:val="single" w:sz="8" w:space="0" w:color="AEAEAE"/>
              <w:left w:val="nil"/>
              <w:bottom w:val="single" w:sz="8" w:space="0" w:color="AEAEAE"/>
              <w:right w:val="nil"/>
            </w:tcBorders>
            <w:shd w:val="clear" w:color="auto" w:fill="E0E0E0"/>
          </w:tcPr>
          <w:p w14:paraId="03198D5F"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06512BB0"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Cases Used</w:t>
            </w:r>
          </w:p>
        </w:tc>
        <w:tc>
          <w:tcPr>
            <w:tcW w:w="2751" w:type="dxa"/>
            <w:tcBorders>
              <w:top w:val="single" w:sz="8" w:space="0" w:color="AEAEAE"/>
              <w:left w:val="nil"/>
              <w:bottom w:val="single" w:sz="8" w:space="0" w:color="AEAEAE"/>
              <w:right w:val="nil"/>
            </w:tcBorders>
            <w:shd w:val="clear" w:color="auto" w:fill="FFFFFF"/>
          </w:tcPr>
          <w:p w14:paraId="7305BEED"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Statistics are based on cases with no missing values for any dependent variable or factor used.</w:t>
            </w:r>
          </w:p>
        </w:tc>
      </w:tr>
      <w:tr w:rsidR="00BF050C" w:rsidRPr="00BF050C" w14:paraId="7733D670" w14:textId="77777777">
        <w:trPr>
          <w:cantSplit/>
        </w:trPr>
        <w:tc>
          <w:tcPr>
            <w:tcW w:w="5247" w:type="dxa"/>
            <w:gridSpan w:val="2"/>
            <w:tcBorders>
              <w:top w:val="single" w:sz="8" w:space="0" w:color="AEAEAE"/>
              <w:left w:val="nil"/>
              <w:bottom w:val="single" w:sz="8" w:space="0" w:color="AEAEAE"/>
              <w:right w:val="nil"/>
            </w:tcBorders>
            <w:shd w:val="clear" w:color="auto" w:fill="E0E0E0"/>
          </w:tcPr>
          <w:p w14:paraId="7C7D1446"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Syntax</w:t>
            </w:r>
          </w:p>
        </w:tc>
        <w:tc>
          <w:tcPr>
            <w:tcW w:w="2751" w:type="dxa"/>
            <w:tcBorders>
              <w:top w:val="single" w:sz="8" w:space="0" w:color="AEAEAE"/>
              <w:left w:val="nil"/>
              <w:bottom w:val="single" w:sz="8" w:space="0" w:color="AEAEAE"/>
              <w:right w:val="nil"/>
            </w:tcBorders>
            <w:shd w:val="clear" w:color="auto" w:fill="FFFFFF"/>
          </w:tcPr>
          <w:p w14:paraId="657FB485"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EXAMINE VARIABLES=SCCP</w:t>
            </w:r>
          </w:p>
          <w:p w14:paraId="6F3D2C27"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/PLOT HISTOGRAM NPPLOT</w:t>
            </w:r>
          </w:p>
          <w:p w14:paraId="18D3CC35"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/STATISTICS DESCRIPTIVES</w:t>
            </w:r>
          </w:p>
          <w:p w14:paraId="104DC06F"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/CINTERVAL 95</w:t>
            </w:r>
          </w:p>
          <w:p w14:paraId="11DC1820"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/MISSING LISTWISE</w:t>
            </w:r>
          </w:p>
          <w:p w14:paraId="43964723"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/NOTOTAL.</w:t>
            </w:r>
          </w:p>
        </w:tc>
      </w:tr>
      <w:tr w:rsidR="00BF050C" w:rsidRPr="00BF050C" w14:paraId="415267F2" w14:textId="77777777">
        <w:trPr>
          <w:cantSplit/>
        </w:trPr>
        <w:tc>
          <w:tcPr>
            <w:tcW w:w="2530" w:type="dxa"/>
            <w:vMerge w:val="restart"/>
            <w:tcBorders>
              <w:top w:val="single" w:sz="8" w:space="0" w:color="AEAEAE"/>
              <w:left w:val="nil"/>
              <w:bottom w:val="single" w:sz="8" w:space="0" w:color="152935"/>
              <w:right w:val="nil"/>
            </w:tcBorders>
            <w:shd w:val="clear" w:color="auto" w:fill="E0E0E0"/>
          </w:tcPr>
          <w:p w14:paraId="1AB686E4"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Resources</w:t>
            </w:r>
          </w:p>
        </w:tc>
        <w:tc>
          <w:tcPr>
            <w:tcW w:w="2717" w:type="dxa"/>
            <w:tcBorders>
              <w:top w:val="single" w:sz="8" w:space="0" w:color="AEAEAE"/>
              <w:left w:val="nil"/>
              <w:bottom w:val="single" w:sz="8" w:space="0" w:color="AEAEAE"/>
              <w:right w:val="nil"/>
            </w:tcBorders>
            <w:shd w:val="clear" w:color="auto" w:fill="E0E0E0"/>
          </w:tcPr>
          <w:p w14:paraId="6761AA93"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Processor Time</w:t>
            </w:r>
          </w:p>
        </w:tc>
        <w:tc>
          <w:tcPr>
            <w:tcW w:w="2751" w:type="dxa"/>
            <w:tcBorders>
              <w:top w:val="single" w:sz="8" w:space="0" w:color="AEAEAE"/>
              <w:left w:val="nil"/>
              <w:bottom w:val="single" w:sz="8" w:space="0" w:color="AEAEAE"/>
              <w:right w:val="nil"/>
            </w:tcBorders>
            <w:shd w:val="clear" w:color="auto" w:fill="FFFFFF"/>
          </w:tcPr>
          <w:p w14:paraId="28D9A9C3"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00:00:05.75</w:t>
            </w:r>
          </w:p>
        </w:tc>
      </w:tr>
      <w:tr w:rsidR="00BF050C" w:rsidRPr="00BF050C" w14:paraId="4F9E5A43" w14:textId="77777777">
        <w:trPr>
          <w:cantSplit/>
        </w:trPr>
        <w:tc>
          <w:tcPr>
            <w:tcW w:w="2530" w:type="dxa"/>
            <w:vMerge/>
            <w:tcBorders>
              <w:top w:val="single" w:sz="8" w:space="0" w:color="AEAEAE"/>
              <w:left w:val="nil"/>
              <w:bottom w:val="single" w:sz="8" w:space="0" w:color="152935"/>
              <w:right w:val="nil"/>
            </w:tcBorders>
            <w:shd w:val="clear" w:color="auto" w:fill="E0E0E0"/>
          </w:tcPr>
          <w:p w14:paraId="116A7B0B"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152935"/>
              <w:right w:val="nil"/>
            </w:tcBorders>
            <w:shd w:val="clear" w:color="auto" w:fill="E0E0E0"/>
          </w:tcPr>
          <w:p w14:paraId="3CFF1D74"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Elapsed Time</w:t>
            </w:r>
          </w:p>
        </w:tc>
        <w:tc>
          <w:tcPr>
            <w:tcW w:w="2751" w:type="dxa"/>
            <w:tcBorders>
              <w:top w:val="single" w:sz="8" w:space="0" w:color="AEAEAE"/>
              <w:left w:val="nil"/>
              <w:bottom w:val="single" w:sz="8" w:space="0" w:color="152935"/>
              <w:right w:val="nil"/>
            </w:tcBorders>
            <w:shd w:val="clear" w:color="auto" w:fill="FFFFFF"/>
          </w:tcPr>
          <w:p w14:paraId="2219B76B"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00:00:01.94</w:t>
            </w:r>
          </w:p>
        </w:tc>
      </w:tr>
    </w:tbl>
    <w:p w14:paraId="08F9A6BE"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6C7E77CD"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tbl>
      <w:tblPr>
        <w:tblW w:w="74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91"/>
        <w:gridCol w:w="2690"/>
        <w:gridCol w:w="1546"/>
        <w:gridCol w:w="1126"/>
        <w:gridCol w:w="1176"/>
      </w:tblGrid>
      <w:tr w:rsidR="00BF050C" w:rsidRPr="00BF050C" w14:paraId="492C5776" w14:textId="77777777">
        <w:trPr>
          <w:cantSplit/>
        </w:trPr>
        <w:tc>
          <w:tcPr>
            <w:tcW w:w="7427" w:type="dxa"/>
            <w:gridSpan w:val="5"/>
            <w:tcBorders>
              <w:top w:val="nil"/>
              <w:left w:val="nil"/>
              <w:bottom w:val="nil"/>
              <w:right w:val="nil"/>
            </w:tcBorders>
            <w:shd w:val="clear" w:color="auto" w:fill="FFFFFF"/>
            <w:vAlign w:val="center"/>
          </w:tcPr>
          <w:p w14:paraId="4AC6D6D4" w14:textId="2D68FB85"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010205"/>
              </w:rPr>
            </w:pPr>
            <w:r w:rsidRPr="00BF050C">
              <w:rPr>
                <w:rFonts w:ascii="Arial" w:eastAsia="SimSun" w:hAnsi="Arial" w:cs="Arial"/>
                <w:b/>
                <w:bCs/>
                <w:color w:val="010205"/>
              </w:rPr>
              <w:t>Descriptive</w:t>
            </w:r>
          </w:p>
        </w:tc>
      </w:tr>
      <w:tr w:rsidR="00BF050C" w:rsidRPr="00BF050C" w14:paraId="6A8BA7EC" w14:textId="77777777">
        <w:trPr>
          <w:cantSplit/>
        </w:trPr>
        <w:tc>
          <w:tcPr>
            <w:tcW w:w="5125" w:type="dxa"/>
            <w:gridSpan w:val="3"/>
            <w:tcBorders>
              <w:top w:val="nil"/>
              <w:left w:val="nil"/>
              <w:bottom w:val="single" w:sz="8" w:space="0" w:color="152935"/>
              <w:right w:val="nil"/>
            </w:tcBorders>
            <w:shd w:val="clear" w:color="auto" w:fill="FFFFFF"/>
            <w:vAlign w:val="bottom"/>
          </w:tcPr>
          <w:p w14:paraId="4524188B"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1126" w:type="dxa"/>
            <w:tcBorders>
              <w:top w:val="nil"/>
              <w:left w:val="nil"/>
              <w:bottom w:val="single" w:sz="8" w:space="0" w:color="152935"/>
              <w:right w:val="nil"/>
            </w:tcBorders>
            <w:shd w:val="clear" w:color="auto" w:fill="FFFFFF"/>
            <w:vAlign w:val="bottom"/>
          </w:tcPr>
          <w:p w14:paraId="14CE5BB3"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Statistic</w:t>
            </w:r>
          </w:p>
        </w:tc>
        <w:tc>
          <w:tcPr>
            <w:tcW w:w="1176" w:type="dxa"/>
            <w:tcBorders>
              <w:top w:val="nil"/>
              <w:left w:val="single" w:sz="8" w:space="0" w:color="E0E0E0"/>
              <w:bottom w:val="single" w:sz="8" w:space="0" w:color="152935"/>
              <w:right w:val="nil"/>
            </w:tcBorders>
            <w:shd w:val="clear" w:color="auto" w:fill="FFFFFF"/>
            <w:vAlign w:val="bottom"/>
          </w:tcPr>
          <w:p w14:paraId="4BA09547"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Std. Error</w:t>
            </w:r>
          </w:p>
        </w:tc>
      </w:tr>
      <w:tr w:rsidR="00BF050C" w:rsidRPr="00BF050C" w14:paraId="0EC13CFF" w14:textId="77777777">
        <w:trPr>
          <w:cantSplit/>
        </w:trPr>
        <w:tc>
          <w:tcPr>
            <w:tcW w:w="890" w:type="dxa"/>
            <w:vMerge w:val="restart"/>
            <w:tcBorders>
              <w:top w:val="single" w:sz="8" w:space="0" w:color="152935"/>
              <w:left w:val="nil"/>
              <w:bottom w:val="single" w:sz="8" w:space="0" w:color="152935"/>
              <w:right w:val="nil"/>
            </w:tcBorders>
            <w:shd w:val="clear" w:color="auto" w:fill="E0E0E0"/>
          </w:tcPr>
          <w:p w14:paraId="0AB5EE7E"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SCCP</w:t>
            </w:r>
          </w:p>
        </w:tc>
        <w:tc>
          <w:tcPr>
            <w:tcW w:w="4235" w:type="dxa"/>
            <w:gridSpan w:val="2"/>
            <w:tcBorders>
              <w:top w:val="single" w:sz="8" w:space="0" w:color="152935"/>
              <w:left w:val="nil"/>
              <w:bottom w:val="nil"/>
              <w:right w:val="nil"/>
            </w:tcBorders>
            <w:shd w:val="clear" w:color="auto" w:fill="E0E0E0"/>
          </w:tcPr>
          <w:p w14:paraId="008AFE84"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Mean</w:t>
            </w:r>
          </w:p>
        </w:tc>
        <w:tc>
          <w:tcPr>
            <w:tcW w:w="1126" w:type="dxa"/>
            <w:tcBorders>
              <w:top w:val="single" w:sz="8" w:space="0" w:color="152935"/>
              <w:left w:val="nil"/>
              <w:bottom w:val="nil"/>
              <w:right w:val="nil"/>
            </w:tcBorders>
            <w:shd w:val="clear" w:color="auto" w:fill="FFFFFF"/>
          </w:tcPr>
          <w:p w14:paraId="6F52BDE8"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1.2157</w:t>
            </w:r>
          </w:p>
        </w:tc>
        <w:tc>
          <w:tcPr>
            <w:tcW w:w="1176" w:type="dxa"/>
            <w:tcBorders>
              <w:top w:val="single" w:sz="8" w:space="0" w:color="152935"/>
              <w:left w:val="single" w:sz="8" w:space="0" w:color="E0E0E0"/>
              <w:bottom w:val="nil"/>
              <w:right w:val="nil"/>
            </w:tcBorders>
            <w:shd w:val="clear" w:color="auto" w:fill="FFFFFF"/>
          </w:tcPr>
          <w:p w14:paraId="544C50B6"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.00560</w:t>
            </w:r>
          </w:p>
        </w:tc>
      </w:tr>
      <w:tr w:rsidR="00BF050C" w:rsidRPr="00BF050C" w14:paraId="620B620C" w14:textId="77777777">
        <w:trPr>
          <w:cantSplit/>
        </w:trPr>
        <w:tc>
          <w:tcPr>
            <w:tcW w:w="890" w:type="dxa"/>
            <w:vMerge/>
            <w:tcBorders>
              <w:top w:val="single" w:sz="8" w:space="0" w:color="152935"/>
              <w:left w:val="nil"/>
              <w:bottom w:val="single" w:sz="8" w:space="0" w:color="152935"/>
              <w:right w:val="nil"/>
            </w:tcBorders>
            <w:shd w:val="clear" w:color="auto" w:fill="E0E0E0"/>
          </w:tcPr>
          <w:p w14:paraId="264DC52D"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689" w:type="dxa"/>
            <w:vMerge w:val="restart"/>
            <w:tcBorders>
              <w:top w:val="single" w:sz="8" w:space="0" w:color="AEAEAE"/>
              <w:left w:val="nil"/>
              <w:bottom w:val="nil"/>
              <w:right w:val="nil"/>
            </w:tcBorders>
            <w:shd w:val="clear" w:color="auto" w:fill="E0E0E0"/>
          </w:tcPr>
          <w:p w14:paraId="10920E37"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95% Confidence Interval for Mean</w:t>
            </w:r>
          </w:p>
        </w:tc>
        <w:tc>
          <w:tcPr>
            <w:tcW w:w="1546" w:type="dxa"/>
            <w:tcBorders>
              <w:top w:val="single" w:sz="8" w:space="0" w:color="AEAEAE"/>
              <w:left w:val="nil"/>
              <w:bottom w:val="single" w:sz="8" w:space="0" w:color="AEAEAE"/>
              <w:right w:val="nil"/>
            </w:tcBorders>
            <w:shd w:val="clear" w:color="auto" w:fill="E0E0E0"/>
          </w:tcPr>
          <w:p w14:paraId="4E3816AB"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Lower Bound</w:t>
            </w:r>
          </w:p>
        </w:tc>
        <w:tc>
          <w:tcPr>
            <w:tcW w:w="1126" w:type="dxa"/>
            <w:tcBorders>
              <w:top w:val="single" w:sz="8" w:space="0" w:color="AEAEAE"/>
              <w:left w:val="nil"/>
              <w:bottom w:val="single" w:sz="8" w:space="0" w:color="AEAEAE"/>
              <w:right w:val="nil"/>
            </w:tcBorders>
            <w:shd w:val="clear" w:color="auto" w:fill="FFFFFF"/>
          </w:tcPr>
          <w:p w14:paraId="58CA6AEC"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1.2045</w:t>
            </w:r>
          </w:p>
        </w:tc>
        <w:tc>
          <w:tcPr>
            <w:tcW w:w="1176" w:type="dxa"/>
            <w:tcBorders>
              <w:top w:val="single" w:sz="8" w:space="0" w:color="AEAEAE"/>
              <w:left w:val="single" w:sz="8" w:space="0" w:color="E0E0E0"/>
              <w:bottom w:val="single" w:sz="8" w:space="0" w:color="AEAEAE"/>
              <w:right w:val="nil"/>
            </w:tcBorders>
            <w:shd w:val="clear" w:color="auto" w:fill="FFFFFF"/>
            <w:vAlign w:val="center"/>
          </w:tcPr>
          <w:p w14:paraId="6874C08A"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09F99551" w14:textId="77777777">
        <w:trPr>
          <w:cantSplit/>
        </w:trPr>
        <w:tc>
          <w:tcPr>
            <w:tcW w:w="890" w:type="dxa"/>
            <w:vMerge/>
            <w:tcBorders>
              <w:top w:val="single" w:sz="8" w:space="0" w:color="152935"/>
              <w:left w:val="nil"/>
              <w:bottom w:val="single" w:sz="8" w:space="0" w:color="152935"/>
              <w:right w:val="nil"/>
            </w:tcBorders>
            <w:shd w:val="clear" w:color="auto" w:fill="E0E0E0"/>
          </w:tcPr>
          <w:p w14:paraId="69BD401F"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2689" w:type="dxa"/>
            <w:vMerge/>
            <w:tcBorders>
              <w:top w:val="single" w:sz="8" w:space="0" w:color="AEAEAE"/>
              <w:left w:val="nil"/>
              <w:bottom w:val="nil"/>
              <w:right w:val="nil"/>
            </w:tcBorders>
            <w:shd w:val="clear" w:color="auto" w:fill="E0E0E0"/>
          </w:tcPr>
          <w:p w14:paraId="1C51D655"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1546" w:type="dxa"/>
            <w:tcBorders>
              <w:top w:val="single" w:sz="8" w:space="0" w:color="AEAEAE"/>
              <w:left w:val="nil"/>
              <w:bottom w:val="nil"/>
              <w:right w:val="nil"/>
            </w:tcBorders>
            <w:shd w:val="clear" w:color="auto" w:fill="E0E0E0"/>
          </w:tcPr>
          <w:p w14:paraId="0A983208"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Upper Bound</w:t>
            </w:r>
          </w:p>
        </w:tc>
        <w:tc>
          <w:tcPr>
            <w:tcW w:w="1126" w:type="dxa"/>
            <w:tcBorders>
              <w:top w:val="single" w:sz="8" w:space="0" w:color="AEAEAE"/>
              <w:left w:val="nil"/>
              <w:bottom w:val="nil"/>
              <w:right w:val="nil"/>
            </w:tcBorders>
            <w:shd w:val="clear" w:color="auto" w:fill="FFFFFF"/>
          </w:tcPr>
          <w:p w14:paraId="0BC40466"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1.2269</w:t>
            </w:r>
          </w:p>
        </w:tc>
        <w:tc>
          <w:tcPr>
            <w:tcW w:w="1176" w:type="dxa"/>
            <w:tcBorders>
              <w:top w:val="single" w:sz="8" w:space="0" w:color="AEAEAE"/>
              <w:left w:val="single" w:sz="8" w:space="0" w:color="E0E0E0"/>
              <w:bottom w:val="nil"/>
              <w:right w:val="nil"/>
            </w:tcBorders>
            <w:shd w:val="clear" w:color="auto" w:fill="FFFFFF"/>
            <w:vAlign w:val="center"/>
          </w:tcPr>
          <w:p w14:paraId="79E965F6"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51E88744" w14:textId="77777777">
        <w:trPr>
          <w:cantSplit/>
        </w:trPr>
        <w:tc>
          <w:tcPr>
            <w:tcW w:w="890" w:type="dxa"/>
            <w:vMerge/>
            <w:tcBorders>
              <w:top w:val="single" w:sz="8" w:space="0" w:color="152935"/>
              <w:left w:val="nil"/>
              <w:bottom w:val="single" w:sz="8" w:space="0" w:color="152935"/>
              <w:right w:val="nil"/>
            </w:tcBorders>
            <w:shd w:val="clear" w:color="auto" w:fill="E0E0E0"/>
          </w:tcPr>
          <w:p w14:paraId="46E1FD25"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66B96189"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5% Trimmed Mean</w:t>
            </w:r>
          </w:p>
        </w:tc>
        <w:tc>
          <w:tcPr>
            <w:tcW w:w="1126" w:type="dxa"/>
            <w:tcBorders>
              <w:top w:val="single" w:sz="8" w:space="0" w:color="AEAEAE"/>
              <w:left w:val="nil"/>
              <w:bottom w:val="nil"/>
              <w:right w:val="nil"/>
            </w:tcBorders>
            <w:shd w:val="clear" w:color="auto" w:fill="FFFFFF"/>
          </w:tcPr>
          <w:p w14:paraId="70DFB097"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1.2174</w:t>
            </w:r>
          </w:p>
        </w:tc>
        <w:tc>
          <w:tcPr>
            <w:tcW w:w="1176" w:type="dxa"/>
            <w:tcBorders>
              <w:top w:val="single" w:sz="8" w:space="0" w:color="AEAEAE"/>
              <w:left w:val="single" w:sz="8" w:space="0" w:color="E0E0E0"/>
              <w:bottom w:val="nil"/>
              <w:right w:val="nil"/>
            </w:tcBorders>
            <w:shd w:val="clear" w:color="auto" w:fill="FFFFFF"/>
            <w:vAlign w:val="center"/>
          </w:tcPr>
          <w:p w14:paraId="5086794E"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57B8F78F" w14:textId="77777777">
        <w:trPr>
          <w:cantSplit/>
        </w:trPr>
        <w:tc>
          <w:tcPr>
            <w:tcW w:w="890" w:type="dxa"/>
            <w:vMerge/>
            <w:tcBorders>
              <w:top w:val="single" w:sz="8" w:space="0" w:color="152935"/>
              <w:left w:val="nil"/>
              <w:bottom w:val="single" w:sz="8" w:space="0" w:color="152935"/>
              <w:right w:val="nil"/>
            </w:tcBorders>
            <w:shd w:val="clear" w:color="auto" w:fill="E0E0E0"/>
          </w:tcPr>
          <w:p w14:paraId="609A250D"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148C4C67"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Median</w:t>
            </w:r>
          </w:p>
        </w:tc>
        <w:tc>
          <w:tcPr>
            <w:tcW w:w="1126" w:type="dxa"/>
            <w:tcBorders>
              <w:top w:val="single" w:sz="8" w:space="0" w:color="AEAEAE"/>
              <w:left w:val="nil"/>
              <w:bottom w:val="nil"/>
              <w:right w:val="nil"/>
            </w:tcBorders>
            <w:shd w:val="clear" w:color="auto" w:fill="FFFFFF"/>
          </w:tcPr>
          <w:p w14:paraId="655BB560"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1.2268</w:t>
            </w:r>
          </w:p>
        </w:tc>
        <w:tc>
          <w:tcPr>
            <w:tcW w:w="1176" w:type="dxa"/>
            <w:tcBorders>
              <w:top w:val="single" w:sz="8" w:space="0" w:color="AEAEAE"/>
              <w:left w:val="single" w:sz="8" w:space="0" w:color="E0E0E0"/>
              <w:bottom w:val="nil"/>
              <w:right w:val="nil"/>
            </w:tcBorders>
            <w:shd w:val="clear" w:color="auto" w:fill="FFFFFF"/>
            <w:vAlign w:val="center"/>
          </w:tcPr>
          <w:p w14:paraId="0A4A194B"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5D18B7F5" w14:textId="77777777">
        <w:trPr>
          <w:cantSplit/>
        </w:trPr>
        <w:tc>
          <w:tcPr>
            <w:tcW w:w="890" w:type="dxa"/>
            <w:vMerge/>
            <w:tcBorders>
              <w:top w:val="single" w:sz="8" w:space="0" w:color="152935"/>
              <w:left w:val="nil"/>
              <w:bottom w:val="single" w:sz="8" w:space="0" w:color="152935"/>
              <w:right w:val="nil"/>
            </w:tcBorders>
            <w:shd w:val="clear" w:color="auto" w:fill="E0E0E0"/>
          </w:tcPr>
          <w:p w14:paraId="6DFE1452"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475E72CB"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Variance</w:t>
            </w:r>
          </w:p>
        </w:tc>
        <w:tc>
          <w:tcPr>
            <w:tcW w:w="1126" w:type="dxa"/>
            <w:tcBorders>
              <w:top w:val="single" w:sz="8" w:space="0" w:color="AEAEAE"/>
              <w:left w:val="nil"/>
              <w:bottom w:val="nil"/>
              <w:right w:val="nil"/>
            </w:tcBorders>
            <w:shd w:val="clear" w:color="auto" w:fill="FFFFFF"/>
          </w:tcPr>
          <w:p w14:paraId="0D66A9E5"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.002</w:t>
            </w:r>
          </w:p>
        </w:tc>
        <w:tc>
          <w:tcPr>
            <w:tcW w:w="1176" w:type="dxa"/>
            <w:tcBorders>
              <w:top w:val="single" w:sz="8" w:space="0" w:color="AEAEAE"/>
              <w:left w:val="single" w:sz="8" w:space="0" w:color="E0E0E0"/>
              <w:bottom w:val="nil"/>
              <w:right w:val="nil"/>
            </w:tcBorders>
            <w:shd w:val="clear" w:color="auto" w:fill="FFFFFF"/>
            <w:vAlign w:val="center"/>
          </w:tcPr>
          <w:p w14:paraId="369068FE"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2BE4888E" w14:textId="77777777">
        <w:trPr>
          <w:cantSplit/>
        </w:trPr>
        <w:tc>
          <w:tcPr>
            <w:tcW w:w="890" w:type="dxa"/>
            <w:vMerge/>
            <w:tcBorders>
              <w:top w:val="single" w:sz="8" w:space="0" w:color="152935"/>
              <w:left w:val="nil"/>
              <w:bottom w:val="single" w:sz="8" w:space="0" w:color="152935"/>
              <w:right w:val="nil"/>
            </w:tcBorders>
            <w:shd w:val="clear" w:color="auto" w:fill="E0E0E0"/>
          </w:tcPr>
          <w:p w14:paraId="18560A1F"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37CF121E"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Std. Deviation</w:t>
            </w:r>
          </w:p>
        </w:tc>
        <w:tc>
          <w:tcPr>
            <w:tcW w:w="1126" w:type="dxa"/>
            <w:tcBorders>
              <w:top w:val="single" w:sz="8" w:space="0" w:color="AEAEAE"/>
              <w:left w:val="nil"/>
              <w:bottom w:val="nil"/>
              <w:right w:val="nil"/>
            </w:tcBorders>
            <w:shd w:val="clear" w:color="auto" w:fill="FFFFFF"/>
          </w:tcPr>
          <w:p w14:paraId="1DF6CDFC"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.04375</w:t>
            </w:r>
          </w:p>
        </w:tc>
        <w:tc>
          <w:tcPr>
            <w:tcW w:w="1176" w:type="dxa"/>
            <w:tcBorders>
              <w:top w:val="single" w:sz="8" w:space="0" w:color="AEAEAE"/>
              <w:left w:val="single" w:sz="8" w:space="0" w:color="E0E0E0"/>
              <w:bottom w:val="nil"/>
              <w:right w:val="nil"/>
            </w:tcBorders>
            <w:shd w:val="clear" w:color="auto" w:fill="FFFFFF"/>
            <w:vAlign w:val="center"/>
          </w:tcPr>
          <w:p w14:paraId="20490228"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473FD1FE" w14:textId="77777777">
        <w:trPr>
          <w:cantSplit/>
        </w:trPr>
        <w:tc>
          <w:tcPr>
            <w:tcW w:w="890" w:type="dxa"/>
            <w:vMerge/>
            <w:tcBorders>
              <w:top w:val="single" w:sz="8" w:space="0" w:color="152935"/>
              <w:left w:val="nil"/>
              <w:bottom w:val="single" w:sz="8" w:space="0" w:color="152935"/>
              <w:right w:val="nil"/>
            </w:tcBorders>
            <w:shd w:val="clear" w:color="auto" w:fill="E0E0E0"/>
          </w:tcPr>
          <w:p w14:paraId="7957891F"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2E346CCA"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Minimum</w:t>
            </w:r>
          </w:p>
        </w:tc>
        <w:tc>
          <w:tcPr>
            <w:tcW w:w="1126" w:type="dxa"/>
            <w:tcBorders>
              <w:top w:val="single" w:sz="8" w:space="0" w:color="AEAEAE"/>
              <w:left w:val="nil"/>
              <w:bottom w:val="nil"/>
              <w:right w:val="nil"/>
            </w:tcBorders>
            <w:shd w:val="clear" w:color="auto" w:fill="FFFFFF"/>
          </w:tcPr>
          <w:p w14:paraId="2C3E450B"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1.12</w:t>
            </w:r>
          </w:p>
        </w:tc>
        <w:tc>
          <w:tcPr>
            <w:tcW w:w="1176" w:type="dxa"/>
            <w:tcBorders>
              <w:top w:val="single" w:sz="8" w:space="0" w:color="AEAEAE"/>
              <w:left w:val="single" w:sz="8" w:space="0" w:color="E0E0E0"/>
              <w:bottom w:val="nil"/>
              <w:right w:val="nil"/>
            </w:tcBorders>
            <w:shd w:val="clear" w:color="auto" w:fill="FFFFFF"/>
            <w:vAlign w:val="center"/>
          </w:tcPr>
          <w:p w14:paraId="6BEB91A8"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33352637" w14:textId="77777777">
        <w:trPr>
          <w:cantSplit/>
        </w:trPr>
        <w:tc>
          <w:tcPr>
            <w:tcW w:w="890" w:type="dxa"/>
            <w:vMerge/>
            <w:tcBorders>
              <w:top w:val="single" w:sz="8" w:space="0" w:color="152935"/>
              <w:left w:val="nil"/>
              <w:bottom w:val="single" w:sz="8" w:space="0" w:color="152935"/>
              <w:right w:val="nil"/>
            </w:tcBorders>
            <w:shd w:val="clear" w:color="auto" w:fill="E0E0E0"/>
          </w:tcPr>
          <w:p w14:paraId="7667CFC4"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079A91E2"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Maximum</w:t>
            </w:r>
          </w:p>
        </w:tc>
        <w:tc>
          <w:tcPr>
            <w:tcW w:w="1126" w:type="dxa"/>
            <w:tcBorders>
              <w:top w:val="single" w:sz="8" w:space="0" w:color="AEAEAE"/>
              <w:left w:val="nil"/>
              <w:bottom w:val="nil"/>
              <w:right w:val="nil"/>
            </w:tcBorders>
            <w:shd w:val="clear" w:color="auto" w:fill="FFFFFF"/>
          </w:tcPr>
          <w:p w14:paraId="4FDB525C"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1.29</w:t>
            </w:r>
          </w:p>
        </w:tc>
        <w:tc>
          <w:tcPr>
            <w:tcW w:w="1176" w:type="dxa"/>
            <w:tcBorders>
              <w:top w:val="single" w:sz="8" w:space="0" w:color="AEAEAE"/>
              <w:left w:val="single" w:sz="8" w:space="0" w:color="E0E0E0"/>
              <w:bottom w:val="nil"/>
              <w:right w:val="nil"/>
            </w:tcBorders>
            <w:shd w:val="clear" w:color="auto" w:fill="FFFFFF"/>
            <w:vAlign w:val="center"/>
          </w:tcPr>
          <w:p w14:paraId="2BF3634C"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75664F3E" w14:textId="77777777">
        <w:trPr>
          <w:cantSplit/>
        </w:trPr>
        <w:tc>
          <w:tcPr>
            <w:tcW w:w="890" w:type="dxa"/>
            <w:vMerge/>
            <w:tcBorders>
              <w:top w:val="single" w:sz="8" w:space="0" w:color="152935"/>
              <w:left w:val="nil"/>
              <w:bottom w:val="single" w:sz="8" w:space="0" w:color="152935"/>
              <w:right w:val="nil"/>
            </w:tcBorders>
            <w:shd w:val="clear" w:color="auto" w:fill="E0E0E0"/>
          </w:tcPr>
          <w:p w14:paraId="1907CA06"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5ADE0AF1"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Range</w:t>
            </w:r>
          </w:p>
        </w:tc>
        <w:tc>
          <w:tcPr>
            <w:tcW w:w="1126" w:type="dxa"/>
            <w:tcBorders>
              <w:top w:val="single" w:sz="8" w:space="0" w:color="AEAEAE"/>
              <w:left w:val="nil"/>
              <w:bottom w:val="nil"/>
              <w:right w:val="nil"/>
            </w:tcBorders>
            <w:shd w:val="clear" w:color="auto" w:fill="FFFFFF"/>
          </w:tcPr>
          <w:p w14:paraId="13569353"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.17</w:t>
            </w:r>
          </w:p>
        </w:tc>
        <w:tc>
          <w:tcPr>
            <w:tcW w:w="1176" w:type="dxa"/>
            <w:tcBorders>
              <w:top w:val="single" w:sz="8" w:space="0" w:color="AEAEAE"/>
              <w:left w:val="single" w:sz="8" w:space="0" w:color="E0E0E0"/>
              <w:bottom w:val="nil"/>
              <w:right w:val="nil"/>
            </w:tcBorders>
            <w:shd w:val="clear" w:color="auto" w:fill="FFFFFF"/>
            <w:vAlign w:val="center"/>
          </w:tcPr>
          <w:p w14:paraId="7B5E8D79"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10FDA1EF" w14:textId="77777777">
        <w:trPr>
          <w:cantSplit/>
        </w:trPr>
        <w:tc>
          <w:tcPr>
            <w:tcW w:w="890" w:type="dxa"/>
            <w:vMerge/>
            <w:tcBorders>
              <w:top w:val="single" w:sz="8" w:space="0" w:color="152935"/>
              <w:left w:val="nil"/>
              <w:bottom w:val="single" w:sz="8" w:space="0" w:color="152935"/>
              <w:right w:val="nil"/>
            </w:tcBorders>
            <w:shd w:val="clear" w:color="auto" w:fill="E0E0E0"/>
          </w:tcPr>
          <w:p w14:paraId="70FAFA20"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675AA086"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Interquartile Range</w:t>
            </w:r>
          </w:p>
        </w:tc>
        <w:tc>
          <w:tcPr>
            <w:tcW w:w="1126" w:type="dxa"/>
            <w:tcBorders>
              <w:top w:val="single" w:sz="8" w:space="0" w:color="AEAEAE"/>
              <w:left w:val="nil"/>
              <w:bottom w:val="nil"/>
              <w:right w:val="nil"/>
            </w:tcBorders>
            <w:shd w:val="clear" w:color="auto" w:fill="FFFFFF"/>
          </w:tcPr>
          <w:p w14:paraId="1ACD1B1C"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.07</w:t>
            </w:r>
          </w:p>
        </w:tc>
        <w:tc>
          <w:tcPr>
            <w:tcW w:w="1176" w:type="dxa"/>
            <w:tcBorders>
              <w:top w:val="single" w:sz="8" w:space="0" w:color="AEAEAE"/>
              <w:left w:val="single" w:sz="8" w:space="0" w:color="E0E0E0"/>
              <w:bottom w:val="nil"/>
              <w:right w:val="nil"/>
            </w:tcBorders>
            <w:shd w:val="clear" w:color="auto" w:fill="FFFFFF"/>
            <w:vAlign w:val="center"/>
          </w:tcPr>
          <w:p w14:paraId="4995C043"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144D4E4A" w14:textId="77777777">
        <w:trPr>
          <w:cantSplit/>
        </w:trPr>
        <w:tc>
          <w:tcPr>
            <w:tcW w:w="890" w:type="dxa"/>
            <w:vMerge/>
            <w:tcBorders>
              <w:top w:val="single" w:sz="8" w:space="0" w:color="152935"/>
              <w:left w:val="nil"/>
              <w:bottom w:val="single" w:sz="8" w:space="0" w:color="152935"/>
              <w:right w:val="nil"/>
            </w:tcBorders>
            <w:shd w:val="clear" w:color="auto" w:fill="E0E0E0"/>
          </w:tcPr>
          <w:p w14:paraId="6D3A0E43"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67420245"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Skewness</w:t>
            </w:r>
          </w:p>
        </w:tc>
        <w:tc>
          <w:tcPr>
            <w:tcW w:w="1126" w:type="dxa"/>
            <w:tcBorders>
              <w:top w:val="single" w:sz="8" w:space="0" w:color="AEAEAE"/>
              <w:left w:val="nil"/>
              <w:bottom w:val="nil"/>
              <w:right w:val="nil"/>
            </w:tcBorders>
            <w:shd w:val="clear" w:color="auto" w:fill="FFFFFF"/>
          </w:tcPr>
          <w:p w14:paraId="6A5DFA7D"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-.464</w:t>
            </w:r>
          </w:p>
        </w:tc>
        <w:tc>
          <w:tcPr>
            <w:tcW w:w="1176" w:type="dxa"/>
            <w:tcBorders>
              <w:top w:val="single" w:sz="8" w:space="0" w:color="AEAEAE"/>
              <w:left w:val="single" w:sz="8" w:space="0" w:color="E0E0E0"/>
              <w:bottom w:val="nil"/>
              <w:right w:val="nil"/>
            </w:tcBorders>
            <w:shd w:val="clear" w:color="auto" w:fill="FFFFFF"/>
          </w:tcPr>
          <w:p w14:paraId="325F7D0E"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.306</w:t>
            </w:r>
          </w:p>
        </w:tc>
      </w:tr>
      <w:tr w:rsidR="00BF050C" w:rsidRPr="00BF050C" w14:paraId="1624F456" w14:textId="77777777">
        <w:trPr>
          <w:cantSplit/>
        </w:trPr>
        <w:tc>
          <w:tcPr>
            <w:tcW w:w="890" w:type="dxa"/>
            <w:vMerge/>
            <w:tcBorders>
              <w:top w:val="single" w:sz="8" w:space="0" w:color="152935"/>
              <w:left w:val="nil"/>
              <w:bottom w:val="single" w:sz="8" w:space="0" w:color="152935"/>
              <w:right w:val="nil"/>
            </w:tcBorders>
            <w:shd w:val="clear" w:color="auto" w:fill="E0E0E0"/>
          </w:tcPr>
          <w:p w14:paraId="74C13C4E"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4235" w:type="dxa"/>
            <w:gridSpan w:val="2"/>
            <w:tcBorders>
              <w:top w:val="single" w:sz="8" w:space="0" w:color="AEAEAE"/>
              <w:left w:val="nil"/>
              <w:bottom w:val="single" w:sz="8" w:space="0" w:color="152935"/>
              <w:right w:val="nil"/>
            </w:tcBorders>
            <w:shd w:val="clear" w:color="auto" w:fill="E0E0E0"/>
          </w:tcPr>
          <w:p w14:paraId="34336ADB"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Kurtosis</w:t>
            </w:r>
          </w:p>
        </w:tc>
        <w:tc>
          <w:tcPr>
            <w:tcW w:w="1126" w:type="dxa"/>
            <w:tcBorders>
              <w:top w:val="single" w:sz="8" w:space="0" w:color="AEAEAE"/>
              <w:left w:val="nil"/>
              <w:bottom w:val="single" w:sz="8" w:space="0" w:color="152935"/>
              <w:right w:val="nil"/>
            </w:tcBorders>
            <w:shd w:val="clear" w:color="auto" w:fill="FFFFFF"/>
          </w:tcPr>
          <w:p w14:paraId="33972A67"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-.774</w:t>
            </w:r>
          </w:p>
        </w:tc>
        <w:tc>
          <w:tcPr>
            <w:tcW w:w="1176" w:type="dxa"/>
            <w:tcBorders>
              <w:top w:val="single" w:sz="8" w:space="0" w:color="AEAEAE"/>
              <w:left w:val="single" w:sz="8" w:space="0" w:color="E0E0E0"/>
              <w:bottom w:val="single" w:sz="8" w:space="0" w:color="152935"/>
              <w:right w:val="nil"/>
            </w:tcBorders>
            <w:shd w:val="clear" w:color="auto" w:fill="FFFFFF"/>
          </w:tcPr>
          <w:p w14:paraId="494278E6"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.604</w:t>
            </w:r>
          </w:p>
        </w:tc>
      </w:tr>
    </w:tbl>
    <w:p w14:paraId="22BE467C"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78A2C235"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tbl>
      <w:tblPr>
        <w:tblW w:w="76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91"/>
        <w:gridCol w:w="1126"/>
        <w:gridCol w:w="1126"/>
        <w:gridCol w:w="1126"/>
        <w:gridCol w:w="1126"/>
        <w:gridCol w:w="1126"/>
        <w:gridCol w:w="1126"/>
      </w:tblGrid>
      <w:tr w:rsidR="00BF050C" w:rsidRPr="00BF050C" w14:paraId="2D39512E" w14:textId="77777777">
        <w:trPr>
          <w:cantSplit/>
        </w:trPr>
        <w:tc>
          <w:tcPr>
            <w:tcW w:w="7646" w:type="dxa"/>
            <w:gridSpan w:val="7"/>
            <w:tcBorders>
              <w:top w:val="nil"/>
              <w:left w:val="nil"/>
              <w:bottom w:val="nil"/>
              <w:right w:val="nil"/>
            </w:tcBorders>
            <w:shd w:val="clear" w:color="auto" w:fill="FFFFFF"/>
            <w:vAlign w:val="center"/>
          </w:tcPr>
          <w:p w14:paraId="1701702E"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010205"/>
              </w:rPr>
            </w:pPr>
            <w:r w:rsidRPr="00BF050C">
              <w:rPr>
                <w:rFonts w:ascii="Arial" w:eastAsia="SimSun" w:hAnsi="Arial" w:cs="Arial"/>
                <w:b/>
                <w:bCs/>
                <w:color w:val="010205"/>
              </w:rPr>
              <w:t>Tests of Normality</w:t>
            </w:r>
          </w:p>
        </w:tc>
      </w:tr>
      <w:tr w:rsidR="00BF050C" w:rsidRPr="00BF050C" w14:paraId="5188822A" w14:textId="77777777">
        <w:trPr>
          <w:cantSplit/>
        </w:trPr>
        <w:tc>
          <w:tcPr>
            <w:tcW w:w="890" w:type="dxa"/>
            <w:vMerge w:val="restart"/>
            <w:tcBorders>
              <w:top w:val="nil"/>
              <w:left w:val="nil"/>
              <w:bottom w:val="nil"/>
              <w:right w:val="nil"/>
            </w:tcBorders>
            <w:shd w:val="clear" w:color="auto" w:fill="FFFFFF"/>
            <w:vAlign w:val="bottom"/>
          </w:tcPr>
          <w:p w14:paraId="0AEC1B98"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3378" w:type="dxa"/>
            <w:gridSpan w:val="3"/>
            <w:tcBorders>
              <w:top w:val="nil"/>
              <w:left w:val="nil"/>
              <w:bottom w:val="nil"/>
              <w:right w:val="nil"/>
            </w:tcBorders>
            <w:shd w:val="clear" w:color="auto" w:fill="FFFFFF"/>
            <w:vAlign w:val="bottom"/>
          </w:tcPr>
          <w:p w14:paraId="1EEB4D71"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Kolmogorov-Smirnov</w:t>
            </w:r>
            <w:r w:rsidRPr="00BF050C">
              <w:rPr>
                <w:rFonts w:ascii="Arial" w:eastAsia="SimSun" w:hAnsi="Arial" w:cs="Arial"/>
                <w:color w:val="264A60"/>
                <w:sz w:val="18"/>
                <w:szCs w:val="18"/>
                <w:vertAlign w:val="superscript"/>
              </w:rPr>
              <w:t>a</w:t>
            </w:r>
          </w:p>
        </w:tc>
        <w:tc>
          <w:tcPr>
            <w:tcW w:w="3378" w:type="dxa"/>
            <w:gridSpan w:val="3"/>
            <w:tcBorders>
              <w:top w:val="nil"/>
              <w:left w:val="single" w:sz="8" w:space="0" w:color="E0E0E0"/>
              <w:bottom w:val="nil"/>
              <w:right w:val="nil"/>
            </w:tcBorders>
            <w:shd w:val="clear" w:color="auto" w:fill="FFFFFF"/>
            <w:vAlign w:val="bottom"/>
          </w:tcPr>
          <w:p w14:paraId="4406BCDF"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Shapiro-Wilk</w:t>
            </w:r>
          </w:p>
        </w:tc>
      </w:tr>
      <w:tr w:rsidR="00BF050C" w:rsidRPr="00BF050C" w14:paraId="523BDFCC" w14:textId="77777777">
        <w:trPr>
          <w:cantSplit/>
        </w:trPr>
        <w:tc>
          <w:tcPr>
            <w:tcW w:w="890" w:type="dxa"/>
            <w:vMerge/>
            <w:tcBorders>
              <w:top w:val="nil"/>
              <w:left w:val="nil"/>
              <w:bottom w:val="nil"/>
              <w:right w:val="nil"/>
            </w:tcBorders>
            <w:shd w:val="clear" w:color="auto" w:fill="FFFFFF"/>
            <w:vAlign w:val="bottom"/>
          </w:tcPr>
          <w:p w14:paraId="7CF66636"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264A60"/>
                <w:sz w:val="18"/>
                <w:szCs w:val="18"/>
              </w:rPr>
            </w:pPr>
          </w:p>
        </w:tc>
        <w:tc>
          <w:tcPr>
            <w:tcW w:w="1126" w:type="dxa"/>
            <w:tcBorders>
              <w:top w:val="nil"/>
              <w:left w:val="nil"/>
              <w:bottom w:val="single" w:sz="8" w:space="0" w:color="152935"/>
              <w:right w:val="single" w:sz="8" w:space="0" w:color="E0E0E0"/>
            </w:tcBorders>
            <w:shd w:val="clear" w:color="auto" w:fill="FFFFFF"/>
            <w:vAlign w:val="bottom"/>
          </w:tcPr>
          <w:p w14:paraId="13BC2779"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Statistic</w:t>
            </w:r>
          </w:p>
        </w:tc>
        <w:tc>
          <w:tcPr>
            <w:tcW w:w="1126" w:type="dxa"/>
            <w:tcBorders>
              <w:top w:val="nil"/>
              <w:left w:val="single" w:sz="8" w:space="0" w:color="E0E0E0"/>
              <w:bottom w:val="single" w:sz="8" w:space="0" w:color="152935"/>
              <w:right w:val="single" w:sz="8" w:space="0" w:color="E0E0E0"/>
            </w:tcBorders>
            <w:shd w:val="clear" w:color="auto" w:fill="FFFFFF"/>
            <w:vAlign w:val="bottom"/>
          </w:tcPr>
          <w:p w14:paraId="3442F831"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df</w:t>
            </w:r>
          </w:p>
        </w:tc>
        <w:tc>
          <w:tcPr>
            <w:tcW w:w="1126" w:type="dxa"/>
            <w:tcBorders>
              <w:top w:val="nil"/>
              <w:left w:val="single" w:sz="8" w:space="0" w:color="E0E0E0"/>
              <w:bottom w:val="single" w:sz="8" w:space="0" w:color="152935"/>
              <w:right w:val="nil"/>
            </w:tcBorders>
            <w:shd w:val="clear" w:color="auto" w:fill="FFFFFF"/>
            <w:vAlign w:val="bottom"/>
          </w:tcPr>
          <w:p w14:paraId="0838423A"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Sig.</w:t>
            </w:r>
          </w:p>
        </w:tc>
        <w:tc>
          <w:tcPr>
            <w:tcW w:w="1126" w:type="dxa"/>
            <w:tcBorders>
              <w:top w:val="nil"/>
              <w:left w:val="single" w:sz="8" w:space="0" w:color="E0E0E0"/>
              <w:bottom w:val="single" w:sz="8" w:space="0" w:color="152935"/>
              <w:right w:val="single" w:sz="8" w:space="0" w:color="E0E0E0"/>
            </w:tcBorders>
            <w:shd w:val="clear" w:color="auto" w:fill="FFFFFF"/>
            <w:vAlign w:val="bottom"/>
          </w:tcPr>
          <w:p w14:paraId="7151570D"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Statistic</w:t>
            </w:r>
          </w:p>
        </w:tc>
        <w:tc>
          <w:tcPr>
            <w:tcW w:w="1126" w:type="dxa"/>
            <w:tcBorders>
              <w:top w:val="nil"/>
              <w:left w:val="single" w:sz="8" w:space="0" w:color="E0E0E0"/>
              <w:bottom w:val="single" w:sz="8" w:space="0" w:color="152935"/>
              <w:right w:val="single" w:sz="8" w:space="0" w:color="E0E0E0"/>
            </w:tcBorders>
            <w:shd w:val="clear" w:color="auto" w:fill="FFFFFF"/>
            <w:vAlign w:val="bottom"/>
          </w:tcPr>
          <w:p w14:paraId="58857F76"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df</w:t>
            </w:r>
          </w:p>
        </w:tc>
        <w:tc>
          <w:tcPr>
            <w:tcW w:w="1126" w:type="dxa"/>
            <w:tcBorders>
              <w:top w:val="nil"/>
              <w:left w:val="single" w:sz="8" w:space="0" w:color="E0E0E0"/>
              <w:bottom w:val="single" w:sz="8" w:space="0" w:color="152935"/>
              <w:right w:val="nil"/>
            </w:tcBorders>
            <w:shd w:val="clear" w:color="auto" w:fill="FFFFFF"/>
            <w:vAlign w:val="bottom"/>
          </w:tcPr>
          <w:p w14:paraId="1477C7E2"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Sig.</w:t>
            </w:r>
          </w:p>
        </w:tc>
      </w:tr>
      <w:tr w:rsidR="00BF050C" w:rsidRPr="00BF050C" w14:paraId="7A147506" w14:textId="77777777">
        <w:trPr>
          <w:cantSplit/>
        </w:trPr>
        <w:tc>
          <w:tcPr>
            <w:tcW w:w="890" w:type="dxa"/>
            <w:tcBorders>
              <w:top w:val="single" w:sz="8" w:space="0" w:color="152935"/>
              <w:left w:val="nil"/>
              <w:bottom w:val="single" w:sz="8" w:space="0" w:color="152935"/>
              <w:right w:val="nil"/>
            </w:tcBorders>
            <w:shd w:val="clear" w:color="auto" w:fill="E0E0E0"/>
          </w:tcPr>
          <w:p w14:paraId="5E0585E0"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SCCP</w:t>
            </w:r>
          </w:p>
        </w:tc>
        <w:tc>
          <w:tcPr>
            <w:tcW w:w="1126" w:type="dxa"/>
            <w:tcBorders>
              <w:top w:val="single" w:sz="8" w:space="0" w:color="152935"/>
              <w:left w:val="nil"/>
              <w:bottom w:val="single" w:sz="8" w:space="0" w:color="152935"/>
              <w:right w:val="single" w:sz="8" w:space="0" w:color="E0E0E0"/>
            </w:tcBorders>
            <w:shd w:val="clear" w:color="auto" w:fill="FFFFFF"/>
          </w:tcPr>
          <w:p w14:paraId="14EDCA61"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.108</w:t>
            </w:r>
          </w:p>
        </w:tc>
        <w:tc>
          <w:tcPr>
            <w:tcW w:w="1126" w:type="dxa"/>
            <w:tcBorders>
              <w:top w:val="single" w:sz="8" w:space="0" w:color="152935"/>
              <w:left w:val="single" w:sz="8" w:space="0" w:color="E0E0E0"/>
              <w:bottom w:val="single" w:sz="8" w:space="0" w:color="152935"/>
              <w:right w:val="single" w:sz="8" w:space="0" w:color="E0E0E0"/>
            </w:tcBorders>
            <w:shd w:val="clear" w:color="auto" w:fill="FFFFFF"/>
          </w:tcPr>
          <w:p w14:paraId="0179A337"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61</w:t>
            </w:r>
          </w:p>
        </w:tc>
        <w:tc>
          <w:tcPr>
            <w:tcW w:w="1126" w:type="dxa"/>
            <w:tcBorders>
              <w:top w:val="single" w:sz="8" w:space="0" w:color="152935"/>
              <w:left w:val="single" w:sz="8" w:space="0" w:color="E0E0E0"/>
              <w:bottom w:val="single" w:sz="8" w:space="0" w:color="152935"/>
              <w:right w:val="nil"/>
            </w:tcBorders>
            <w:shd w:val="clear" w:color="auto" w:fill="FFFFFF"/>
          </w:tcPr>
          <w:p w14:paraId="32771C65"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.072</w:t>
            </w:r>
          </w:p>
        </w:tc>
        <w:tc>
          <w:tcPr>
            <w:tcW w:w="1126" w:type="dxa"/>
            <w:tcBorders>
              <w:top w:val="single" w:sz="8" w:space="0" w:color="152935"/>
              <w:left w:val="single" w:sz="8" w:space="0" w:color="E0E0E0"/>
              <w:bottom w:val="single" w:sz="8" w:space="0" w:color="152935"/>
              <w:right w:val="single" w:sz="8" w:space="0" w:color="E0E0E0"/>
            </w:tcBorders>
            <w:shd w:val="clear" w:color="auto" w:fill="FFFFFF"/>
          </w:tcPr>
          <w:p w14:paraId="1E891700"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.948</w:t>
            </w:r>
          </w:p>
        </w:tc>
        <w:tc>
          <w:tcPr>
            <w:tcW w:w="1126" w:type="dxa"/>
            <w:tcBorders>
              <w:top w:val="single" w:sz="8" w:space="0" w:color="152935"/>
              <w:left w:val="single" w:sz="8" w:space="0" w:color="E0E0E0"/>
              <w:bottom w:val="single" w:sz="8" w:space="0" w:color="152935"/>
              <w:right w:val="single" w:sz="8" w:space="0" w:color="E0E0E0"/>
            </w:tcBorders>
            <w:shd w:val="clear" w:color="auto" w:fill="FFFFFF"/>
          </w:tcPr>
          <w:p w14:paraId="0C4424D8"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61</w:t>
            </w:r>
          </w:p>
        </w:tc>
        <w:tc>
          <w:tcPr>
            <w:tcW w:w="1126" w:type="dxa"/>
            <w:tcBorders>
              <w:top w:val="single" w:sz="8" w:space="0" w:color="152935"/>
              <w:left w:val="single" w:sz="8" w:space="0" w:color="E0E0E0"/>
              <w:bottom w:val="single" w:sz="8" w:space="0" w:color="152935"/>
              <w:right w:val="nil"/>
            </w:tcBorders>
            <w:shd w:val="clear" w:color="auto" w:fill="FFFFFF"/>
          </w:tcPr>
          <w:p w14:paraId="2D463964"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.011</w:t>
            </w:r>
          </w:p>
        </w:tc>
      </w:tr>
      <w:tr w:rsidR="00BF050C" w:rsidRPr="00BF050C" w14:paraId="3C82560F" w14:textId="77777777">
        <w:trPr>
          <w:cantSplit/>
        </w:trPr>
        <w:tc>
          <w:tcPr>
            <w:tcW w:w="7646" w:type="dxa"/>
            <w:gridSpan w:val="7"/>
            <w:tcBorders>
              <w:top w:val="nil"/>
              <w:left w:val="nil"/>
              <w:bottom w:val="nil"/>
              <w:right w:val="nil"/>
            </w:tcBorders>
            <w:shd w:val="clear" w:color="auto" w:fill="FFFFFF"/>
          </w:tcPr>
          <w:p w14:paraId="7DDA5881"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a. Lilliefors Significance Correction</w:t>
            </w:r>
          </w:p>
        </w:tc>
      </w:tr>
    </w:tbl>
    <w:p w14:paraId="6F2C4767"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10BC1EFA"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1BFD074F"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b/>
          <w:bCs/>
          <w:color w:val="000000"/>
          <w:sz w:val="26"/>
          <w:szCs w:val="26"/>
        </w:rPr>
      </w:pPr>
    </w:p>
    <w:p w14:paraId="550E14CD"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b/>
          <w:bCs/>
          <w:color w:val="000000"/>
          <w:sz w:val="26"/>
          <w:szCs w:val="26"/>
        </w:rPr>
      </w:pPr>
      <w:r w:rsidRPr="00BF050C">
        <w:rPr>
          <w:rFonts w:ascii="Arial" w:eastAsia="SimSun" w:hAnsi="Arial" w:cs="Arial"/>
          <w:b/>
          <w:bCs/>
          <w:color w:val="000000"/>
          <w:sz w:val="26"/>
          <w:szCs w:val="26"/>
        </w:rPr>
        <w:t>SCCP</w:t>
      </w:r>
    </w:p>
    <w:p w14:paraId="1840D1AB"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00000"/>
          <w:sz w:val="26"/>
          <w:szCs w:val="26"/>
        </w:rPr>
      </w:pPr>
    </w:p>
    <w:p w14:paraId="09B854C2"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7F983C76" w14:textId="0C55A2AA"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r w:rsidRPr="00BF050C">
        <w:rPr>
          <w:rFonts w:ascii="Times New Roman" w:eastAsia="SimSun" w:hAnsi="Times New Roman"/>
          <w:noProof/>
          <w:sz w:val="24"/>
          <w:szCs w:val="24"/>
        </w:rPr>
        <w:drawing>
          <wp:inline distT="0" distB="0" distL="0" distR="0" wp14:anchorId="40394AF0" wp14:editId="7696A570">
            <wp:extent cx="5943600" cy="3500120"/>
            <wp:effectExtent l="0" t="0" r="0" b="508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43600" cy="3500120"/>
                    </a:xfrm>
                    <a:prstGeom prst="rect">
                      <a:avLst/>
                    </a:prstGeom>
                    <a:noFill/>
                    <a:ln>
                      <a:noFill/>
                    </a:ln>
                  </pic:spPr>
                </pic:pic>
              </a:graphicData>
            </a:graphic>
          </wp:inline>
        </w:drawing>
      </w:r>
    </w:p>
    <w:p w14:paraId="0E547E98"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p w14:paraId="5A894D48"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6066A89C" w14:textId="479F690B"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r w:rsidRPr="00BF050C">
        <w:rPr>
          <w:rFonts w:ascii="Times New Roman" w:eastAsia="SimSun" w:hAnsi="Times New Roman"/>
          <w:noProof/>
          <w:sz w:val="24"/>
          <w:szCs w:val="24"/>
        </w:rPr>
        <w:drawing>
          <wp:inline distT="0" distB="0" distL="0" distR="0" wp14:anchorId="70FCBA84" wp14:editId="2CA4C17B">
            <wp:extent cx="5943600" cy="3500120"/>
            <wp:effectExtent l="0" t="0" r="0" b="508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943600" cy="3500120"/>
                    </a:xfrm>
                    <a:prstGeom prst="rect">
                      <a:avLst/>
                    </a:prstGeom>
                    <a:noFill/>
                    <a:ln>
                      <a:noFill/>
                    </a:ln>
                  </pic:spPr>
                </pic:pic>
              </a:graphicData>
            </a:graphic>
          </wp:inline>
        </w:drawing>
      </w:r>
    </w:p>
    <w:p w14:paraId="5D5F4043"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p w14:paraId="2A313125"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3C371403"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28077A14"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b/>
          <w:bCs/>
          <w:color w:val="000000"/>
          <w:sz w:val="26"/>
          <w:szCs w:val="26"/>
        </w:rPr>
      </w:pPr>
    </w:p>
    <w:p w14:paraId="41E31394"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b/>
          <w:bCs/>
          <w:color w:val="000000"/>
          <w:sz w:val="26"/>
          <w:szCs w:val="26"/>
        </w:rPr>
      </w:pPr>
      <w:r w:rsidRPr="00BF050C">
        <w:rPr>
          <w:rFonts w:ascii="Arial" w:eastAsia="SimSun" w:hAnsi="Arial" w:cs="Arial"/>
          <w:b/>
          <w:bCs/>
          <w:color w:val="000000"/>
          <w:sz w:val="26"/>
          <w:szCs w:val="26"/>
        </w:rPr>
        <w:t>Explore</w:t>
      </w:r>
    </w:p>
    <w:p w14:paraId="3F72E517"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00000"/>
          <w:sz w:val="26"/>
          <w:szCs w:val="26"/>
        </w:rPr>
      </w:pPr>
    </w:p>
    <w:p w14:paraId="35CB7268"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58F0CB75"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tbl>
      <w:tblPr>
        <w:tblW w:w="8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30"/>
        <w:gridCol w:w="2718"/>
        <w:gridCol w:w="2752"/>
      </w:tblGrid>
      <w:tr w:rsidR="00BF050C" w:rsidRPr="00BF050C" w14:paraId="0A3EA062" w14:textId="77777777">
        <w:trPr>
          <w:cantSplit/>
        </w:trPr>
        <w:tc>
          <w:tcPr>
            <w:tcW w:w="7998" w:type="dxa"/>
            <w:gridSpan w:val="3"/>
            <w:tcBorders>
              <w:top w:val="nil"/>
              <w:left w:val="nil"/>
              <w:bottom w:val="nil"/>
              <w:right w:val="nil"/>
            </w:tcBorders>
            <w:shd w:val="clear" w:color="auto" w:fill="FFFFFF"/>
            <w:vAlign w:val="center"/>
          </w:tcPr>
          <w:p w14:paraId="28BA32E1"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010205"/>
              </w:rPr>
            </w:pPr>
            <w:r w:rsidRPr="00BF050C">
              <w:rPr>
                <w:rFonts w:ascii="Arial" w:eastAsia="SimSun" w:hAnsi="Arial" w:cs="Arial"/>
                <w:b/>
                <w:bCs/>
                <w:color w:val="010205"/>
              </w:rPr>
              <w:t>Notes</w:t>
            </w:r>
          </w:p>
        </w:tc>
      </w:tr>
      <w:tr w:rsidR="00BF050C" w:rsidRPr="00BF050C" w14:paraId="69B8CBE2" w14:textId="77777777">
        <w:trPr>
          <w:cantSplit/>
        </w:trPr>
        <w:tc>
          <w:tcPr>
            <w:tcW w:w="5247" w:type="dxa"/>
            <w:gridSpan w:val="2"/>
            <w:tcBorders>
              <w:top w:val="nil"/>
              <w:left w:val="nil"/>
              <w:bottom w:val="single" w:sz="8" w:space="0" w:color="AEAEAE"/>
              <w:right w:val="nil"/>
            </w:tcBorders>
            <w:shd w:val="clear" w:color="auto" w:fill="E0E0E0"/>
          </w:tcPr>
          <w:p w14:paraId="1F9B7D63"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Output Created</w:t>
            </w:r>
          </w:p>
        </w:tc>
        <w:tc>
          <w:tcPr>
            <w:tcW w:w="2751" w:type="dxa"/>
            <w:tcBorders>
              <w:top w:val="nil"/>
              <w:left w:val="nil"/>
              <w:bottom w:val="single" w:sz="8" w:space="0" w:color="AEAEAE"/>
              <w:right w:val="nil"/>
            </w:tcBorders>
            <w:shd w:val="clear" w:color="auto" w:fill="FFFFFF"/>
          </w:tcPr>
          <w:p w14:paraId="2B25F1C5"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10-JUL-2023 15:10:48</w:t>
            </w:r>
          </w:p>
        </w:tc>
      </w:tr>
      <w:tr w:rsidR="00BF050C" w:rsidRPr="00BF050C" w14:paraId="01D321B6" w14:textId="77777777">
        <w:trPr>
          <w:cantSplit/>
        </w:trPr>
        <w:tc>
          <w:tcPr>
            <w:tcW w:w="5247" w:type="dxa"/>
            <w:gridSpan w:val="2"/>
            <w:tcBorders>
              <w:top w:val="single" w:sz="8" w:space="0" w:color="AEAEAE"/>
              <w:left w:val="nil"/>
              <w:bottom w:val="single" w:sz="8" w:space="0" w:color="AEAEAE"/>
              <w:right w:val="nil"/>
            </w:tcBorders>
            <w:shd w:val="clear" w:color="auto" w:fill="E0E0E0"/>
          </w:tcPr>
          <w:p w14:paraId="71729B94"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Comments</w:t>
            </w:r>
          </w:p>
        </w:tc>
        <w:tc>
          <w:tcPr>
            <w:tcW w:w="2751" w:type="dxa"/>
            <w:tcBorders>
              <w:top w:val="single" w:sz="8" w:space="0" w:color="AEAEAE"/>
              <w:left w:val="nil"/>
              <w:bottom w:val="single" w:sz="8" w:space="0" w:color="AEAEAE"/>
              <w:right w:val="nil"/>
            </w:tcBorders>
            <w:shd w:val="clear" w:color="auto" w:fill="FFFFFF"/>
          </w:tcPr>
          <w:p w14:paraId="54C76DFB"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3C8FD0FA" w14:textId="77777777">
        <w:trPr>
          <w:cantSplit/>
        </w:trPr>
        <w:tc>
          <w:tcPr>
            <w:tcW w:w="2530" w:type="dxa"/>
            <w:vMerge w:val="restart"/>
            <w:tcBorders>
              <w:top w:val="single" w:sz="8" w:space="0" w:color="AEAEAE"/>
              <w:left w:val="nil"/>
              <w:bottom w:val="single" w:sz="8" w:space="0" w:color="AEAEAE"/>
              <w:right w:val="nil"/>
            </w:tcBorders>
            <w:shd w:val="clear" w:color="auto" w:fill="E0E0E0"/>
          </w:tcPr>
          <w:p w14:paraId="1BC0E955"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Input</w:t>
            </w:r>
          </w:p>
        </w:tc>
        <w:tc>
          <w:tcPr>
            <w:tcW w:w="2717" w:type="dxa"/>
            <w:tcBorders>
              <w:top w:val="single" w:sz="8" w:space="0" w:color="AEAEAE"/>
              <w:left w:val="nil"/>
              <w:bottom w:val="single" w:sz="8" w:space="0" w:color="AEAEAE"/>
              <w:right w:val="nil"/>
            </w:tcBorders>
            <w:shd w:val="clear" w:color="auto" w:fill="E0E0E0"/>
          </w:tcPr>
          <w:p w14:paraId="52C42DC8"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Data</w:t>
            </w:r>
          </w:p>
        </w:tc>
        <w:tc>
          <w:tcPr>
            <w:tcW w:w="2751" w:type="dxa"/>
            <w:tcBorders>
              <w:top w:val="single" w:sz="8" w:space="0" w:color="AEAEAE"/>
              <w:left w:val="nil"/>
              <w:bottom w:val="single" w:sz="8" w:space="0" w:color="AEAEAE"/>
              <w:right w:val="nil"/>
            </w:tcBorders>
            <w:shd w:val="clear" w:color="auto" w:fill="FFFFFF"/>
          </w:tcPr>
          <w:p w14:paraId="4B1D4293"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D:\OGUNTUASEPhD DataLatest.sav</w:t>
            </w:r>
          </w:p>
        </w:tc>
      </w:tr>
      <w:tr w:rsidR="00BF050C" w:rsidRPr="00BF050C" w14:paraId="3DA8FCC3" w14:textId="77777777">
        <w:trPr>
          <w:cantSplit/>
        </w:trPr>
        <w:tc>
          <w:tcPr>
            <w:tcW w:w="2530" w:type="dxa"/>
            <w:vMerge/>
            <w:tcBorders>
              <w:top w:val="single" w:sz="8" w:space="0" w:color="AEAEAE"/>
              <w:left w:val="nil"/>
              <w:bottom w:val="single" w:sz="8" w:space="0" w:color="AEAEAE"/>
              <w:right w:val="nil"/>
            </w:tcBorders>
            <w:shd w:val="clear" w:color="auto" w:fill="E0E0E0"/>
          </w:tcPr>
          <w:p w14:paraId="7450DCE9"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5D37CB88"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Active Dataset</w:t>
            </w:r>
          </w:p>
        </w:tc>
        <w:tc>
          <w:tcPr>
            <w:tcW w:w="2751" w:type="dxa"/>
            <w:tcBorders>
              <w:top w:val="single" w:sz="8" w:space="0" w:color="AEAEAE"/>
              <w:left w:val="nil"/>
              <w:bottom w:val="single" w:sz="8" w:space="0" w:color="AEAEAE"/>
              <w:right w:val="nil"/>
            </w:tcBorders>
            <w:shd w:val="clear" w:color="auto" w:fill="FFFFFF"/>
          </w:tcPr>
          <w:p w14:paraId="40880808"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DataSet2</w:t>
            </w:r>
          </w:p>
        </w:tc>
      </w:tr>
      <w:tr w:rsidR="00BF050C" w:rsidRPr="00BF050C" w14:paraId="1656FC1E" w14:textId="77777777">
        <w:trPr>
          <w:cantSplit/>
        </w:trPr>
        <w:tc>
          <w:tcPr>
            <w:tcW w:w="2530" w:type="dxa"/>
            <w:vMerge/>
            <w:tcBorders>
              <w:top w:val="single" w:sz="8" w:space="0" w:color="AEAEAE"/>
              <w:left w:val="nil"/>
              <w:bottom w:val="single" w:sz="8" w:space="0" w:color="AEAEAE"/>
              <w:right w:val="nil"/>
            </w:tcBorders>
            <w:shd w:val="clear" w:color="auto" w:fill="E0E0E0"/>
          </w:tcPr>
          <w:p w14:paraId="16F5A739"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691CFC23"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Filter</w:t>
            </w:r>
          </w:p>
        </w:tc>
        <w:tc>
          <w:tcPr>
            <w:tcW w:w="2751" w:type="dxa"/>
            <w:tcBorders>
              <w:top w:val="single" w:sz="8" w:space="0" w:color="AEAEAE"/>
              <w:left w:val="nil"/>
              <w:bottom w:val="single" w:sz="8" w:space="0" w:color="AEAEAE"/>
              <w:right w:val="nil"/>
            </w:tcBorders>
            <w:shd w:val="clear" w:color="auto" w:fill="FFFFFF"/>
          </w:tcPr>
          <w:p w14:paraId="1801C108"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&lt;none&gt;</w:t>
            </w:r>
          </w:p>
        </w:tc>
      </w:tr>
      <w:tr w:rsidR="00BF050C" w:rsidRPr="00BF050C" w14:paraId="2A08E4EA" w14:textId="77777777">
        <w:trPr>
          <w:cantSplit/>
        </w:trPr>
        <w:tc>
          <w:tcPr>
            <w:tcW w:w="2530" w:type="dxa"/>
            <w:vMerge/>
            <w:tcBorders>
              <w:top w:val="single" w:sz="8" w:space="0" w:color="AEAEAE"/>
              <w:left w:val="nil"/>
              <w:bottom w:val="single" w:sz="8" w:space="0" w:color="AEAEAE"/>
              <w:right w:val="nil"/>
            </w:tcBorders>
            <w:shd w:val="clear" w:color="auto" w:fill="E0E0E0"/>
          </w:tcPr>
          <w:p w14:paraId="2212C4D2"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45156F6D"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Weight</w:t>
            </w:r>
          </w:p>
        </w:tc>
        <w:tc>
          <w:tcPr>
            <w:tcW w:w="2751" w:type="dxa"/>
            <w:tcBorders>
              <w:top w:val="single" w:sz="8" w:space="0" w:color="AEAEAE"/>
              <w:left w:val="nil"/>
              <w:bottom w:val="single" w:sz="8" w:space="0" w:color="AEAEAE"/>
              <w:right w:val="nil"/>
            </w:tcBorders>
            <w:shd w:val="clear" w:color="auto" w:fill="FFFFFF"/>
          </w:tcPr>
          <w:p w14:paraId="626078D8"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&lt;none&gt;</w:t>
            </w:r>
          </w:p>
        </w:tc>
      </w:tr>
      <w:tr w:rsidR="00BF050C" w:rsidRPr="00BF050C" w14:paraId="357D82AB" w14:textId="77777777">
        <w:trPr>
          <w:cantSplit/>
        </w:trPr>
        <w:tc>
          <w:tcPr>
            <w:tcW w:w="2530" w:type="dxa"/>
            <w:vMerge/>
            <w:tcBorders>
              <w:top w:val="single" w:sz="8" w:space="0" w:color="AEAEAE"/>
              <w:left w:val="nil"/>
              <w:bottom w:val="single" w:sz="8" w:space="0" w:color="AEAEAE"/>
              <w:right w:val="nil"/>
            </w:tcBorders>
            <w:shd w:val="clear" w:color="auto" w:fill="E0E0E0"/>
          </w:tcPr>
          <w:p w14:paraId="3242B4CF"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441F2DD5"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Split File</w:t>
            </w:r>
          </w:p>
        </w:tc>
        <w:tc>
          <w:tcPr>
            <w:tcW w:w="2751" w:type="dxa"/>
            <w:tcBorders>
              <w:top w:val="single" w:sz="8" w:space="0" w:color="AEAEAE"/>
              <w:left w:val="nil"/>
              <w:bottom w:val="single" w:sz="8" w:space="0" w:color="AEAEAE"/>
              <w:right w:val="nil"/>
            </w:tcBorders>
            <w:shd w:val="clear" w:color="auto" w:fill="FFFFFF"/>
          </w:tcPr>
          <w:p w14:paraId="7B2E2CE7"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&lt;none&gt;</w:t>
            </w:r>
          </w:p>
        </w:tc>
      </w:tr>
      <w:tr w:rsidR="00BF050C" w:rsidRPr="00BF050C" w14:paraId="7C32E8EA" w14:textId="77777777">
        <w:trPr>
          <w:cantSplit/>
        </w:trPr>
        <w:tc>
          <w:tcPr>
            <w:tcW w:w="2530" w:type="dxa"/>
            <w:vMerge/>
            <w:tcBorders>
              <w:top w:val="single" w:sz="8" w:space="0" w:color="AEAEAE"/>
              <w:left w:val="nil"/>
              <w:bottom w:val="single" w:sz="8" w:space="0" w:color="AEAEAE"/>
              <w:right w:val="nil"/>
            </w:tcBorders>
            <w:shd w:val="clear" w:color="auto" w:fill="E0E0E0"/>
          </w:tcPr>
          <w:p w14:paraId="2B0AB190"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544ABA2D"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N of Rows in Working Data File</w:t>
            </w:r>
          </w:p>
        </w:tc>
        <w:tc>
          <w:tcPr>
            <w:tcW w:w="2751" w:type="dxa"/>
            <w:tcBorders>
              <w:top w:val="single" w:sz="8" w:space="0" w:color="AEAEAE"/>
              <w:left w:val="nil"/>
              <w:bottom w:val="single" w:sz="8" w:space="0" w:color="AEAEAE"/>
              <w:right w:val="nil"/>
            </w:tcBorders>
            <w:shd w:val="clear" w:color="auto" w:fill="FFFFFF"/>
          </w:tcPr>
          <w:p w14:paraId="51D53A85"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364</w:t>
            </w:r>
          </w:p>
        </w:tc>
      </w:tr>
      <w:tr w:rsidR="00BF050C" w:rsidRPr="00BF050C" w14:paraId="1CAAA6F0" w14:textId="77777777">
        <w:trPr>
          <w:cantSplit/>
        </w:trPr>
        <w:tc>
          <w:tcPr>
            <w:tcW w:w="2530" w:type="dxa"/>
            <w:vMerge w:val="restart"/>
            <w:tcBorders>
              <w:top w:val="single" w:sz="8" w:space="0" w:color="AEAEAE"/>
              <w:left w:val="nil"/>
              <w:bottom w:val="single" w:sz="8" w:space="0" w:color="AEAEAE"/>
              <w:right w:val="nil"/>
            </w:tcBorders>
            <w:shd w:val="clear" w:color="auto" w:fill="E0E0E0"/>
          </w:tcPr>
          <w:p w14:paraId="481E48BA"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Missing Value Handling</w:t>
            </w:r>
          </w:p>
        </w:tc>
        <w:tc>
          <w:tcPr>
            <w:tcW w:w="2717" w:type="dxa"/>
            <w:tcBorders>
              <w:top w:val="single" w:sz="8" w:space="0" w:color="AEAEAE"/>
              <w:left w:val="nil"/>
              <w:bottom w:val="single" w:sz="8" w:space="0" w:color="AEAEAE"/>
              <w:right w:val="nil"/>
            </w:tcBorders>
            <w:shd w:val="clear" w:color="auto" w:fill="E0E0E0"/>
          </w:tcPr>
          <w:p w14:paraId="4CD8DAD1"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Definition of Missing</w:t>
            </w:r>
          </w:p>
        </w:tc>
        <w:tc>
          <w:tcPr>
            <w:tcW w:w="2751" w:type="dxa"/>
            <w:tcBorders>
              <w:top w:val="single" w:sz="8" w:space="0" w:color="AEAEAE"/>
              <w:left w:val="nil"/>
              <w:bottom w:val="single" w:sz="8" w:space="0" w:color="AEAEAE"/>
              <w:right w:val="nil"/>
            </w:tcBorders>
            <w:shd w:val="clear" w:color="auto" w:fill="FFFFFF"/>
          </w:tcPr>
          <w:p w14:paraId="364F5633"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User-defined missing values for dependent variables are treated as missing.</w:t>
            </w:r>
          </w:p>
        </w:tc>
      </w:tr>
      <w:tr w:rsidR="00BF050C" w:rsidRPr="00BF050C" w14:paraId="5C914DE8" w14:textId="77777777">
        <w:trPr>
          <w:cantSplit/>
        </w:trPr>
        <w:tc>
          <w:tcPr>
            <w:tcW w:w="2530" w:type="dxa"/>
            <w:vMerge/>
            <w:tcBorders>
              <w:top w:val="single" w:sz="8" w:space="0" w:color="AEAEAE"/>
              <w:left w:val="nil"/>
              <w:bottom w:val="single" w:sz="8" w:space="0" w:color="AEAEAE"/>
              <w:right w:val="nil"/>
            </w:tcBorders>
            <w:shd w:val="clear" w:color="auto" w:fill="E0E0E0"/>
          </w:tcPr>
          <w:p w14:paraId="59D318CE"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126B8BF4"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Cases Used</w:t>
            </w:r>
          </w:p>
        </w:tc>
        <w:tc>
          <w:tcPr>
            <w:tcW w:w="2751" w:type="dxa"/>
            <w:tcBorders>
              <w:top w:val="single" w:sz="8" w:space="0" w:color="AEAEAE"/>
              <w:left w:val="nil"/>
              <w:bottom w:val="single" w:sz="8" w:space="0" w:color="AEAEAE"/>
              <w:right w:val="nil"/>
            </w:tcBorders>
            <w:shd w:val="clear" w:color="auto" w:fill="FFFFFF"/>
          </w:tcPr>
          <w:p w14:paraId="42E4BF72"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Statistics are based on cases with no missing values for any dependent variable or factor used.</w:t>
            </w:r>
          </w:p>
        </w:tc>
      </w:tr>
      <w:tr w:rsidR="00BF050C" w:rsidRPr="00BF050C" w14:paraId="42A4F5C4" w14:textId="77777777">
        <w:trPr>
          <w:cantSplit/>
        </w:trPr>
        <w:tc>
          <w:tcPr>
            <w:tcW w:w="5247" w:type="dxa"/>
            <w:gridSpan w:val="2"/>
            <w:tcBorders>
              <w:top w:val="single" w:sz="8" w:space="0" w:color="AEAEAE"/>
              <w:left w:val="nil"/>
              <w:bottom w:val="single" w:sz="8" w:space="0" w:color="AEAEAE"/>
              <w:right w:val="nil"/>
            </w:tcBorders>
            <w:shd w:val="clear" w:color="auto" w:fill="E0E0E0"/>
          </w:tcPr>
          <w:p w14:paraId="4D66A0C9"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Syntax</w:t>
            </w:r>
          </w:p>
        </w:tc>
        <w:tc>
          <w:tcPr>
            <w:tcW w:w="2751" w:type="dxa"/>
            <w:tcBorders>
              <w:top w:val="single" w:sz="8" w:space="0" w:color="AEAEAE"/>
              <w:left w:val="nil"/>
              <w:bottom w:val="single" w:sz="8" w:space="0" w:color="AEAEAE"/>
              <w:right w:val="nil"/>
            </w:tcBorders>
            <w:shd w:val="clear" w:color="auto" w:fill="FFFFFF"/>
          </w:tcPr>
          <w:p w14:paraId="7533213F"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EXAMINE VARIABLES=LS</w:t>
            </w:r>
          </w:p>
          <w:p w14:paraId="458F731C"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/PLOT HISTOGRAM NPPLOT</w:t>
            </w:r>
          </w:p>
          <w:p w14:paraId="2B3FD184"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/STATISTICS DESCRIPTIVES</w:t>
            </w:r>
          </w:p>
          <w:p w14:paraId="4A556E59"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/CINTERVAL 95</w:t>
            </w:r>
          </w:p>
          <w:p w14:paraId="4A772B6A"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/MISSING LISTWISE</w:t>
            </w:r>
          </w:p>
          <w:p w14:paraId="58C96E9A"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/NOTOTAL.</w:t>
            </w:r>
          </w:p>
        </w:tc>
      </w:tr>
      <w:tr w:rsidR="00BF050C" w:rsidRPr="00BF050C" w14:paraId="4D020D5B" w14:textId="77777777">
        <w:trPr>
          <w:cantSplit/>
        </w:trPr>
        <w:tc>
          <w:tcPr>
            <w:tcW w:w="2530" w:type="dxa"/>
            <w:vMerge w:val="restart"/>
            <w:tcBorders>
              <w:top w:val="single" w:sz="8" w:space="0" w:color="AEAEAE"/>
              <w:left w:val="nil"/>
              <w:bottom w:val="single" w:sz="8" w:space="0" w:color="152935"/>
              <w:right w:val="nil"/>
            </w:tcBorders>
            <w:shd w:val="clear" w:color="auto" w:fill="E0E0E0"/>
          </w:tcPr>
          <w:p w14:paraId="4D7548A7"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Resources</w:t>
            </w:r>
          </w:p>
        </w:tc>
        <w:tc>
          <w:tcPr>
            <w:tcW w:w="2717" w:type="dxa"/>
            <w:tcBorders>
              <w:top w:val="single" w:sz="8" w:space="0" w:color="AEAEAE"/>
              <w:left w:val="nil"/>
              <w:bottom w:val="single" w:sz="8" w:space="0" w:color="AEAEAE"/>
              <w:right w:val="nil"/>
            </w:tcBorders>
            <w:shd w:val="clear" w:color="auto" w:fill="E0E0E0"/>
          </w:tcPr>
          <w:p w14:paraId="27711074"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Processor Time</w:t>
            </w:r>
          </w:p>
        </w:tc>
        <w:tc>
          <w:tcPr>
            <w:tcW w:w="2751" w:type="dxa"/>
            <w:tcBorders>
              <w:top w:val="single" w:sz="8" w:space="0" w:color="AEAEAE"/>
              <w:left w:val="nil"/>
              <w:bottom w:val="single" w:sz="8" w:space="0" w:color="AEAEAE"/>
              <w:right w:val="nil"/>
            </w:tcBorders>
            <w:shd w:val="clear" w:color="auto" w:fill="FFFFFF"/>
          </w:tcPr>
          <w:p w14:paraId="3790E731"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00:00:03.03</w:t>
            </w:r>
          </w:p>
        </w:tc>
      </w:tr>
      <w:tr w:rsidR="00BF050C" w:rsidRPr="00BF050C" w14:paraId="56E80D50" w14:textId="77777777">
        <w:trPr>
          <w:cantSplit/>
        </w:trPr>
        <w:tc>
          <w:tcPr>
            <w:tcW w:w="2530" w:type="dxa"/>
            <w:vMerge/>
            <w:tcBorders>
              <w:top w:val="single" w:sz="8" w:space="0" w:color="AEAEAE"/>
              <w:left w:val="nil"/>
              <w:bottom w:val="single" w:sz="8" w:space="0" w:color="152935"/>
              <w:right w:val="nil"/>
            </w:tcBorders>
            <w:shd w:val="clear" w:color="auto" w:fill="E0E0E0"/>
          </w:tcPr>
          <w:p w14:paraId="62C72BA1"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152935"/>
              <w:right w:val="nil"/>
            </w:tcBorders>
            <w:shd w:val="clear" w:color="auto" w:fill="E0E0E0"/>
          </w:tcPr>
          <w:p w14:paraId="0DE1BBF3"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Elapsed Time</w:t>
            </w:r>
          </w:p>
        </w:tc>
        <w:tc>
          <w:tcPr>
            <w:tcW w:w="2751" w:type="dxa"/>
            <w:tcBorders>
              <w:top w:val="single" w:sz="8" w:space="0" w:color="AEAEAE"/>
              <w:left w:val="nil"/>
              <w:bottom w:val="single" w:sz="8" w:space="0" w:color="152935"/>
              <w:right w:val="nil"/>
            </w:tcBorders>
            <w:shd w:val="clear" w:color="auto" w:fill="FFFFFF"/>
          </w:tcPr>
          <w:p w14:paraId="27F40171"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00:00:01.59</w:t>
            </w:r>
          </w:p>
        </w:tc>
      </w:tr>
    </w:tbl>
    <w:p w14:paraId="1F5397EC"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64F7F4C0"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tbl>
      <w:tblPr>
        <w:tblW w:w="73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07"/>
        <w:gridCol w:w="2690"/>
        <w:gridCol w:w="1546"/>
        <w:gridCol w:w="1126"/>
        <w:gridCol w:w="1176"/>
      </w:tblGrid>
      <w:tr w:rsidR="00BF050C" w:rsidRPr="00BF050C" w14:paraId="0B8608D0" w14:textId="77777777">
        <w:trPr>
          <w:cantSplit/>
        </w:trPr>
        <w:tc>
          <w:tcPr>
            <w:tcW w:w="7343" w:type="dxa"/>
            <w:gridSpan w:val="5"/>
            <w:tcBorders>
              <w:top w:val="nil"/>
              <w:left w:val="nil"/>
              <w:bottom w:val="nil"/>
              <w:right w:val="nil"/>
            </w:tcBorders>
            <w:shd w:val="clear" w:color="auto" w:fill="FFFFFF"/>
            <w:vAlign w:val="center"/>
          </w:tcPr>
          <w:p w14:paraId="1775568C" w14:textId="6F8A72F4"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010205"/>
              </w:rPr>
            </w:pPr>
            <w:r w:rsidRPr="00BF050C">
              <w:rPr>
                <w:rFonts w:ascii="Arial" w:eastAsia="SimSun" w:hAnsi="Arial" w:cs="Arial"/>
                <w:b/>
                <w:bCs/>
                <w:color w:val="010205"/>
              </w:rPr>
              <w:t>Descriptive</w:t>
            </w:r>
          </w:p>
        </w:tc>
      </w:tr>
      <w:tr w:rsidR="00BF050C" w:rsidRPr="00BF050C" w14:paraId="07408B22" w14:textId="77777777">
        <w:trPr>
          <w:cantSplit/>
        </w:trPr>
        <w:tc>
          <w:tcPr>
            <w:tcW w:w="5041" w:type="dxa"/>
            <w:gridSpan w:val="3"/>
            <w:tcBorders>
              <w:top w:val="nil"/>
              <w:left w:val="nil"/>
              <w:bottom w:val="single" w:sz="8" w:space="0" w:color="152935"/>
              <w:right w:val="nil"/>
            </w:tcBorders>
            <w:shd w:val="clear" w:color="auto" w:fill="FFFFFF"/>
            <w:vAlign w:val="bottom"/>
          </w:tcPr>
          <w:p w14:paraId="300CBFC6"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1126" w:type="dxa"/>
            <w:tcBorders>
              <w:top w:val="nil"/>
              <w:left w:val="nil"/>
              <w:bottom w:val="single" w:sz="8" w:space="0" w:color="152935"/>
              <w:right w:val="nil"/>
            </w:tcBorders>
            <w:shd w:val="clear" w:color="auto" w:fill="FFFFFF"/>
            <w:vAlign w:val="bottom"/>
          </w:tcPr>
          <w:p w14:paraId="7425C8D9"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Statistic</w:t>
            </w:r>
          </w:p>
        </w:tc>
        <w:tc>
          <w:tcPr>
            <w:tcW w:w="1176" w:type="dxa"/>
            <w:tcBorders>
              <w:top w:val="nil"/>
              <w:left w:val="single" w:sz="8" w:space="0" w:color="E0E0E0"/>
              <w:bottom w:val="single" w:sz="8" w:space="0" w:color="152935"/>
              <w:right w:val="nil"/>
            </w:tcBorders>
            <w:shd w:val="clear" w:color="auto" w:fill="FFFFFF"/>
            <w:vAlign w:val="bottom"/>
          </w:tcPr>
          <w:p w14:paraId="68971654"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Std. Error</w:t>
            </w:r>
          </w:p>
        </w:tc>
      </w:tr>
      <w:tr w:rsidR="00BF050C" w:rsidRPr="00BF050C" w14:paraId="1B4B4F67" w14:textId="77777777">
        <w:trPr>
          <w:cantSplit/>
        </w:trPr>
        <w:tc>
          <w:tcPr>
            <w:tcW w:w="806" w:type="dxa"/>
            <w:vMerge w:val="restart"/>
            <w:tcBorders>
              <w:top w:val="single" w:sz="8" w:space="0" w:color="152935"/>
              <w:left w:val="nil"/>
              <w:bottom w:val="single" w:sz="8" w:space="0" w:color="152935"/>
              <w:right w:val="nil"/>
            </w:tcBorders>
            <w:shd w:val="clear" w:color="auto" w:fill="E0E0E0"/>
          </w:tcPr>
          <w:p w14:paraId="52263912"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LS</w:t>
            </w:r>
          </w:p>
        </w:tc>
        <w:tc>
          <w:tcPr>
            <w:tcW w:w="4235" w:type="dxa"/>
            <w:gridSpan w:val="2"/>
            <w:tcBorders>
              <w:top w:val="single" w:sz="8" w:space="0" w:color="152935"/>
              <w:left w:val="nil"/>
              <w:bottom w:val="nil"/>
              <w:right w:val="nil"/>
            </w:tcBorders>
            <w:shd w:val="clear" w:color="auto" w:fill="E0E0E0"/>
          </w:tcPr>
          <w:p w14:paraId="1F683757"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Mean</w:t>
            </w:r>
          </w:p>
        </w:tc>
        <w:tc>
          <w:tcPr>
            <w:tcW w:w="1126" w:type="dxa"/>
            <w:tcBorders>
              <w:top w:val="single" w:sz="8" w:space="0" w:color="152935"/>
              <w:left w:val="nil"/>
              <w:bottom w:val="nil"/>
              <w:right w:val="nil"/>
            </w:tcBorders>
            <w:shd w:val="clear" w:color="auto" w:fill="FFFFFF"/>
          </w:tcPr>
          <w:p w14:paraId="7C1FC93D"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.3894</w:t>
            </w:r>
          </w:p>
        </w:tc>
        <w:tc>
          <w:tcPr>
            <w:tcW w:w="1176" w:type="dxa"/>
            <w:tcBorders>
              <w:top w:val="single" w:sz="8" w:space="0" w:color="152935"/>
              <w:left w:val="single" w:sz="8" w:space="0" w:color="E0E0E0"/>
              <w:bottom w:val="nil"/>
              <w:right w:val="nil"/>
            </w:tcBorders>
            <w:shd w:val="clear" w:color="auto" w:fill="FFFFFF"/>
          </w:tcPr>
          <w:p w14:paraId="6A7811AF"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.00930</w:t>
            </w:r>
          </w:p>
        </w:tc>
      </w:tr>
      <w:tr w:rsidR="00BF050C" w:rsidRPr="00BF050C" w14:paraId="11CA917E" w14:textId="77777777">
        <w:trPr>
          <w:cantSplit/>
        </w:trPr>
        <w:tc>
          <w:tcPr>
            <w:tcW w:w="806" w:type="dxa"/>
            <w:vMerge/>
            <w:tcBorders>
              <w:top w:val="single" w:sz="8" w:space="0" w:color="152935"/>
              <w:left w:val="nil"/>
              <w:bottom w:val="single" w:sz="8" w:space="0" w:color="152935"/>
              <w:right w:val="nil"/>
            </w:tcBorders>
            <w:shd w:val="clear" w:color="auto" w:fill="E0E0E0"/>
          </w:tcPr>
          <w:p w14:paraId="3331DA51"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689" w:type="dxa"/>
            <w:vMerge w:val="restart"/>
            <w:tcBorders>
              <w:top w:val="single" w:sz="8" w:space="0" w:color="AEAEAE"/>
              <w:left w:val="nil"/>
              <w:bottom w:val="nil"/>
              <w:right w:val="nil"/>
            </w:tcBorders>
            <w:shd w:val="clear" w:color="auto" w:fill="E0E0E0"/>
          </w:tcPr>
          <w:p w14:paraId="1A911C3C"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95% Confidence Interval for Mean</w:t>
            </w:r>
          </w:p>
        </w:tc>
        <w:tc>
          <w:tcPr>
            <w:tcW w:w="1546" w:type="dxa"/>
            <w:tcBorders>
              <w:top w:val="single" w:sz="8" w:space="0" w:color="AEAEAE"/>
              <w:left w:val="nil"/>
              <w:bottom w:val="single" w:sz="8" w:space="0" w:color="AEAEAE"/>
              <w:right w:val="nil"/>
            </w:tcBorders>
            <w:shd w:val="clear" w:color="auto" w:fill="E0E0E0"/>
          </w:tcPr>
          <w:p w14:paraId="4BF4F639"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Lower Bound</w:t>
            </w:r>
          </w:p>
        </w:tc>
        <w:tc>
          <w:tcPr>
            <w:tcW w:w="1126" w:type="dxa"/>
            <w:tcBorders>
              <w:top w:val="single" w:sz="8" w:space="0" w:color="AEAEAE"/>
              <w:left w:val="nil"/>
              <w:bottom w:val="single" w:sz="8" w:space="0" w:color="AEAEAE"/>
              <w:right w:val="nil"/>
            </w:tcBorders>
            <w:shd w:val="clear" w:color="auto" w:fill="FFFFFF"/>
          </w:tcPr>
          <w:p w14:paraId="0F96CD0A"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.3708</w:t>
            </w:r>
          </w:p>
        </w:tc>
        <w:tc>
          <w:tcPr>
            <w:tcW w:w="1176" w:type="dxa"/>
            <w:tcBorders>
              <w:top w:val="single" w:sz="8" w:space="0" w:color="AEAEAE"/>
              <w:left w:val="single" w:sz="8" w:space="0" w:color="E0E0E0"/>
              <w:bottom w:val="single" w:sz="8" w:space="0" w:color="AEAEAE"/>
              <w:right w:val="nil"/>
            </w:tcBorders>
            <w:shd w:val="clear" w:color="auto" w:fill="FFFFFF"/>
            <w:vAlign w:val="center"/>
          </w:tcPr>
          <w:p w14:paraId="2744B46D"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597AEA2A" w14:textId="77777777">
        <w:trPr>
          <w:cantSplit/>
        </w:trPr>
        <w:tc>
          <w:tcPr>
            <w:tcW w:w="806" w:type="dxa"/>
            <w:vMerge/>
            <w:tcBorders>
              <w:top w:val="single" w:sz="8" w:space="0" w:color="152935"/>
              <w:left w:val="nil"/>
              <w:bottom w:val="single" w:sz="8" w:space="0" w:color="152935"/>
              <w:right w:val="nil"/>
            </w:tcBorders>
            <w:shd w:val="clear" w:color="auto" w:fill="E0E0E0"/>
          </w:tcPr>
          <w:p w14:paraId="233C44B9"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2689" w:type="dxa"/>
            <w:vMerge/>
            <w:tcBorders>
              <w:top w:val="single" w:sz="8" w:space="0" w:color="AEAEAE"/>
              <w:left w:val="nil"/>
              <w:bottom w:val="nil"/>
              <w:right w:val="nil"/>
            </w:tcBorders>
            <w:shd w:val="clear" w:color="auto" w:fill="E0E0E0"/>
          </w:tcPr>
          <w:p w14:paraId="5A253EA7"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1546" w:type="dxa"/>
            <w:tcBorders>
              <w:top w:val="single" w:sz="8" w:space="0" w:color="AEAEAE"/>
              <w:left w:val="nil"/>
              <w:bottom w:val="nil"/>
              <w:right w:val="nil"/>
            </w:tcBorders>
            <w:shd w:val="clear" w:color="auto" w:fill="E0E0E0"/>
          </w:tcPr>
          <w:p w14:paraId="61E17784"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Upper Bound</w:t>
            </w:r>
          </w:p>
        </w:tc>
        <w:tc>
          <w:tcPr>
            <w:tcW w:w="1126" w:type="dxa"/>
            <w:tcBorders>
              <w:top w:val="single" w:sz="8" w:space="0" w:color="AEAEAE"/>
              <w:left w:val="nil"/>
              <w:bottom w:val="nil"/>
              <w:right w:val="nil"/>
            </w:tcBorders>
            <w:shd w:val="clear" w:color="auto" w:fill="FFFFFF"/>
          </w:tcPr>
          <w:p w14:paraId="21B2DD8B"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.4080</w:t>
            </w:r>
          </w:p>
        </w:tc>
        <w:tc>
          <w:tcPr>
            <w:tcW w:w="1176" w:type="dxa"/>
            <w:tcBorders>
              <w:top w:val="single" w:sz="8" w:space="0" w:color="AEAEAE"/>
              <w:left w:val="single" w:sz="8" w:space="0" w:color="E0E0E0"/>
              <w:bottom w:val="nil"/>
              <w:right w:val="nil"/>
            </w:tcBorders>
            <w:shd w:val="clear" w:color="auto" w:fill="FFFFFF"/>
            <w:vAlign w:val="center"/>
          </w:tcPr>
          <w:p w14:paraId="65E9E81F"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26DBB04B" w14:textId="77777777">
        <w:trPr>
          <w:cantSplit/>
        </w:trPr>
        <w:tc>
          <w:tcPr>
            <w:tcW w:w="806" w:type="dxa"/>
            <w:vMerge/>
            <w:tcBorders>
              <w:top w:val="single" w:sz="8" w:space="0" w:color="152935"/>
              <w:left w:val="nil"/>
              <w:bottom w:val="single" w:sz="8" w:space="0" w:color="152935"/>
              <w:right w:val="nil"/>
            </w:tcBorders>
            <w:shd w:val="clear" w:color="auto" w:fill="E0E0E0"/>
          </w:tcPr>
          <w:p w14:paraId="5B764597"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6358A71E"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5% Trimmed Mean</w:t>
            </w:r>
          </w:p>
        </w:tc>
        <w:tc>
          <w:tcPr>
            <w:tcW w:w="1126" w:type="dxa"/>
            <w:tcBorders>
              <w:top w:val="single" w:sz="8" w:space="0" w:color="AEAEAE"/>
              <w:left w:val="nil"/>
              <w:bottom w:val="nil"/>
              <w:right w:val="nil"/>
            </w:tcBorders>
            <w:shd w:val="clear" w:color="auto" w:fill="FFFFFF"/>
          </w:tcPr>
          <w:p w14:paraId="5B100E00"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.3926</w:t>
            </w:r>
          </w:p>
        </w:tc>
        <w:tc>
          <w:tcPr>
            <w:tcW w:w="1176" w:type="dxa"/>
            <w:tcBorders>
              <w:top w:val="single" w:sz="8" w:space="0" w:color="AEAEAE"/>
              <w:left w:val="single" w:sz="8" w:space="0" w:color="E0E0E0"/>
              <w:bottom w:val="nil"/>
              <w:right w:val="nil"/>
            </w:tcBorders>
            <w:shd w:val="clear" w:color="auto" w:fill="FFFFFF"/>
            <w:vAlign w:val="center"/>
          </w:tcPr>
          <w:p w14:paraId="11F6099E"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124B5961" w14:textId="77777777">
        <w:trPr>
          <w:cantSplit/>
        </w:trPr>
        <w:tc>
          <w:tcPr>
            <w:tcW w:w="806" w:type="dxa"/>
            <w:vMerge/>
            <w:tcBorders>
              <w:top w:val="single" w:sz="8" w:space="0" w:color="152935"/>
              <w:left w:val="nil"/>
              <w:bottom w:val="single" w:sz="8" w:space="0" w:color="152935"/>
              <w:right w:val="nil"/>
            </w:tcBorders>
            <w:shd w:val="clear" w:color="auto" w:fill="E0E0E0"/>
          </w:tcPr>
          <w:p w14:paraId="5506E212"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041BA88E"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Median</w:t>
            </w:r>
          </w:p>
        </w:tc>
        <w:tc>
          <w:tcPr>
            <w:tcW w:w="1126" w:type="dxa"/>
            <w:tcBorders>
              <w:top w:val="single" w:sz="8" w:space="0" w:color="AEAEAE"/>
              <w:left w:val="nil"/>
              <w:bottom w:val="nil"/>
              <w:right w:val="nil"/>
            </w:tcBorders>
            <w:shd w:val="clear" w:color="auto" w:fill="FFFFFF"/>
          </w:tcPr>
          <w:p w14:paraId="341E0529"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.4089</w:t>
            </w:r>
          </w:p>
        </w:tc>
        <w:tc>
          <w:tcPr>
            <w:tcW w:w="1176" w:type="dxa"/>
            <w:tcBorders>
              <w:top w:val="single" w:sz="8" w:space="0" w:color="AEAEAE"/>
              <w:left w:val="single" w:sz="8" w:space="0" w:color="E0E0E0"/>
              <w:bottom w:val="nil"/>
              <w:right w:val="nil"/>
            </w:tcBorders>
            <w:shd w:val="clear" w:color="auto" w:fill="FFFFFF"/>
            <w:vAlign w:val="center"/>
          </w:tcPr>
          <w:p w14:paraId="7EB8CADC"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37B01EEF" w14:textId="77777777">
        <w:trPr>
          <w:cantSplit/>
        </w:trPr>
        <w:tc>
          <w:tcPr>
            <w:tcW w:w="806" w:type="dxa"/>
            <w:vMerge/>
            <w:tcBorders>
              <w:top w:val="single" w:sz="8" w:space="0" w:color="152935"/>
              <w:left w:val="nil"/>
              <w:bottom w:val="single" w:sz="8" w:space="0" w:color="152935"/>
              <w:right w:val="nil"/>
            </w:tcBorders>
            <w:shd w:val="clear" w:color="auto" w:fill="E0E0E0"/>
          </w:tcPr>
          <w:p w14:paraId="6FB090AA"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63AAACF6"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Variance</w:t>
            </w:r>
          </w:p>
        </w:tc>
        <w:tc>
          <w:tcPr>
            <w:tcW w:w="1126" w:type="dxa"/>
            <w:tcBorders>
              <w:top w:val="single" w:sz="8" w:space="0" w:color="AEAEAE"/>
              <w:left w:val="nil"/>
              <w:bottom w:val="nil"/>
              <w:right w:val="nil"/>
            </w:tcBorders>
            <w:shd w:val="clear" w:color="auto" w:fill="FFFFFF"/>
          </w:tcPr>
          <w:p w14:paraId="25BA4617"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.005</w:t>
            </w:r>
          </w:p>
        </w:tc>
        <w:tc>
          <w:tcPr>
            <w:tcW w:w="1176" w:type="dxa"/>
            <w:tcBorders>
              <w:top w:val="single" w:sz="8" w:space="0" w:color="AEAEAE"/>
              <w:left w:val="single" w:sz="8" w:space="0" w:color="E0E0E0"/>
              <w:bottom w:val="nil"/>
              <w:right w:val="nil"/>
            </w:tcBorders>
            <w:shd w:val="clear" w:color="auto" w:fill="FFFFFF"/>
            <w:vAlign w:val="center"/>
          </w:tcPr>
          <w:p w14:paraId="761FA955"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6992CBE4" w14:textId="77777777">
        <w:trPr>
          <w:cantSplit/>
        </w:trPr>
        <w:tc>
          <w:tcPr>
            <w:tcW w:w="806" w:type="dxa"/>
            <w:vMerge/>
            <w:tcBorders>
              <w:top w:val="single" w:sz="8" w:space="0" w:color="152935"/>
              <w:left w:val="nil"/>
              <w:bottom w:val="single" w:sz="8" w:space="0" w:color="152935"/>
              <w:right w:val="nil"/>
            </w:tcBorders>
            <w:shd w:val="clear" w:color="auto" w:fill="E0E0E0"/>
          </w:tcPr>
          <w:p w14:paraId="7A9F96CE"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576950D3"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Std. Deviation</w:t>
            </w:r>
          </w:p>
        </w:tc>
        <w:tc>
          <w:tcPr>
            <w:tcW w:w="1126" w:type="dxa"/>
            <w:tcBorders>
              <w:top w:val="single" w:sz="8" w:space="0" w:color="AEAEAE"/>
              <w:left w:val="nil"/>
              <w:bottom w:val="nil"/>
              <w:right w:val="nil"/>
            </w:tcBorders>
            <w:shd w:val="clear" w:color="auto" w:fill="FFFFFF"/>
          </w:tcPr>
          <w:p w14:paraId="7E4E8F62"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.07263</w:t>
            </w:r>
          </w:p>
        </w:tc>
        <w:tc>
          <w:tcPr>
            <w:tcW w:w="1176" w:type="dxa"/>
            <w:tcBorders>
              <w:top w:val="single" w:sz="8" w:space="0" w:color="AEAEAE"/>
              <w:left w:val="single" w:sz="8" w:space="0" w:color="E0E0E0"/>
              <w:bottom w:val="nil"/>
              <w:right w:val="nil"/>
            </w:tcBorders>
            <w:shd w:val="clear" w:color="auto" w:fill="FFFFFF"/>
            <w:vAlign w:val="center"/>
          </w:tcPr>
          <w:p w14:paraId="26DF8F8D"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69EEEC7A" w14:textId="77777777">
        <w:trPr>
          <w:cantSplit/>
        </w:trPr>
        <w:tc>
          <w:tcPr>
            <w:tcW w:w="806" w:type="dxa"/>
            <w:vMerge/>
            <w:tcBorders>
              <w:top w:val="single" w:sz="8" w:space="0" w:color="152935"/>
              <w:left w:val="nil"/>
              <w:bottom w:val="single" w:sz="8" w:space="0" w:color="152935"/>
              <w:right w:val="nil"/>
            </w:tcBorders>
            <w:shd w:val="clear" w:color="auto" w:fill="E0E0E0"/>
          </w:tcPr>
          <w:p w14:paraId="3FA4E875"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3476A94C"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Minimum</w:t>
            </w:r>
          </w:p>
        </w:tc>
        <w:tc>
          <w:tcPr>
            <w:tcW w:w="1126" w:type="dxa"/>
            <w:tcBorders>
              <w:top w:val="single" w:sz="8" w:space="0" w:color="AEAEAE"/>
              <w:left w:val="nil"/>
              <w:bottom w:val="nil"/>
              <w:right w:val="nil"/>
            </w:tcBorders>
            <w:shd w:val="clear" w:color="auto" w:fill="FFFFFF"/>
          </w:tcPr>
          <w:p w14:paraId="47498573"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.23</w:t>
            </w:r>
          </w:p>
        </w:tc>
        <w:tc>
          <w:tcPr>
            <w:tcW w:w="1176" w:type="dxa"/>
            <w:tcBorders>
              <w:top w:val="single" w:sz="8" w:space="0" w:color="AEAEAE"/>
              <w:left w:val="single" w:sz="8" w:space="0" w:color="E0E0E0"/>
              <w:bottom w:val="nil"/>
              <w:right w:val="nil"/>
            </w:tcBorders>
            <w:shd w:val="clear" w:color="auto" w:fill="FFFFFF"/>
            <w:vAlign w:val="center"/>
          </w:tcPr>
          <w:p w14:paraId="6A91797F"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17E9949A" w14:textId="77777777">
        <w:trPr>
          <w:cantSplit/>
        </w:trPr>
        <w:tc>
          <w:tcPr>
            <w:tcW w:w="806" w:type="dxa"/>
            <w:vMerge/>
            <w:tcBorders>
              <w:top w:val="single" w:sz="8" w:space="0" w:color="152935"/>
              <w:left w:val="nil"/>
              <w:bottom w:val="single" w:sz="8" w:space="0" w:color="152935"/>
              <w:right w:val="nil"/>
            </w:tcBorders>
            <w:shd w:val="clear" w:color="auto" w:fill="E0E0E0"/>
          </w:tcPr>
          <w:p w14:paraId="0DF30161"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3E889FC9"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Maximum</w:t>
            </w:r>
          </w:p>
        </w:tc>
        <w:tc>
          <w:tcPr>
            <w:tcW w:w="1126" w:type="dxa"/>
            <w:tcBorders>
              <w:top w:val="single" w:sz="8" w:space="0" w:color="AEAEAE"/>
              <w:left w:val="nil"/>
              <w:bottom w:val="nil"/>
              <w:right w:val="nil"/>
            </w:tcBorders>
            <w:shd w:val="clear" w:color="auto" w:fill="FFFFFF"/>
          </w:tcPr>
          <w:p w14:paraId="1A66A8AE"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.50</w:t>
            </w:r>
          </w:p>
        </w:tc>
        <w:tc>
          <w:tcPr>
            <w:tcW w:w="1176" w:type="dxa"/>
            <w:tcBorders>
              <w:top w:val="single" w:sz="8" w:space="0" w:color="AEAEAE"/>
              <w:left w:val="single" w:sz="8" w:space="0" w:color="E0E0E0"/>
              <w:bottom w:val="nil"/>
              <w:right w:val="nil"/>
            </w:tcBorders>
            <w:shd w:val="clear" w:color="auto" w:fill="FFFFFF"/>
            <w:vAlign w:val="center"/>
          </w:tcPr>
          <w:p w14:paraId="6F61D9B3"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594D4560" w14:textId="77777777">
        <w:trPr>
          <w:cantSplit/>
        </w:trPr>
        <w:tc>
          <w:tcPr>
            <w:tcW w:w="806" w:type="dxa"/>
            <w:vMerge/>
            <w:tcBorders>
              <w:top w:val="single" w:sz="8" w:space="0" w:color="152935"/>
              <w:left w:val="nil"/>
              <w:bottom w:val="single" w:sz="8" w:space="0" w:color="152935"/>
              <w:right w:val="nil"/>
            </w:tcBorders>
            <w:shd w:val="clear" w:color="auto" w:fill="E0E0E0"/>
          </w:tcPr>
          <w:p w14:paraId="76F69310"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6C74B2B6"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Range</w:t>
            </w:r>
          </w:p>
        </w:tc>
        <w:tc>
          <w:tcPr>
            <w:tcW w:w="1126" w:type="dxa"/>
            <w:tcBorders>
              <w:top w:val="single" w:sz="8" w:space="0" w:color="AEAEAE"/>
              <w:left w:val="nil"/>
              <w:bottom w:val="nil"/>
              <w:right w:val="nil"/>
            </w:tcBorders>
            <w:shd w:val="clear" w:color="auto" w:fill="FFFFFF"/>
          </w:tcPr>
          <w:p w14:paraId="53F8F184"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.28</w:t>
            </w:r>
          </w:p>
        </w:tc>
        <w:tc>
          <w:tcPr>
            <w:tcW w:w="1176" w:type="dxa"/>
            <w:tcBorders>
              <w:top w:val="single" w:sz="8" w:space="0" w:color="AEAEAE"/>
              <w:left w:val="single" w:sz="8" w:space="0" w:color="E0E0E0"/>
              <w:bottom w:val="nil"/>
              <w:right w:val="nil"/>
            </w:tcBorders>
            <w:shd w:val="clear" w:color="auto" w:fill="FFFFFF"/>
            <w:vAlign w:val="center"/>
          </w:tcPr>
          <w:p w14:paraId="10564978"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0694C10F" w14:textId="77777777">
        <w:trPr>
          <w:cantSplit/>
        </w:trPr>
        <w:tc>
          <w:tcPr>
            <w:tcW w:w="806" w:type="dxa"/>
            <w:vMerge/>
            <w:tcBorders>
              <w:top w:val="single" w:sz="8" w:space="0" w:color="152935"/>
              <w:left w:val="nil"/>
              <w:bottom w:val="single" w:sz="8" w:space="0" w:color="152935"/>
              <w:right w:val="nil"/>
            </w:tcBorders>
            <w:shd w:val="clear" w:color="auto" w:fill="E0E0E0"/>
          </w:tcPr>
          <w:p w14:paraId="046B6A57"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27DB45C0"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Interquartile Range</w:t>
            </w:r>
          </w:p>
        </w:tc>
        <w:tc>
          <w:tcPr>
            <w:tcW w:w="1126" w:type="dxa"/>
            <w:tcBorders>
              <w:top w:val="single" w:sz="8" w:space="0" w:color="AEAEAE"/>
              <w:left w:val="nil"/>
              <w:bottom w:val="nil"/>
              <w:right w:val="nil"/>
            </w:tcBorders>
            <w:shd w:val="clear" w:color="auto" w:fill="FFFFFF"/>
          </w:tcPr>
          <w:p w14:paraId="220FAECB"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.12</w:t>
            </w:r>
          </w:p>
        </w:tc>
        <w:tc>
          <w:tcPr>
            <w:tcW w:w="1176" w:type="dxa"/>
            <w:tcBorders>
              <w:top w:val="single" w:sz="8" w:space="0" w:color="AEAEAE"/>
              <w:left w:val="single" w:sz="8" w:space="0" w:color="E0E0E0"/>
              <w:bottom w:val="nil"/>
              <w:right w:val="nil"/>
            </w:tcBorders>
            <w:shd w:val="clear" w:color="auto" w:fill="FFFFFF"/>
            <w:vAlign w:val="center"/>
          </w:tcPr>
          <w:p w14:paraId="4EB165A1"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6DC00CB6" w14:textId="77777777">
        <w:trPr>
          <w:cantSplit/>
        </w:trPr>
        <w:tc>
          <w:tcPr>
            <w:tcW w:w="806" w:type="dxa"/>
            <w:vMerge/>
            <w:tcBorders>
              <w:top w:val="single" w:sz="8" w:space="0" w:color="152935"/>
              <w:left w:val="nil"/>
              <w:bottom w:val="single" w:sz="8" w:space="0" w:color="152935"/>
              <w:right w:val="nil"/>
            </w:tcBorders>
            <w:shd w:val="clear" w:color="auto" w:fill="E0E0E0"/>
          </w:tcPr>
          <w:p w14:paraId="13BF21B0"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267C0A1F"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Skewness</w:t>
            </w:r>
          </w:p>
        </w:tc>
        <w:tc>
          <w:tcPr>
            <w:tcW w:w="1126" w:type="dxa"/>
            <w:tcBorders>
              <w:top w:val="single" w:sz="8" w:space="0" w:color="AEAEAE"/>
              <w:left w:val="nil"/>
              <w:bottom w:val="nil"/>
              <w:right w:val="nil"/>
            </w:tcBorders>
            <w:shd w:val="clear" w:color="auto" w:fill="FFFFFF"/>
          </w:tcPr>
          <w:p w14:paraId="7F9D0F0A"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-.519</w:t>
            </w:r>
          </w:p>
        </w:tc>
        <w:tc>
          <w:tcPr>
            <w:tcW w:w="1176" w:type="dxa"/>
            <w:tcBorders>
              <w:top w:val="single" w:sz="8" w:space="0" w:color="AEAEAE"/>
              <w:left w:val="single" w:sz="8" w:space="0" w:color="E0E0E0"/>
              <w:bottom w:val="nil"/>
              <w:right w:val="nil"/>
            </w:tcBorders>
            <w:shd w:val="clear" w:color="auto" w:fill="FFFFFF"/>
          </w:tcPr>
          <w:p w14:paraId="4756F349"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.306</w:t>
            </w:r>
          </w:p>
        </w:tc>
      </w:tr>
      <w:tr w:rsidR="00BF050C" w:rsidRPr="00BF050C" w14:paraId="12F5CCDF" w14:textId="77777777">
        <w:trPr>
          <w:cantSplit/>
        </w:trPr>
        <w:tc>
          <w:tcPr>
            <w:tcW w:w="806" w:type="dxa"/>
            <w:vMerge/>
            <w:tcBorders>
              <w:top w:val="single" w:sz="8" w:space="0" w:color="152935"/>
              <w:left w:val="nil"/>
              <w:bottom w:val="single" w:sz="8" w:space="0" w:color="152935"/>
              <w:right w:val="nil"/>
            </w:tcBorders>
            <w:shd w:val="clear" w:color="auto" w:fill="E0E0E0"/>
          </w:tcPr>
          <w:p w14:paraId="7BB4901C"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4235" w:type="dxa"/>
            <w:gridSpan w:val="2"/>
            <w:tcBorders>
              <w:top w:val="single" w:sz="8" w:space="0" w:color="AEAEAE"/>
              <w:left w:val="nil"/>
              <w:bottom w:val="single" w:sz="8" w:space="0" w:color="152935"/>
              <w:right w:val="nil"/>
            </w:tcBorders>
            <w:shd w:val="clear" w:color="auto" w:fill="E0E0E0"/>
          </w:tcPr>
          <w:p w14:paraId="590974E3"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Kurtosis</w:t>
            </w:r>
          </w:p>
        </w:tc>
        <w:tc>
          <w:tcPr>
            <w:tcW w:w="1126" w:type="dxa"/>
            <w:tcBorders>
              <w:top w:val="single" w:sz="8" w:space="0" w:color="AEAEAE"/>
              <w:left w:val="nil"/>
              <w:bottom w:val="single" w:sz="8" w:space="0" w:color="152935"/>
              <w:right w:val="nil"/>
            </w:tcBorders>
            <w:shd w:val="clear" w:color="auto" w:fill="FFFFFF"/>
          </w:tcPr>
          <w:p w14:paraId="5AD605E6"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-.697</w:t>
            </w:r>
          </w:p>
        </w:tc>
        <w:tc>
          <w:tcPr>
            <w:tcW w:w="1176" w:type="dxa"/>
            <w:tcBorders>
              <w:top w:val="single" w:sz="8" w:space="0" w:color="AEAEAE"/>
              <w:left w:val="single" w:sz="8" w:space="0" w:color="E0E0E0"/>
              <w:bottom w:val="single" w:sz="8" w:space="0" w:color="152935"/>
              <w:right w:val="nil"/>
            </w:tcBorders>
            <w:shd w:val="clear" w:color="auto" w:fill="FFFFFF"/>
          </w:tcPr>
          <w:p w14:paraId="5FAD35CC"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.604</w:t>
            </w:r>
          </w:p>
        </w:tc>
      </w:tr>
    </w:tbl>
    <w:p w14:paraId="7AC140DA"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62E1F416"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tbl>
      <w:tblPr>
        <w:tblW w:w="75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07"/>
        <w:gridCol w:w="1126"/>
        <w:gridCol w:w="1126"/>
        <w:gridCol w:w="1126"/>
        <w:gridCol w:w="1126"/>
        <w:gridCol w:w="1126"/>
        <w:gridCol w:w="1126"/>
      </w:tblGrid>
      <w:tr w:rsidR="00BF050C" w:rsidRPr="00BF050C" w14:paraId="5B058925" w14:textId="77777777">
        <w:trPr>
          <w:cantSplit/>
        </w:trPr>
        <w:tc>
          <w:tcPr>
            <w:tcW w:w="7562" w:type="dxa"/>
            <w:gridSpan w:val="7"/>
            <w:tcBorders>
              <w:top w:val="nil"/>
              <w:left w:val="nil"/>
              <w:bottom w:val="nil"/>
              <w:right w:val="nil"/>
            </w:tcBorders>
            <w:shd w:val="clear" w:color="auto" w:fill="FFFFFF"/>
            <w:vAlign w:val="center"/>
          </w:tcPr>
          <w:p w14:paraId="115DEACE"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010205"/>
              </w:rPr>
            </w:pPr>
            <w:r w:rsidRPr="00BF050C">
              <w:rPr>
                <w:rFonts w:ascii="Arial" w:eastAsia="SimSun" w:hAnsi="Arial" w:cs="Arial"/>
                <w:b/>
                <w:bCs/>
                <w:color w:val="010205"/>
              </w:rPr>
              <w:t>Tests of Normality</w:t>
            </w:r>
          </w:p>
        </w:tc>
      </w:tr>
      <w:tr w:rsidR="00BF050C" w:rsidRPr="00BF050C" w14:paraId="04F13A1C" w14:textId="77777777">
        <w:trPr>
          <w:cantSplit/>
        </w:trPr>
        <w:tc>
          <w:tcPr>
            <w:tcW w:w="806" w:type="dxa"/>
            <w:vMerge w:val="restart"/>
            <w:tcBorders>
              <w:top w:val="nil"/>
              <w:left w:val="nil"/>
              <w:bottom w:val="nil"/>
              <w:right w:val="nil"/>
            </w:tcBorders>
            <w:shd w:val="clear" w:color="auto" w:fill="FFFFFF"/>
            <w:vAlign w:val="bottom"/>
          </w:tcPr>
          <w:p w14:paraId="7E6B4600"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3378" w:type="dxa"/>
            <w:gridSpan w:val="3"/>
            <w:tcBorders>
              <w:top w:val="nil"/>
              <w:left w:val="nil"/>
              <w:bottom w:val="nil"/>
              <w:right w:val="nil"/>
            </w:tcBorders>
            <w:shd w:val="clear" w:color="auto" w:fill="FFFFFF"/>
            <w:vAlign w:val="bottom"/>
          </w:tcPr>
          <w:p w14:paraId="74696DFA"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Kolmogorov-Smirnov</w:t>
            </w:r>
            <w:r w:rsidRPr="00BF050C">
              <w:rPr>
                <w:rFonts w:ascii="Arial" w:eastAsia="SimSun" w:hAnsi="Arial" w:cs="Arial"/>
                <w:color w:val="264A60"/>
                <w:sz w:val="18"/>
                <w:szCs w:val="18"/>
                <w:vertAlign w:val="superscript"/>
              </w:rPr>
              <w:t>a</w:t>
            </w:r>
          </w:p>
        </w:tc>
        <w:tc>
          <w:tcPr>
            <w:tcW w:w="3378" w:type="dxa"/>
            <w:gridSpan w:val="3"/>
            <w:tcBorders>
              <w:top w:val="nil"/>
              <w:left w:val="single" w:sz="8" w:space="0" w:color="E0E0E0"/>
              <w:bottom w:val="nil"/>
              <w:right w:val="nil"/>
            </w:tcBorders>
            <w:shd w:val="clear" w:color="auto" w:fill="FFFFFF"/>
            <w:vAlign w:val="bottom"/>
          </w:tcPr>
          <w:p w14:paraId="0BACF2F4"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Shapiro-Wilk</w:t>
            </w:r>
          </w:p>
        </w:tc>
      </w:tr>
      <w:tr w:rsidR="00BF050C" w:rsidRPr="00BF050C" w14:paraId="49AC88BA" w14:textId="77777777">
        <w:trPr>
          <w:cantSplit/>
        </w:trPr>
        <w:tc>
          <w:tcPr>
            <w:tcW w:w="806" w:type="dxa"/>
            <w:vMerge/>
            <w:tcBorders>
              <w:top w:val="nil"/>
              <w:left w:val="nil"/>
              <w:bottom w:val="nil"/>
              <w:right w:val="nil"/>
            </w:tcBorders>
            <w:shd w:val="clear" w:color="auto" w:fill="FFFFFF"/>
            <w:vAlign w:val="bottom"/>
          </w:tcPr>
          <w:p w14:paraId="354EF1E1"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264A60"/>
                <w:sz w:val="18"/>
                <w:szCs w:val="18"/>
              </w:rPr>
            </w:pPr>
          </w:p>
        </w:tc>
        <w:tc>
          <w:tcPr>
            <w:tcW w:w="1126" w:type="dxa"/>
            <w:tcBorders>
              <w:top w:val="nil"/>
              <w:left w:val="nil"/>
              <w:bottom w:val="single" w:sz="8" w:space="0" w:color="152935"/>
              <w:right w:val="single" w:sz="8" w:space="0" w:color="E0E0E0"/>
            </w:tcBorders>
            <w:shd w:val="clear" w:color="auto" w:fill="FFFFFF"/>
            <w:vAlign w:val="bottom"/>
          </w:tcPr>
          <w:p w14:paraId="30A216F0"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Statistic</w:t>
            </w:r>
          </w:p>
        </w:tc>
        <w:tc>
          <w:tcPr>
            <w:tcW w:w="1126" w:type="dxa"/>
            <w:tcBorders>
              <w:top w:val="nil"/>
              <w:left w:val="single" w:sz="8" w:space="0" w:color="E0E0E0"/>
              <w:bottom w:val="single" w:sz="8" w:space="0" w:color="152935"/>
              <w:right w:val="single" w:sz="8" w:space="0" w:color="E0E0E0"/>
            </w:tcBorders>
            <w:shd w:val="clear" w:color="auto" w:fill="FFFFFF"/>
            <w:vAlign w:val="bottom"/>
          </w:tcPr>
          <w:p w14:paraId="5556B2A1"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df</w:t>
            </w:r>
          </w:p>
        </w:tc>
        <w:tc>
          <w:tcPr>
            <w:tcW w:w="1126" w:type="dxa"/>
            <w:tcBorders>
              <w:top w:val="nil"/>
              <w:left w:val="single" w:sz="8" w:space="0" w:color="E0E0E0"/>
              <w:bottom w:val="single" w:sz="8" w:space="0" w:color="152935"/>
              <w:right w:val="nil"/>
            </w:tcBorders>
            <w:shd w:val="clear" w:color="auto" w:fill="FFFFFF"/>
            <w:vAlign w:val="bottom"/>
          </w:tcPr>
          <w:p w14:paraId="7A0FA23A"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Sig.</w:t>
            </w:r>
          </w:p>
        </w:tc>
        <w:tc>
          <w:tcPr>
            <w:tcW w:w="1126" w:type="dxa"/>
            <w:tcBorders>
              <w:top w:val="nil"/>
              <w:left w:val="single" w:sz="8" w:space="0" w:color="E0E0E0"/>
              <w:bottom w:val="single" w:sz="8" w:space="0" w:color="152935"/>
              <w:right w:val="single" w:sz="8" w:space="0" w:color="E0E0E0"/>
            </w:tcBorders>
            <w:shd w:val="clear" w:color="auto" w:fill="FFFFFF"/>
            <w:vAlign w:val="bottom"/>
          </w:tcPr>
          <w:p w14:paraId="44CF7FCF"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Statistic</w:t>
            </w:r>
          </w:p>
        </w:tc>
        <w:tc>
          <w:tcPr>
            <w:tcW w:w="1126" w:type="dxa"/>
            <w:tcBorders>
              <w:top w:val="nil"/>
              <w:left w:val="single" w:sz="8" w:space="0" w:color="E0E0E0"/>
              <w:bottom w:val="single" w:sz="8" w:space="0" w:color="152935"/>
              <w:right w:val="single" w:sz="8" w:space="0" w:color="E0E0E0"/>
            </w:tcBorders>
            <w:shd w:val="clear" w:color="auto" w:fill="FFFFFF"/>
            <w:vAlign w:val="bottom"/>
          </w:tcPr>
          <w:p w14:paraId="67670209"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df</w:t>
            </w:r>
          </w:p>
        </w:tc>
        <w:tc>
          <w:tcPr>
            <w:tcW w:w="1126" w:type="dxa"/>
            <w:tcBorders>
              <w:top w:val="nil"/>
              <w:left w:val="single" w:sz="8" w:space="0" w:color="E0E0E0"/>
              <w:bottom w:val="single" w:sz="8" w:space="0" w:color="152935"/>
              <w:right w:val="nil"/>
            </w:tcBorders>
            <w:shd w:val="clear" w:color="auto" w:fill="FFFFFF"/>
            <w:vAlign w:val="bottom"/>
          </w:tcPr>
          <w:p w14:paraId="75C60B4D"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Sig.</w:t>
            </w:r>
          </w:p>
        </w:tc>
      </w:tr>
      <w:tr w:rsidR="00BF050C" w:rsidRPr="00BF050C" w14:paraId="358A1813" w14:textId="77777777">
        <w:trPr>
          <w:cantSplit/>
        </w:trPr>
        <w:tc>
          <w:tcPr>
            <w:tcW w:w="806" w:type="dxa"/>
            <w:tcBorders>
              <w:top w:val="single" w:sz="8" w:space="0" w:color="152935"/>
              <w:left w:val="nil"/>
              <w:bottom w:val="single" w:sz="8" w:space="0" w:color="152935"/>
              <w:right w:val="nil"/>
            </w:tcBorders>
            <w:shd w:val="clear" w:color="auto" w:fill="E0E0E0"/>
          </w:tcPr>
          <w:p w14:paraId="7B0615DE"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LS</w:t>
            </w:r>
          </w:p>
        </w:tc>
        <w:tc>
          <w:tcPr>
            <w:tcW w:w="1126" w:type="dxa"/>
            <w:tcBorders>
              <w:top w:val="single" w:sz="8" w:space="0" w:color="152935"/>
              <w:left w:val="nil"/>
              <w:bottom w:val="single" w:sz="8" w:space="0" w:color="152935"/>
              <w:right w:val="single" w:sz="8" w:space="0" w:color="E0E0E0"/>
            </w:tcBorders>
            <w:shd w:val="clear" w:color="auto" w:fill="FFFFFF"/>
          </w:tcPr>
          <w:p w14:paraId="3381DEBC"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.114</w:t>
            </w:r>
          </w:p>
        </w:tc>
        <w:tc>
          <w:tcPr>
            <w:tcW w:w="1126" w:type="dxa"/>
            <w:tcBorders>
              <w:top w:val="single" w:sz="8" w:space="0" w:color="152935"/>
              <w:left w:val="single" w:sz="8" w:space="0" w:color="E0E0E0"/>
              <w:bottom w:val="single" w:sz="8" w:space="0" w:color="152935"/>
              <w:right w:val="single" w:sz="8" w:space="0" w:color="E0E0E0"/>
            </w:tcBorders>
            <w:shd w:val="clear" w:color="auto" w:fill="FFFFFF"/>
          </w:tcPr>
          <w:p w14:paraId="184A9A28"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61</w:t>
            </w:r>
          </w:p>
        </w:tc>
        <w:tc>
          <w:tcPr>
            <w:tcW w:w="1126" w:type="dxa"/>
            <w:tcBorders>
              <w:top w:val="single" w:sz="8" w:space="0" w:color="152935"/>
              <w:left w:val="single" w:sz="8" w:space="0" w:color="E0E0E0"/>
              <w:bottom w:val="single" w:sz="8" w:space="0" w:color="152935"/>
              <w:right w:val="nil"/>
            </w:tcBorders>
            <w:shd w:val="clear" w:color="auto" w:fill="FFFFFF"/>
          </w:tcPr>
          <w:p w14:paraId="0108AB6E"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.047</w:t>
            </w:r>
          </w:p>
        </w:tc>
        <w:tc>
          <w:tcPr>
            <w:tcW w:w="1126" w:type="dxa"/>
            <w:tcBorders>
              <w:top w:val="single" w:sz="8" w:space="0" w:color="152935"/>
              <w:left w:val="single" w:sz="8" w:space="0" w:color="E0E0E0"/>
              <w:bottom w:val="single" w:sz="8" w:space="0" w:color="152935"/>
              <w:right w:val="single" w:sz="8" w:space="0" w:color="E0E0E0"/>
            </w:tcBorders>
            <w:shd w:val="clear" w:color="auto" w:fill="FFFFFF"/>
          </w:tcPr>
          <w:p w14:paraId="44A54598"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.944</w:t>
            </w:r>
          </w:p>
        </w:tc>
        <w:tc>
          <w:tcPr>
            <w:tcW w:w="1126" w:type="dxa"/>
            <w:tcBorders>
              <w:top w:val="single" w:sz="8" w:space="0" w:color="152935"/>
              <w:left w:val="single" w:sz="8" w:space="0" w:color="E0E0E0"/>
              <w:bottom w:val="single" w:sz="8" w:space="0" w:color="152935"/>
              <w:right w:val="single" w:sz="8" w:space="0" w:color="E0E0E0"/>
            </w:tcBorders>
            <w:shd w:val="clear" w:color="auto" w:fill="FFFFFF"/>
          </w:tcPr>
          <w:p w14:paraId="136BBFA0"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61</w:t>
            </w:r>
          </w:p>
        </w:tc>
        <w:tc>
          <w:tcPr>
            <w:tcW w:w="1126" w:type="dxa"/>
            <w:tcBorders>
              <w:top w:val="single" w:sz="8" w:space="0" w:color="152935"/>
              <w:left w:val="single" w:sz="8" w:space="0" w:color="E0E0E0"/>
              <w:bottom w:val="single" w:sz="8" w:space="0" w:color="152935"/>
              <w:right w:val="nil"/>
            </w:tcBorders>
            <w:shd w:val="clear" w:color="auto" w:fill="FFFFFF"/>
          </w:tcPr>
          <w:p w14:paraId="27A30F2E" w14:textId="443E23C5"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.07</w:t>
            </w:r>
          </w:p>
        </w:tc>
      </w:tr>
      <w:tr w:rsidR="00BF050C" w:rsidRPr="00BF050C" w14:paraId="2998EAC2" w14:textId="77777777">
        <w:trPr>
          <w:cantSplit/>
        </w:trPr>
        <w:tc>
          <w:tcPr>
            <w:tcW w:w="7562" w:type="dxa"/>
            <w:gridSpan w:val="7"/>
            <w:tcBorders>
              <w:top w:val="nil"/>
              <w:left w:val="nil"/>
              <w:bottom w:val="nil"/>
              <w:right w:val="nil"/>
            </w:tcBorders>
            <w:shd w:val="clear" w:color="auto" w:fill="FFFFFF"/>
          </w:tcPr>
          <w:p w14:paraId="0DCA6BDE"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a. Lilliefors Significance Correction</w:t>
            </w:r>
          </w:p>
        </w:tc>
      </w:tr>
    </w:tbl>
    <w:p w14:paraId="6A72D669"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5298745A"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3DB4845A"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b/>
          <w:bCs/>
          <w:color w:val="000000"/>
          <w:sz w:val="26"/>
          <w:szCs w:val="26"/>
        </w:rPr>
      </w:pPr>
    </w:p>
    <w:p w14:paraId="51463A80"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b/>
          <w:bCs/>
          <w:color w:val="000000"/>
          <w:sz w:val="26"/>
          <w:szCs w:val="26"/>
        </w:rPr>
      </w:pPr>
      <w:r w:rsidRPr="00BF050C">
        <w:rPr>
          <w:rFonts w:ascii="Arial" w:eastAsia="SimSun" w:hAnsi="Arial" w:cs="Arial"/>
          <w:b/>
          <w:bCs/>
          <w:color w:val="000000"/>
          <w:sz w:val="26"/>
          <w:szCs w:val="26"/>
        </w:rPr>
        <w:t>LS</w:t>
      </w:r>
    </w:p>
    <w:p w14:paraId="0E3F171F"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00000"/>
          <w:sz w:val="26"/>
          <w:szCs w:val="26"/>
        </w:rPr>
      </w:pPr>
    </w:p>
    <w:p w14:paraId="2566B2D7"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6FE7ACE2" w14:textId="4484C112"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r w:rsidRPr="00BF050C">
        <w:rPr>
          <w:rFonts w:ascii="Times New Roman" w:eastAsia="SimSun" w:hAnsi="Times New Roman"/>
          <w:noProof/>
          <w:sz w:val="24"/>
          <w:szCs w:val="24"/>
        </w:rPr>
        <w:drawing>
          <wp:inline distT="0" distB="0" distL="0" distR="0" wp14:anchorId="2A8C5849" wp14:editId="57431B8C">
            <wp:extent cx="5943600" cy="3500120"/>
            <wp:effectExtent l="0" t="0" r="0" b="508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43600" cy="3500120"/>
                    </a:xfrm>
                    <a:prstGeom prst="rect">
                      <a:avLst/>
                    </a:prstGeom>
                    <a:noFill/>
                    <a:ln>
                      <a:noFill/>
                    </a:ln>
                  </pic:spPr>
                </pic:pic>
              </a:graphicData>
            </a:graphic>
          </wp:inline>
        </w:drawing>
      </w:r>
    </w:p>
    <w:p w14:paraId="25E03E95"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p w14:paraId="26CDA3EF"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3A16DE71" w14:textId="55ECFD4B"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r w:rsidRPr="00BF050C">
        <w:rPr>
          <w:rFonts w:ascii="Times New Roman" w:eastAsia="SimSun" w:hAnsi="Times New Roman"/>
          <w:noProof/>
          <w:sz w:val="24"/>
          <w:szCs w:val="24"/>
        </w:rPr>
        <w:drawing>
          <wp:inline distT="0" distB="0" distL="0" distR="0" wp14:anchorId="6523A596" wp14:editId="74A76C27">
            <wp:extent cx="5943600" cy="3500120"/>
            <wp:effectExtent l="0" t="0" r="0" b="508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943600" cy="3500120"/>
                    </a:xfrm>
                    <a:prstGeom prst="rect">
                      <a:avLst/>
                    </a:prstGeom>
                    <a:noFill/>
                    <a:ln>
                      <a:noFill/>
                    </a:ln>
                  </pic:spPr>
                </pic:pic>
              </a:graphicData>
            </a:graphic>
          </wp:inline>
        </w:drawing>
      </w:r>
    </w:p>
    <w:p w14:paraId="1A606DFE"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p w14:paraId="0068740E"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4238FB34"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1F09C3A0"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b/>
          <w:bCs/>
          <w:color w:val="000000"/>
          <w:sz w:val="26"/>
          <w:szCs w:val="26"/>
        </w:rPr>
      </w:pPr>
    </w:p>
    <w:p w14:paraId="54A288CC"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b/>
          <w:bCs/>
          <w:color w:val="000000"/>
          <w:sz w:val="26"/>
          <w:szCs w:val="26"/>
        </w:rPr>
      </w:pPr>
      <w:r w:rsidRPr="00BF050C">
        <w:rPr>
          <w:rFonts w:ascii="Arial" w:eastAsia="SimSun" w:hAnsi="Arial" w:cs="Arial"/>
          <w:b/>
          <w:bCs/>
          <w:color w:val="000000"/>
          <w:sz w:val="26"/>
          <w:szCs w:val="26"/>
        </w:rPr>
        <w:t>Explore</w:t>
      </w:r>
    </w:p>
    <w:p w14:paraId="7A66D25F"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00000"/>
          <w:sz w:val="26"/>
          <w:szCs w:val="26"/>
        </w:rPr>
      </w:pPr>
    </w:p>
    <w:p w14:paraId="55A185AA"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3091AE0A"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tbl>
      <w:tblPr>
        <w:tblW w:w="8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30"/>
        <w:gridCol w:w="2718"/>
        <w:gridCol w:w="2752"/>
      </w:tblGrid>
      <w:tr w:rsidR="00BF050C" w:rsidRPr="00BF050C" w14:paraId="1082DC3B" w14:textId="77777777">
        <w:trPr>
          <w:cantSplit/>
        </w:trPr>
        <w:tc>
          <w:tcPr>
            <w:tcW w:w="7998" w:type="dxa"/>
            <w:gridSpan w:val="3"/>
            <w:tcBorders>
              <w:top w:val="nil"/>
              <w:left w:val="nil"/>
              <w:bottom w:val="nil"/>
              <w:right w:val="nil"/>
            </w:tcBorders>
            <w:shd w:val="clear" w:color="auto" w:fill="FFFFFF"/>
            <w:vAlign w:val="center"/>
          </w:tcPr>
          <w:p w14:paraId="5FCE82F5"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010205"/>
              </w:rPr>
            </w:pPr>
            <w:r w:rsidRPr="00BF050C">
              <w:rPr>
                <w:rFonts w:ascii="Arial" w:eastAsia="SimSun" w:hAnsi="Arial" w:cs="Arial"/>
                <w:b/>
                <w:bCs/>
                <w:color w:val="010205"/>
              </w:rPr>
              <w:t>Notes</w:t>
            </w:r>
          </w:p>
        </w:tc>
      </w:tr>
      <w:tr w:rsidR="00BF050C" w:rsidRPr="00BF050C" w14:paraId="2464A0DD" w14:textId="77777777">
        <w:trPr>
          <w:cantSplit/>
        </w:trPr>
        <w:tc>
          <w:tcPr>
            <w:tcW w:w="5247" w:type="dxa"/>
            <w:gridSpan w:val="2"/>
            <w:tcBorders>
              <w:top w:val="nil"/>
              <w:left w:val="nil"/>
              <w:bottom w:val="single" w:sz="8" w:space="0" w:color="AEAEAE"/>
              <w:right w:val="nil"/>
            </w:tcBorders>
            <w:shd w:val="clear" w:color="auto" w:fill="E0E0E0"/>
          </w:tcPr>
          <w:p w14:paraId="07477424"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Output Created</w:t>
            </w:r>
          </w:p>
        </w:tc>
        <w:tc>
          <w:tcPr>
            <w:tcW w:w="2751" w:type="dxa"/>
            <w:tcBorders>
              <w:top w:val="nil"/>
              <w:left w:val="nil"/>
              <w:bottom w:val="single" w:sz="8" w:space="0" w:color="AEAEAE"/>
              <w:right w:val="nil"/>
            </w:tcBorders>
            <w:shd w:val="clear" w:color="auto" w:fill="FFFFFF"/>
          </w:tcPr>
          <w:p w14:paraId="5B3F3F1A"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10-JUL-2023 15:13:55</w:t>
            </w:r>
          </w:p>
        </w:tc>
      </w:tr>
      <w:tr w:rsidR="00BF050C" w:rsidRPr="00BF050C" w14:paraId="1A6E7B2D" w14:textId="77777777">
        <w:trPr>
          <w:cantSplit/>
        </w:trPr>
        <w:tc>
          <w:tcPr>
            <w:tcW w:w="5247" w:type="dxa"/>
            <w:gridSpan w:val="2"/>
            <w:tcBorders>
              <w:top w:val="single" w:sz="8" w:space="0" w:color="AEAEAE"/>
              <w:left w:val="nil"/>
              <w:bottom w:val="single" w:sz="8" w:space="0" w:color="AEAEAE"/>
              <w:right w:val="nil"/>
            </w:tcBorders>
            <w:shd w:val="clear" w:color="auto" w:fill="E0E0E0"/>
          </w:tcPr>
          <w:p w14:paraId="437BFEA6"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Comments</w:t>
            </w:r>
          </w:p>
        </w:tc>
        <w:tc>
          <w:tcPr>
            <w:tcW w:w="2751" w:type="dxa"/>
            <w:tcBorders>
              <w:top w:val="single" w:sz="8" w:space="0" w:color="AEAEAE"/>
              <w:left w:val="nil"/>
              <w:bottom w:val="single" w:sz="8" w:space="0" w:color="AEAEAE"/>
              <w:right w:val="nil"/>
            </w:tcBorders>
            <w:shd w:val="clear" w:color="auto" w:fill="FFFFFF"/>
          </w:tcPr>
          <w:p w14:paraId="06E50145"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279C2F02" w14:textId="77777777">
        <w:trPr>
          <w:cantSplit/>
        </w:trPr>
        <w:tc>
          <w:tcPr>
            <w:tcW w:w="2530" w:type="dxa"/>
            <w:vMerge w:val="restart"/>
            <w:tcBorders>
              <w:top w:val="single" w:sz="8" w:space="0" w:color="AEAEAE"/>
              <w:left w:val="nil"/>
              <w:bottom w:val="single" w:sz="8" w:space="0" w:color="AEAEAE"/>
              <w:right w:val="nil"/>
            </w:tcBorders>
            <w:shd w:val="clear" w:color="auto" w:fill="E0E0E0"/>
          </w:tcPr>
          <w:p w14:paraId="1B782F4A"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Input</w:t>
            </w:r>
          </w:p>
        </w:tc>
        <w:tc>
          <w:tcPr>
            <w:tcW w:w="2717" w:type="dxa"/>
            <w:tcBorders>
              <w:top w:val="single" w:sz="8" w:space="0" w:color="AEAEAE"/>
              <w:left w:val="nil"/>
              <w:bottom w:val="single" w:sz="8" w:space="0" w:color="AEAEAE"/>
              <w:right w:val="nil"/>
            </w:tcBorders>
            <w:shd w:val="clear" w:color="auto" w:fill="E0E0E0"/>
          </w:tcPr>
          <w:p w14:paraId="6CBAD75D"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Data</w:t>
            </w:r>
          </w:p>
        </w:tc>
        <w:tc>
          <w:tcPr>
            <w:tcW w:w="2751" w:type="dxa"/>
            <w:tcBorders>
              <w:top w:val="single" w:sz="8" w:space="0" w:color="AEAEAE"/>
              <w:left w:val="nil"/>
              <w:bottom w:val="single" w:sz="8" w:space="0" w:color="AEAEAE"/>
              <w:right w:val="nil"/>
            </w:tcBorders>
            <w:shd w:val="clear" w:color="auto" w:fill="FFFFFF"/>
          </w:tcPr>
          <w:p w14:paraId="56E4EE70"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D:\OGUNTUASEPhD DataLatest.sav</w:t>
            </w:r>
          </w:p>
        </w:tc>
      </w:tr>
      <w:tr w:rsidR="00BF050C" w:rsidRPr="00BF050C" w14:paraId="057F089E" w14:textId="77777777">
        <w:trPr>
          <w:cantSplit/>
        </w:trPr>
        <w:tc>
          <w:tcPr>
            <w:tcW w:w="2530" w:type="dxa"/>
            <w:vMerge/>
            <w:tcBorders>
              <w:top w:val="single" w:sz="8" w:space="0" w:color="AEAEAE"/>
              <w:left w:val="nil"/>
              <w:bottom w:val="single" w:sz="8" w:space="0" w:color="AEAEAE"/>
              <w:right w:val="nil"/>
            </w:tcBorders>
            <w:shd w:val="clear" w:color="auto" w:fill="E0E0E0"/>
          </w:tcPr>
          <w:p w14:paraId="2DC41DEB"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57BC9111"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Active Dataset</w:t>
            </w:r>
          </w:p>
        </w:tc>
        <w:tc>
          <w:tcPr>
            <w:tcW w:w="2751" w:type="dxa"/>
            <w:tcBorders>
              <w:top w:val="single" w:sz="8" w:space="0" w:color="AEAEAE"/>
              <w:left w:val="nil"/>
              <w:bottom w:val="single" w:sz="8" w:space="0" w:color="AEAEAE"/>
              <w:right w:val="nil"/>
            </w:tcBorders>
            <w:shd w:val="clear" w:color="auto" w:fill="FFFFFF"/>
          </w:tcPr>
          <w:p w14:paraId="78162B10"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DataSet2</w:t>
            </w:r>
          </w:p>
        </w:tc>
      </w:tr>
      <w:tr w:rsidR="00BF050C" w:rsidRPr="00BF050C" w14:paraId="7C0674B1" w14:textId="77777777">
        <w:trPr>
          <w:cantSplit/>
        </w:trPr>
        <w:tc>
          <w:tcPr>
            <w:tcW w:w="2530" w:type="dxa"/>
            <w:vMerge/>
            <w:tcBorders>
              <w:top w:val="single" w:sz="8" w:space="0" w:color="AEAEAE"/>
              <w:left w:val="nil"/>
              <w:bottom w:val="single" w:sz="8" w:space="0" w:color="AEAEAE"/>
              <w:right w:val="nil"/>
            </w:tcBorders>
            <w:shd w:val="clear" w:color="auto" w:fill="E0E0E0"/>
          </w:tcPr>
          <w:p w14:paraId="757A35FD"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6C762BA2"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Filter</w:t>
            </w:r>
          </w:p>
        </w:tc>
        <w:tc>
          <w:tcPr>
            <w:tcW w:w="2751" w:type="dxa"/>
            <w:tcBorders>
              <w:top w:val="single" w:sz="8" w:space="0" w:color="AEAEAE"/>
              <w:left w:val="nil"/>
              <w:bottom w:val="single" w:sz="8" w:space="0" w:color="AEAEAE"/>
              <w:right w:val="nil"/>
            </w:tcBorders>
            <w:shd w:val="clear" w:color="auto" w:fill="FFFFFF"/>
          </w:tcPr>
          <w:p w14:paraId="0C74E874"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&lt;none&gt;</w:t>
            </w:r>
          </w:p>
        </w:tc>
      </w:tr>
      <w:tr w:rsidR="00BF050C" w:rsidRPr="00BF050C" w14:paraId="1A014020" w14:textId="77777777">
        <w:trPr>
          <w:cantSplit/>
        </w:trPr>
        <w:tc>
          <w:tcPr>
            <w:tcW w:w="2530" w:type="dxa"/>
            <w:vMerge/>
            <w:tcBorders>
              <w:top w:val="single" w:sz="8" w:space="0" w:color="AEAEAE"/>
              <w:left w:val="nil"/>
              <w:bottom w:val="single" w:sz="8" w:space="0" w:color="AEAEAE"/>
              <w:right w:val="nil"/>
            </w:tcBorders>
            <w:shd w:val="clear" w:color="auto" w:fill="E0E0E0"/>
          </w:tcPr>
          <w:p w14:paraId="1EB7A03E"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058B1A68"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Weight</w:t>
            </w:r>
          </w:p>
        </w:tc>
        <w:tc>
          <w:tcPr>
            <w:tcW w:w="2751" w:type="dxa"/>
            <w:tcBorders>
              <w:top w:val="single" w:sz="8" w:space="0" w:color="AEAEAE"/>
              <w:left w:val="nil"/>
              <w:bottom w:val="single" w:sz="8" w:space="0" w:color="AEAEAE"/>
              <w:right w:val="nil"/>
            </w:tcBorders>
            <w:shd w:val="clear" w:color="auto" w:fill="FFFFFF"/>
          </w:tcPr>
          <w:p w14:paraId="4480BDE1"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&lt;none&gt;</w:t>
            </w:r>
          </w:p>
        </w:tc>
      </w:tr>
      <w:tr w:rsidR="00BF050C" w:rsidRPr="00BF050C" w14:paraId="40E4EED5" w14:textId="77777777">
        <w:trPr>
          <w:cantSplit/>
        </w:trPr>
        <w:tc>
          <w:tcPr>
            <w:tcW w:w="2530" w:type="dxa"/>
            <w:vMerge/>
            <w:tcBorders>
              <w:top w:val="single" w:sz="8" w:space="0" w:color="AEAEAE"/>
              <w:left w:val="nil"/>
              <w:bottom w:val="single" w:sz="8" w:space="0" w:color="AEAEAE"/>
              <w:right w:val="nil"/>
            </w:tcBorders>
            <w:shd w:val="clear" w:color="auto" w:fill="E0E0E0"/>
          </w:tcPr>
          <w:p w14:paraId="3D05C7DE"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21D16AFD"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Split File</w:t>
            </w:r>
          </w:p>
        </w:tc>
        <w:tc>
          <w:tcPr>
            <w:tcW w:w="2751" w:type="dxa"/>
            <w:tcBorders>
              <w:top w:val="single" w:sz="8" w:space="0" w:color="AEAEAE"/>
              <w:left w:val="nil"/>
              <w:bottom w:val="single" w:sz="8" w:space="0" w:color="AEAEAE"/>
              <w:right w:val="nil"/>
            </w:tcBorders>
            <w:shd w:val="clear" w:color="auto" w:fill="FFFFFF"/>
          </w:tcPr>
          <w:p w14:paraId="7A022F7E"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&lt;none&gt;</w:t>
            </w:r>
          </w:p>
        </w:tc>
      </w:tr>
      <w:tr w:rsidR="00BF050C" w:rsidRPr="00BF050C" w14:paraId="29D838BF" w14:textId="77777777">
        <w:trPr>
          <w:cantSplit/>
        </w:trPr>
        <w:tc>
          <w:tcPr>
            <w:tcW w:w="2530" w:type="dxa"/>
            <w:vMerge/>
            <w:tcBorders>
              <w:top w:val="single" w:sz="8" w:space="0" w:color="AEAEAE"/>
              <w:left w:val="nil"/>
              <w:bottom w:val="single" w:sz="8" w:space="0" w:color="AEAEAE"/>
              <w:right w:val="nil"/>
            </w:tcBorders>
            <w:shd w:val="clear" w:color="auto" w:fill="E0E0E0"/>
          </w:tcPr>
          <w:p w14:paraId="29AB372C"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28706C00"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N of Rows in Working Data File</w:t>
            </w:r>
          </w:p>
        </w:tc>
        <w:tc>
          <w:tcPr>
            <w:tcW w:w="2751" w:type="dxa"/>
            <w:tcBorders>
              <w:top w:val="single" w:sz="8" w:space="0" w:color="AEAEAE"/>
              <w:left w:val="nil"/>
              <w:bottom w:val="single" w:sz="8" w:space="0" w:color="AEAEAE"/>
              <w:right w:val="nil"/>
            </w:tcBorders>
            <w:shd w:val="clear" w:color="auto" w:fill="FFFFFF"/>
          </w:tcPr>
          <w:p w14:paraId="7BEC0DBE"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364</w:t>
            </w:r>
          </w:p>
        </w:tc>
      </w:tr>
      <w:tr w:rsidR="00BF050C" w:rsidRPr="00BF050C" w14:paraId="618C778E" w14:textId="77777777">
        <w:trPr>
          <w:cantSplit/>
        </w:trPr>
        <w:tc>
          <w:tcPr>
            <w:tcW w:w="2530" w:type="dxa"/>
            <w:vMerge w:val="restart"/>
            <w:tcBorders>
              <w:top w:val="single" w:sz="8" w:space="0" w:color="AEAEAE"/>
              <w:left w:val="nil"/>
              <w:bottom w:val="single" w:sz="8" w:space="0" w:color="AEAEAE"/>
              <w:right w:val="nil"/>
            </w:tcBorders>
            <w:shd w:val="clear" w:color="auto" w:fill="E0E0E0"/>
          </w:tcPr>
          <w:p w14:paraId="6705C1A3"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Missing Value Handling</w:t>
            </w:r>
          </w:p>
        </w:tc>
        <w:tc>
          <w:tcPr>
            <w:tcW w:w="2717" w:type="dxa"/>
            <w:tcBorders>
              <w:top w:val="single" w:sz="8" w:space="0" w:color="AEAEAE"/>
              <w:left w:val="nil"/>
              <w:bottom w:val="single" w:sz="8" w:space="0" w:color="AEAEAE"/>
              <w:right w:val="nil"/>
            </w:tcBorders>
            <w:shd w:val="clear" w:color="auto" w:fill="E0E0E0"/>
          </w:tcPr>
          <w:p w14:paraId="62E28AA4"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Definition of Missing</w:t>
            </w:r>
          </w:p>
        </w:tc>
        <w:tc>
          <w:tcPr>
            <w:tcW w:w="2751" w:type="dxa"/>
            <w:tcBorders>
              <w:top w:val="single" w:sz="8" w:space="0" w:color="AEAEAE"/>
              <w:left w:val="nil"/>
              <w:bottom w:val="single" w:sz="8" w:space="0" w:color="AEAEAE"/>
              <w:right w:val="nil"/>
            </w:tcBorders>
            <w:shd w:val="clear" w:color="auto" w:fill="FFFFFF"/>
          </w:tcPr>
          <w:p w14:paraId="27ED9C28"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User-defined missing values for dependent variables are treated as missing.</w:t>
            </w:r>
          </w:p>
        </w:tc>
      </w:tr>
      <w:tr w:rsidR="00BF050C" w:rsidRPr="00BF050C" w14:paraId="033EBD2A" w14:textId="77777777">
        <w:trPr>
          <w:cantSplit/>
        </w:trPr>
        <w:tc>
          <w:tcPr>
            <w:tcW w:w="2530" w:type="dxa"/>
            <w:vMerge/>
            <w:tcBorders>
              <w:top w:val="single" w:sz="8" w:space="0" w:color="AEAEAE"/>
              <w:left w:val="nil"/>
              <w:bottom w:val="single" w:sz="8" w:space="0" w:color="AEAEAE"/>
              <w:right w:val="nil"/>
            </w:tcBorders>
            <w:shd w:val="clear" w:color="auto" w:fill="E0E0E0"/>
          </w:tcPr>
          <w:p w14:paraId="64D3784C"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1FBAE32A"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Cases Used</w:t>
            </w:r>
          </w:p>
        </w:tc>
        <w:tc>
          <w:tcPr>
            <w:tcW w:w="2751" w:type="dxa"/>
            <w:tcBorders>
              <w:top w:val="single" w:sz="8" w:space="0" w:color="AEAEAE"/>
              <w:left w:val="nil"/>
              <w:bottom w:val="single" w:sz="8" w:space="0" w:color="AEAEAE"/>
              <w:right w:val="nil"/>
            </w:tcBorders>
            <w:shd w:val="clear" w:color="auto" w:fill="FFFFFF"/>
          </w:tcPr>
          <w:p w14:paraId="5FA976C8"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Statistics are based on cases with no missing values for any dependent variable or factor used.</w:t>
            </w:r>
          </w:p>
        </w:tc>
      </w:tr>
      <w:tr w:rsidR="00BF050C" w:rsidRPr="00BF050C" w14:paraId="05CC2C9D" w14:textId="77777777">
        <w:trPr>
          <w:cantSplit/>
        </w:trPr>
        <w:tc>
          <w:tcPr>
            <w:tcW w:w="5247" w:type="dxa"/>
            <w:gridSpan w:val="2"/>
            <w:tcBorders>
              <w:top w:val="single" w:sz="8" w:space="0" w:color="AEAEAE"/>
              <w:left w:val="nil"/>
              <w:bottom w:val="single" w:sz="8" w:space="0" w:color="AEAEAE"/>
              <w:right w:val="nil"/>
            </w:tcBorders>
            <w:shd w:val="clear" w:color="auto" w:fill="E0E0E0"/>
          </w:tcPr>
          <w:p w14:paraId="18EB93F5"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Syntax</w:t>
            </w:r>
          </w:p>
        </w:tc>
        <w:tc>
          <w:tcPr>
            <w:tcW w:w="2751" w:type="dxa"/>
            <w:tcBorders>
              <w:top w:val="single" w:sz="8" w:space="0" w:color="AEAEAE"/>
              <w:left w:val="nil"/>
              <w:bottom w:val="single" w:sz="8" w:space="0" w:color="AEAEAE"/>
              <w:right w:val="nil"/>
            </w:tcBorders>
            <w:shd w:val="clear" w:color="auto" w:fill="FFFFFF"/>
          </w:tcPr>
          <w:p w14:paraId="2097CB1E"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EXAMINE VARIABLES=IF</w:t>
            </w:r>
          </w:p>
          <w:p w14:paraId="7A57EF59"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/PLOT HISTOGRAM NPPLOT</w:t>
            </w:r>
          </w:p>
          <w:p w14:paraId="1A86250B"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/STATISTICS DESCRIPTIVES</w:t>
            </w:r>
          </w:p>
          <w:p w14:paraId="2747C647"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/CINTERVAL 95</w:t>
            </w:r>
          </w:p>
          <w:p w14:paraId="078E5CE0"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/MISSING LISTWISE</w:t>
            </w:r>
          </w:p>
          <w:p w14:paraId="7B8DB0FF"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/NOTOTAL.</w:t>
            </w:r>
          </w:p>
        </w:tc>
      </w:tr>
      <w:tr w:rsidR="00BF050C" w:rsidRPr="00BF050C" w14:paraId="6C614CB6" w14:textId="77777777">
        <w:trPr>
          <w:cantSplit/>
        </w:trPr>
        <w:tc>
          <w:tcPr>
            <w:tcW w:w="2530" w:type="dxa"/>
            <w:vMerge w:val="restart"/>
            <w:tcBorders>
              <w:top w:val="single" w:sz="8" w:space="0" w:color="AEAEAE"/>
              <w:left w:val="nil"/>
              <w:bottom w:val="single" w:sz="8" w:space="0" w:color="152935"/>
              <w:right w:val="nil"/>
            </w:tcBorders>
            <w:shd w:val="clear" w:color="auto" w:fill="E0E0E0"/>
          </w:tcPr>
          <w:p w14:paraId="04D82DD3"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Resources</w:t>
            </w:r>
          </w:p>
        </w:tc>
        <w:tc>
          <w:tcPr>
            <w:tcW w:w="2717" w:type="dxa"/>
            <w:tcBorders>
              <w:top w:val="single" w:sz="8" w:space="0" w:color="AEAEAE"/>
              <w:left w:val="nil"/>
              <w:bottom w:val="single" w:sz="8" w:space="0" w:color="AEAEAE"/>
              <w:right w:val="nil"/>
            </w:tcBorders>
            <w:shd w:val="clear" w:color="auto" w:fill="E0E0E0"/>
          </w:tcPr>
          <w:p w14:paraId="7462A043"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Processor Time</w:t>
            </w:r>
          </w:p>
        </w:tc>
        <w:tc>
          <w:tcPr>
            <w:tcW w:w="2751" w:type="dxa"/>
            <w:tcBorders>
              <w:top w:val="single" w:sz="8" w:space="0" w:color="AEAEAE"/>
              <w:left w:val="nil"/>
              <w:bottom w:val="single" w:sz="8" w:space="0" w:color="AEAEAE"/>
              <w:right w:val="nil"/>
            </w:tcBorders>
            <w:shd w:val="clear" w:color="auto" w:fill="FFFFFF"/>
          </w:tcPr>
          <w:p w14:paraId="06AB156B"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00:00:03.61</w:t>
            </w:r>
          </w:p>
        </w:tc>
      </w:tr>
      <w:tr w:rsidR="00BF050C" w:rsidRPr="00BF050C" w14:paraId="38886F50" w14:textId="77777777">
        <w:trPr>
          <w:cantSplit/>
        </w:trPr>
        <w:tc>
          <w:tcPr>
            <w:tcW w:w="2530" w:type="dxa"/>
            <w:vMerge/>
            <w:tcBorders>
              <w:top w:val="single" w:sz="8" w:space="0" w:color="AEAEAE"/>
              <w:left w:val="nil"/>
              <w:bottom w:val="single" w:sz="8" w:space="0" w:color="152935"/>
              <w:right w:val="nil"/>
            </w:tcBorders>
            <w:shd w:val="clear" w:color="auto" w:fill="E0E0E0"/>
          </w:tcPr>
          <w:p w14:paraId="6BC8CDB6"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152935"/>
              <w:right w:val="nil"/>
            </w:tcBorders>
            <w:shd w:val="clear" w:color="auto" w:fill="E0E0E0"/>
          </w:tcPr>
          <w:p w14:paraId="1188B907"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Elapsed Time</w:t>
            </w:r>
          </w:p>
        </w:tc>
        <w:tc>
          <w:tcPr>
            <w:tcW w:w="2751" w:type="dxa"/>
            <w:tcBorders>
              <w:top w:val="single" w:sz="8" w:space="0" w:color="AEAEAE"/>
              <w:left w:val="nil"/>
              <w:bottom w:val="single" w:sz="8" w:space="0" w:color="152935"/>
              <w:right w:val="nil"/>
            </w:tcBorders>
            <w:shd w:val="clear" w:color="auto" w:fill="FFFFFF"/>
          </w:tcPr>
          <w:p w14:paraId="452F0966"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00:00:01.44</w:t>
            </w:r>
          </w:p>
        </w:tc>
      </w:tr>
    </w:tbl>
    <w:p w14:paraId="6523210F"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0FB823DB"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tbl>
      <w:tblPr>
        <w:tblW w:w="73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07"/>
        <w:gridCol w:w="2690"/>
        <w:gridCol w:w="1546"/>
        <w:gridCol w:w="1126"/>
        <w:gridCol w:w="1176"/>
      </w:tblGrid>
      <w:tr w:rsidR="00BF050C" w:rsidRPr="00BF050C" w14:paraId="20D18D30" w14:textId="77777777">
        <w:trPr>
          <w:cantSplit/>
        </w:trPr>
        <w:tc>
          <w:tcPr>
            <w:tcW w:w="7343" w:type="dxa"/>
            <w:gridSpan w:val="5"/>
            <w:tcBorders>
              <w:top w:val="nil"/>
              <w:left w:val="nil"/>
              <w:bottom w:val="nil"/>
              <w:right w:val="nil"/>
            </w:tcBorders>
            <w:shd w:val="clear" w:color="auto" w:fill="FFFFFF"/>
            <w:vAlign w:val="center"/>
          </w:tcPr>
          <w:p w14:paraId="26442F26" w14:textId="4C157DDD"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010205"/>
              </w:rPr>
            </w:pPr>
            <w:r w:rsidRPr="00BF050C">
              <w:rPr>
                <w:rFonts w:ascii="Arial" w:eastAsia="SimSun" w:hAnsi="Arial" w:cs="Arial"/>
                <w:b/>
                <w:bCs/>
                <w:color w:val="010205"/>
              </w:rPr>
              <w:t>Descriptive</w:t>
            </w:r>
          </w:p>
        </w:tc>
      </w:tr>
      <w:tr w:rsidR="00BF050C" w:rsidRPr="00BF050C" w14:paraId="5907316D" w14:textId="77777777">
        <w:trPr>
          <w:cantSplit/>
        </w:trPr>
        <w:tc>
          <w:tcPr>
            <w:tcW w:w="5041" w:type="dxa"/>
            <w:gridSpan w:val="3"/>
            <w:tcBorders>
              <w:top w:val="nil"/>
              <w:left w:val="nil"/>
              <w:bottom w:val="single" w:sz="8" w:space="0" w:color="152935"/>
              <w:right w:val="nil"/>
            </w:tcBorders>
            <w:shd w:val="clear" w:color="auto" w:fill="FFFFFF"/>
            <w:vAlign w:val="bottom"/>
          </w:tcPr>
          <w:p w14:paraId="22222FC0"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1126" w:type="dxa"/>
            <w:tcBorders>
              <w:top w:val="nil"/>
              <w:left w:val="nil"/>
              <w:bottom w:val="single" w:sz="8" w:space="0" w:color="152935"/>
              <w:right w:val="nil"/>
            </w:tcBorders>
            <w:shd w:val="clear" w:color="auto" w:fill="FFFFFF"/>
            <w:vAlign w:val="bottom"/>
          </w:tcPr>
          <w:p w14:paraId="148E8CE7"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Statistic</w:t>
            </w:r>
          </w:p>
        </w:tc>
        <w:tc>
          <w:tcPr>
            <w:tcW w:w="1176" w:type="dxa"/>
            <w:tcBorders>
              <w:top w:val="nil"/>
              <w:left w:val="single" w:sz="8" w:space="0" w:color="E0E0E0"/>
              <w:bottom w:val="single" w:sz="8" w:space="0" w:color="152935"/>
              <w:right w:val="nil"/>
            </w:tcBorders>
            <w:shd w:val="clear" w:color="auto" w:fill="FFFFFF"/>
            <w:vAlign w:val="bottom"/>
          </w:tcPr>
          <w:p w14:paraId="3BC03D94"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Std. Error</w:t>
            </w:r>
          </w:p>
        </w:tc>
      </w:tr>
      <w:tr w:rsidR="00BF050C" w:rsidRPr="00BF050C" w14:paraId="1174A87A" w14:textId="77777777">
        <w:trPr>
          <w:cantSplit/>
        </w:trPr>
        <w:tc>
          <w:tcPr>
            <w:tcW w:w="806" w:type="dxa"/>
            <w:vMerge w:val="restart"/>
            <w:tcBorders>
              <w:top w:val="single" w:sz="8" w:space="0" w:color="152935"/>
              <w:left w:val="nil"/>
              <w:bottom w:val="single" w:sz="8" w:space="0" w:color="152935"/>
              <w:right w:val="nil"/>
            </w:tcBorders>
            <w:shd w:val="clear" w:color="auto" w:fill="E0E0E0"/>
          </w:tcPr>
          <w:p w14:paraId="04001A90"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IF</w:t>
            </w:r>
          </w:p>
        </w:tc>
        <w:tc>
          <w:tcPr>
            <w:tcW w:w="4235" w:type="dxa"/>
            <w:gridSpan w:val="2"/>
            <w:tcBorders>
              <w:top w:val="single" w:sz="8" w:space="0" w:color="152935"/>
              <w:left w:val="nil"/>
              <w:bottom w:val="nil"/>
              <w:right w:val="nil"/>
            </w:tcBorders>
            <w:shd w:val="clear" w:color="auto" w:fill="E0E0E0"/>
          </w:tcPr>
          <w:p w14:paraId="1307B260"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Mean</w:t>
            </w:r>
          </w:p>
        </w:tc>
        <w:tc>
          <w:tcPr>
            <w:tcW w:w="1126" w:type="dxa"/>
            <w:tcBorders>
              <w:top w:val="single" w:sz="8" w:space="0" w:color="152935"/>
              <w:left w:val="nil"/>
              <w:bottom w:val="nil"/>
              <w:right w:val="nil"/>
            </w:tcBorders>
            <w:shd w:val="clear" w:color="auto" w:fill="FFFFFF"/>
          </w:tcPr>
          <w:p w14:paraId="2952B8DC"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4.2701</w:t>
            </w:r>
          </w:p>
        </w:tc>
        <w:tc>
          <w:tcPr>
            <w:tcW w:w="1176" w:type="dxa"/>
            <w:tcBorders>
              <w:top w:val="single" w:sz="8" w:space="0" w:color="152935"/>
              <w:left w:val="single" w:sz="8" w:space="0" w:color="E0E0E0"/>
              <w:bottom w:val="nil"/>
              <w:right w:val="nil"/>
            </w:tcBorders>
            <w:shd w:val="clear" w:color="auto" w:fill="FFFFFF"/>
          </w:tcPr>
          <w:p w14:paraId="658A9B4C"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.04466</w:t>
            </w:r>
          </w:p>
        </w:tc>
      </w:tr>
      <w:tr w:rsidR="00BF050C" w:rsidRPr="00BF050C" w14:paraId="7E61E93D" w14:textId="77777777">
        <w:trPr>
          <w:cantSplit/>
        </w:trPr>
        <w:tc>
          <w:tcPr>
            <w:tcW w:w="806" w:type="dxa"/>
            <w:vMerge/>
            <w:tcBorders>
              <w:top w:val="single" w:sz="8" w:space="0" w:color="152935"/>
              <w:left w:val="nil"/>
              <w:bottom w:val="single" w:sz="8" w:space="0" w:color="152935"/>
              <w:right w:val="nil"/>
            </w:tcBorders>
            <w:shd w:val="clear" w:color="auto" w:fill="E0E0E0"/>
          </w:tcPr>
          <w:p w14:paraId="436FF915"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689" w:type="dxa"/>
            <w:vMerge w:val="restart"/>
            <w:tcBorders>
              <w:top w:val="single" w:sz="8" w:space="0" w:color="AEAEAE"/>
              <w:left w:val="nil"/>
              <w:bottom w:val="nil"/>
              <w:right w:val="nil"/>
            </w:tcBorders>
            <w:shd w:val="clear" w:color="auto" w:fill="E0E0E0"/>
          </w:tcPr>
          <w:p w14:paraId="39B36D47"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95% Confidence Interval for Mean</w:t>
            </w:r>
          </w:p>
        </w:tc>
        <w:tc>
          <w:tcPr>
            <w:tcW w:w="1546" w:type="dxa"/>
            <w:tcBorders>
              <w:top w:val="single" w:sz="8" w:space="0" w:color="AEAEAE"/>
              <w:left w:val="nil"/>
              <w:bottom w:val="single" w:sz="8" w:space="0" w:color="AEAEAE"/>
              <w:right w:val="nil"/>
            </w:tcBorders>
            <w:shd w:val="clear" w:color="auto" w:fill="E0E0E0"/>
          </w:tcPr>
          <w:p w14:paraId="3373FDAF"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Lower Bound</w:t>
            </w:r>
          </w:p>
        </w:tc>
        <w:tc>
          <w:tcPr>
            <w:tcW w:w="1126" w:type="dxa"/>
            <w:tcBorders>
              <w:top w:val="single" w:sz="8" w:space="0" w:color="AEAEAE"/>
              <w:left w:val="nil"/>
              <w:bottom w:val="single" w:sz="8" w:space="0" w:color="AEAEAE"/>
              <w:right w:val="nil"/>
            </w:tcBorders>
            <w:shd w:val="clear" w:color="auto" w:fill="FFFFFF"/>
          </w:tcPr>
          <w:p w14:paraId="03D7E198"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4.1807</w:t>
            </w:r>
          </w:p>
        </w:tc>
        <w:tc>
          <w:tcPr>
            <w:tcW w:w="1176" w:type="dxa"/>
            <w:tcBorders>
              <w:top w:val="single" w:sz="8" w:space="0" w:color="AEAEAE"/>
              <w:left w:val="single" w:sz="8" w:space="0" w:color="E0E0E0"/>
              <w:bottom w:val="single" w:sz="8" w:space="0" w:color="AEAEAE"/>
              <w:right w:val="nil"/>
            </w:tcBorders>
            <w:shd w:val="clear" w:color="auto" w:fill="FFFFFF"/>
            <w:vAlign w:val="center"/>
          </w:tcPr>
          <w:p w14:paraId="0BF62E7B"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280C4635" w14:textId="77777777">
        <w:trPr>
          <w:cantSplit/>
        </w:trPr>
        <w:tc>
          <w:tcPr>
            <w:tcW w:w="806" w:type="dxa"/>
            <w:vMerge/>
            <w:tcBorders>
              <w:top w:val="single" w:sz="8" w:space="0" w:color="152935"/>
              <w:left w:val="nil"/>
              <w:bottom w:val="single" w:sz="8" w:space="0" w:color="152935"/>
              <w:right w:val="nil"/>
            </w:tcBorders>
            <w:shd w:val="clear" w:color="auto" w:fill="E0E0E0"/>
          </w:tcPr>
          <w:p w14:paraId="0D3DD115"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2689" w:type="dxa"/>
            <w:vMerge/>
            <w:tcBorders>
              <w:top w:val="single" w:sz="8" w:space="0" w:color="AEAEAE"/>
              <w:left w:val="nil"/>
              <w:bottom w:val="nil"/>
              <w:right w:val="nil"/>
            </w:tcBorders>
            <w:shd w:val="clear" w:color="auto" w:fill="E0E0E0"/>
          </w:tcPr>
          <w:p w14:paraId="178AD94A"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1546" w:type="dxa"/>
            <w:tcBorders>
              <w:top w:val="single" w:sz="8" w:space="0" w:color="AEAEAE"/>
              <w:left w:val="nil"/>
              <w:bottom w:val="nil"/>
              <w:right w:val="nil"/>
            </w:tcBorders>
            <w:shd w:val="clear" w:color="auto" w:fill="E0E0E0"/>
          </w:tcPr>
          <w:p w14:paraId="44BEAA60"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Upper Bound</w:t>
            </w:r>
          </w:p>
        </w:tc>
        <w:tc>
          <w:tcPr>
            <w:tcW w:w="1126" w:type="dxa"/>
            <w:tcBorders>
              <w:top w:val="single" w:sz="8" w:space="0" w:color="AEAEAE"/>
              <w:left w:val="nil"/>
              <w:bottom w:val="nil"/>
              <w:right w:val="nil"/>
            </w:tcBorders>
            <w:shd w:val="clear" w:color="auto" w:fill="FFFFFF"/>
          </w:tcPr>
          <w:p w14:paraId="619AEB15"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4.3594</w:t>
            </w:r>
          </w:p>
        </w:tc>
        <w:tc>
          <w:tcPr>
            <w:tcW w:w="1176" w:type="dxa"/>
            <w:tcBorders>
              <w:top w:val="single" w:sz="8" w:space="0" w:color="AEAEAE"/>
              <w:left w:val="single" w:sz="8" w:space="0" w:color="E0E0E0"/>
              <w:bottom w:val="nil"/>
              <w:right w:val="nil"/>
            </w:tcBorders>
            <w:shd w:val="clear" w:color="auto" w:fill="FFFFFF"/>
            <w:vAlign w:val="center"/>
          </w:tcPr>
          <w:p w14:paraId="0F39660A"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76FCFB74" w14:textId="77777777">
        <w:trPr>
          <w:cantSplit/>
        </w:trPr>
        <w:tc>
          <w:tcPr>
            <w:tcW w:w="806" w:type="dxa"/>
            <w:vMerge/>
            <w:tcBorders>
              <w:top w:val="single" w:sz="8" w:space="0" w:color="152935"/>
              <w:left w:val="nil"/>
              <w:bottom w:val="single" w:sz="8" w:space="0" w:color="152935"/>
              <w:right w:val="nil"/>
            </w:tcBorders>
            <w:shd w:val="clear" w:color="auto" w:fill="E0E0E0"/>
          </w:tcPr>
          <w:p w14:paraId="79EE180C"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3E1D786C"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5% Trimmed Mean</w:t>
            </w:r>
          </w:p>
        </w:tc>
        <w:tc>
          <w:tcPr>
            <w:tcW w:w="1126" w:type="dxa"/>
            <w:tcBorders>
              <w:top w:val="single" w:sz="8" w:space="0" w:color="AEAEAE"/>
              <w:left w:val="nil"/>
              <w:bottom w:val="nil"/>
              <w:right w:val="nil"/>
            </w:tcBorders>
            <w:shd w:val="clear" w:color="auto" w:fill="FFFFFF"/>
          </w:tcPr>
          <w:p w14:paraId="0BA1AF03"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4.2836</w:t>
            </w:r>
          </w:p>
        </w:tc>
        <w:tc>
          <w:tcPr>
            <w:tcW w:w="1176" w:type="dxa"/>
            <w:tcBorders>
              <w:top w:val="single" w:sz="8" w:space="0" w:color="AEAEAE"/>
              <w:left w:val="single" w:sz="8" w:space="0" w:color="E0E0E0"/>
              <w:bottom w:val="nil"/>
              <w:right w:val="nil"/>
            </w:tcBorders>
            <w:shd w:val="clear" w:color="auto" w:fill="FFFFFF"/>
            <w:vAlign w:val="center"/>
          </w:tcPr>
          <w:p w14:paraId="54C3CF85"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536944CF" w14:textId="77777777">
        <w:trPr>
          <w:cantSplit/>
        </w:trPr>
        <w:tc>
          <w:tcPr>
            <w:tcW w:w="806" w:type="dxa"/>
            <w:vMerge/>
            <w:tcBorders>
              <w:top w:val="single" w:sz="8" w:space="0" w:color="152935"/>
              <w:left w:val="nil"/>
              <w:bottom w:val="single" w:sz="8" w:space="0" w:color="152935"/>
              <w:right w:val="nil"/>
            </w:tcBorders>
            <w:shd w:val="clear" w:color="auto" w:fill="E0E0E0"/>
          </w:tcPr>
          <w:p w14:paraId="62477EAF"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6BD3EEFE"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Median</w:t>
            </w:r>
          </w:p>
        </w:tc>
        <w:tc>
          <w:tcPr>
            <w:tcW w:w="1126" w:type="dxa"/>
            <w:tcBorders>
              <w:top w:val="single" w:sz="8" w:space="0" w:color="AEAEAE"/>
              <w:left w:val="nil"/>
              <w:bottom w:val="nil"/>
              <w:right w:val="nil"/>
            </w:tcBorders>
            <w:shd w:val="clear" w:color="auto" w:fill="FFFFFF"/>
          </w:tcPr>
          <w:p w14:paraId="3C8463EF"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4.3579</w:t>
            </w:r>
          </w:p>
        </w:tc>
        <w:tc>
          <w:tcPr>
            <w:tcW w:w="1176" w:type="dxa"/>
            <w:tcBorders>
              <w:top w:val="single" w:sz="8" w:space="0" w:color="AEAEAE"/>
              <w:left w:val="single" w:sz="8" w:space="0" w:color="E0E0E0"/>
              <w:bottom w:val="nil"/>
              <w:right w:val="nil"/>
            </w:tcBorders>
            <w:shd w:val="clear" w:color="auto" w:fill="FFFFFF"/>
            <w:vAlign w:val="center"/>
          </w:tcPr>
          <w:p w14:paraId="3DFAA3C3"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4840D60B" w14:textId="77777777">
        <w:trPr>
          <w:cantSplit/>
        </w:trPr>
        <w:tc>
          <w:tcPr>
            <w:tcW w:w="806" w:type="dxa"/>
            <w:vMerge/>
            <w:tcBorders>
              <w:top w:val="single" w:sz="8" w:space="0" w:color="152935"/>
              <w:left w:val="nil"/>
              <w:bottom w:val="single" w:sz="8" w:space="0" w:color="152935"/>
              <w:right w:val="nil"/>
            </w:tcBorders>
            <w:shd w:val="clear" w:color="auto" w:fill="E0E0E0"/>
          </w:tcPr>
          <w:p w14:paraId="0881924B"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6DD5F998"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Variance</w:t>
            </w:r>
          </w:p>
        </w:tc>
        <w:tc>
          <w:tcPr>
            <w:tcW w:w="1126" w:type="dxa"/>
            <w:tcBorders>
              <w:top w:val="single" w:sz="8" w:space="0" w:color="AEAEAE"/>
              <w:left w:val="nil"/>
              <w:bottom w:val="nil"/>
              <w:right w:val="nil"/>
            </w:tcBorders>
            <w:shd w:val="clear" w:color="auto" w:fill="FFFFFF"/>
          </w:tcPr>
          <w:p w14:paraId="44D53ED2"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.122</w:t>
            </w:r>
          </w:p>
        </w:tc>
        <w:tc>
          <w:tcPr>
            <w:tcW w:w="1176" w:type="dxa"/>
            <w:tcBorders>
              <w:top w:val="single" w:sz="8" w:space="0" w:color="AEAEAE"/>
              <w:left w:val="single" w:sz="8" w:space="0" w:color="E0E0E0"/>
              <w:bottom w:val="nil"/>
              <w:right w:val="nil"/>
            </w:tcBorders>
            <w:shd w:val="clear" w:color="auto" w:fill="FFFFFF"/>
            <w:vAlign w:val="center"/>
          </w:tcPr>
          <w:p w14:paraId="43D7C8D8"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2C1DD3F6" w14:textId="77777777">
        <w:trPr>
          <w:cantSplit/>
        </w:trPr>
        <w:tc>
          <w:tcPr>
            <w:tcW w:w="806" w:type="dxa"/>
            <w:vMerge/>
            <w:tcBorders>
              <w:top w:val="single" w:sz="8" w:space="0" w:color="152935"/>
              <w:left w:val="nil"/>
              <w:bottom w:val="single" w:sz="8" w:space="0" w:color="152935"/>
              <w:right w:val="nil"/>
            </w:tcBorders>
            <w:shd w:val="clear" w:color="auto" w:fill="E0E0E0"/>
          </w:tcPr>
          <w:p w14:paraId="7A603A16"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58A152E1"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Std. Deviation</w:t>
            </w:r>
          </w:p>
        </w:tc>
        <w:tc>
          <w:tcPr>
            <w:tcW w:w="1126" w:type="dxa"/>
            <w:tcBorders>
              <w:top w:val="single" w:sz="8" w:space="0" w:color="AEAEAE"/>
              <w:left w:val="nil"/>
              <w:bottom w:val="nil"/>
              <w:right w:val="nil"/>
            </w:tcBorders>
            <w:shd w:val="clear" w:color="auto" w:fill="FFFFFF"/>
          </w:tcPr>
          <w:p w14:paraId="3FF5695D"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.34880</w:t>
            </w:r>
          </w:p>
        </w:tc>
        <w:tc>
          <w:tcPr>
            <w:tcW w:w="1176" w:type="dxa"/>
            <w:tcBorders>
              <w:top w:val="single" w:sz="8" w:space="0" w:color="AEAEAE"/>
              <w:left w:val="single" w:sz="8" w:space="0" w:color="E0E0E0"/>
              <w:bottom w:val="nil"/>
              <w:right w:val="nil"/>
            </w:tcBorders>
            <w:shd w:val="clear" w:color="auto" w:fill="FFFFFF"/>
            <w:vAlign w:val="center"/>
          </w:tcPr>
          <w:p w14:paraId="44D7F6A4"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419D6624" w14:textId="77777777">
        <w:trPr>
          <w:cantSplit/>
        </w:trPr>
        <w:tc>
          <w:tcPr>
            <w:tcW w:w="806" w:type="dxa"/>
            <w:vMerge/>
            <w:tcBorders>
              <w:top w:val="single" w:sz="8" w:space="0" w:color="152935"/>
              <w:left w:val="nil"/>
              <w:bottom w:val="single" w:sz="8" w:space="0" w:color="152935"/>
              <w:right w:val="nil"/>
            </w:tcBorders>
            <w:shd w:val="clear" w:color="auto" w:fill="E0E0E0"/>
          </w:tcPr>
          <w:p w14:paraId="0F594ACE"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6F976A6B"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Minimum</w:t>
            </w:r>
          </w:p>
        </w:tc>
        <w:tc>
          <w:tcPr>
            <w:tcW w:w="1126" w:type="dxa"/>
            <w:tcBorders>
              <w:top w:val="single" w:sz="8" w:space="0" w:color="AEAEAE"/>
              <w:left w:val="nil"/>
              <w:bottom w:val="nil"/>
              <w:right w:val="nil"/>
            </w:tcBorders>
            <w:shd w:val="clear" w:color="auto" w:fill="FFFFFF"/>
          </w:tcPr>
          <w:p w14:paraId="1EDA83CF"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3.51</w:t>
            </w:r>
          </w:p>
        </w:tc>
        <w:tc>
          <w:tcPr>
            <w:tcW w:w="1176" w:type="dxa"/>
            <w:tcBorders>
              <w:top w:val="single" w:sz="8" w:space="0" w:color="AEAEAE"/>
              <w:left w:val="single" w:sz="8" w:space="0" w:color="E0E0E0"/>
              <w:bottom w:val="nil"/>
              <w:right w:val="nil"/>
            </w:tcBorders>
            <w:shd w:val="clear" w:color="auto" w:fill="FFFFFF"/>
            <w:vAlign w:val="center"/>
          </w:tcPr>
          <w:p w14:paraId="3FFF5645"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6C844D9A" w14:textId="77777777">
        <w:trPr>
          <w:cantSplit/>
        </w:trPr>
        <w:tc>
          <w:tcPr>
            <w:tcW w:w="806" w:type="dxa"/>
            <w:vMerge/>
            <w:tcBorders>
              <w:top w:val="single" w:sz="8" w:space="0" w:color="152935"/>
              <w:left w:val="nil"/>
              <w:bottom w:val="single" w:sz="8" w:space="0" w:color="152935"/>
              <w:right w:val="nil"/>
            </w:tcBorders>
            <w:shd w:val="clear" w:color="auto" w:fill="E0E0E0"/>
          </w:tcPr>
          <w:p w14:paraId="4E643B15"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763B83D2"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Maximum</w:t>
            </w:r>
          </w:p>
        </w:tc>
        <w:tc>
          <w:tcPr>
            <w:tcW w:w="1126" w:type="dxa"/>
            <w:tcBorders>
              <w:top w:val="single" w:sz="8" w:space="0" w:color="AEAEAE"/>
              <w:left w:val="nil"/>
              <w:bottom w:val="nil"/>
              <w:right w:val="nil"/>
            </w:tcBorders>
            <w:shd w:val="clear" w:color="auto" w:fill="FFFFFF"/>
          </w:tcPr>
          <w:p w14:paraId="643CFE68"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4.83</w:t>
            </w:r>
          </w:p>
        </w:tc>
        <w:tc>
          <w:tcPr>
            <w:tcW w:w="1176" w:type="dxa"/>
            <w:tcBorders>
              <w:top w:val="single" w:sz="8" w:space="0" w:color="AEAEAE"/>
              <w:left w:val="single" w:sz="8" w:space="0" w:color="E0E0E0"/>
              <w:bottom w:val="nil"/>
              <w:right w:val="nil"/>
            </w:tcBorders>
            <w:shd w:val="clear" w:color="auto" w:fill="FFFFFF"/>
            <w:vAlign w:val="center"/>
          </w:tcPr>
          <w:p w14:paraId="12F8C402"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7C2562A1" w14:textId="77777777">
        <w:trPr>
          <w:cantSplit/>
        </w:trPr>
        <w:tc>
          <w:tcPr>
            <w:tcW w:w="806" w:type="dxa"/>
            <w:vMerge/>
            <w:tcBorders>
              <w:top w:val="single" w:sz="8" w:space="0" w:color="152935"/>
              <w:left w:val="nil"/>
              <w:bottom w:val="single" w:sz="8" w:space="0" w:color="152935"/>
              <w:right w:val="nil"/>
            </w:tcBorders>
            <w:shd w:val="clear" w:color="auto" w:fill="E0E0E0"/>
          </w:tcPr>
          <w:p w14:paraId="2AA1F4B9"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223626B7"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Range</w:t>
            </w:r>
          </w:p>
        </w:tc>
        <w:tc>
          <w:tcPr>
            <w:tcW w:w="1126" w:type="dxa"/>
            <w:tcBorders>
              <w:top w:val="single" w:sz="8" w:space="0" w:color="AEAEAE"/>
              <w:left w:val="nil"/>
              <w:bottom w:val="nil"/>
              <w:right w:val="nil"/>
            </w:tcBorders>
            <w:shd w:val="clear" w:color="auto" w:fill="FFFFFF"/>
          </w:tcPr>
          <w:p w14:paraId="1277F53A"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1.32</w:t>
            </w:r>
          </w:p>
        </w:tc>
        <w:tc>
          <w:tcPr>
            <w:tcW w:w="1176" w:type="dxa"/>
            <w:tcBorders>
              <w:top w:val="single" w:sz="8" w:space="0" w:color="AEAEAE"/>
              <w:left w:val="single" w:sz="8" w:space="0" w:color="E0E0E0"/>
              <w:bottom w:val="nil"/>
              <w:right w:val="nil"/>
            </w:tcBorders>
            <w:shd w:val="clear" w:color="auto" w:fill="FFFFFF"/>
            <w:vAlign w:val="center"/>
          </w:tcPr>
          <w:p w14:paraId="1F077522"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0BF22340" w14:textId="77777777">
        <w:trPr>
          <w:cantSplit/>
        </w:trPr>
        <w:tc>
          <w:tcPr>
            <w:tcW w:w="806" w:type="dxa"/>
            <w:vMerge/>
            <w:tcBorders>
              <w:top w:val="single" w:sz="8" w:space="0" w:color="152935"/>
              <w:left w:val="nil"/>
              <w:bottom w:val="single" w:sz="8" w:space="0" w:color="152935"/>
              <w:right w:val="nil"/>
            </w:tcBorders>
            <w:shd w:val="clear" w:color="auto" w:fill="E0E0E0"/>
          </w:tcPr>
          <w:p w14:paraId="4145AD0E"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290CC196"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Interquartile Range</w:t>
            </w:r>
          </w:p>
        </w:tc>
        <w:tc>
          <w:tcPr>
            <w:tcW w:w="1126" w:type="dxa"/>
            <w:tcBorders>
              <w:top w:val="single" w:sz="8" w:space="0" w:color="AEAEAE"/>
              <w:left w:val="nil"/>
              <w:bottom w:val="nil"/>
              <w:right w:val="nil"/>
            </w:tcBorders>
            <w:shd w:val="clear" w:color="auto" w:fill="FFFFFF"/>
          </w:tcPr>
          <w:p w14:paraId="696B669D"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.60</w:t>
            </w:r>
          </w:p>
        </w:tc>
        <w:tc>
          <w:tcPr>
            <w:tcW w:w="1176" w:type="dxa"/>
            <w:tcBorders>
              <w:top w:val="single" w:sz="8" w:space="0" w:color="AEAEAE"/>
              <w:left w:val="single" w:sz="8" w:space="0" w:color="E0E0E0"/>
              <w:bottom w:val="nil"/>
              <w:right w:val="nil"/>
            </w:tcBorders>
            <w:shd w:val="clear" w:color="auto" w:fill="FFFFFF"/>
            <w:vAlign w:val="center"/>
          </w:tcPr>
          <w:p w14:paraId="584C8E0B"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01781C61" w14:textId="77777777">
        <w:trPr>
          <w:cantSplit/>
        </w:trPr>
        <w:tc>
          <w:tcPr>
            <w:tcW w:w="806" w:type="dxa"/>
            <w:vMerge/>
            <w:tcBorders>
              <w:top w:val="single" w:sz="8" w:space="0" w:color="152935"/>
              <w:left w:val="nil"/>
              <w:bottom w:val="single" w:sz="8" w:space="0" w:color="152935"/>
              <w:right w:val="nil"/>
            </w:tcBorders>
            <w:shd w:val="clear" w:color="auto" w:fill="E0E0E0"/>
          </w:tcPr>
          <w:p w14:paraId="633F0D43"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04ECBA54"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Skewness</w:t>
            </w:r>
          </w:p>
        </w:tc>
        <w:tc>
          <w:tcPr>
            <w:tcW w:w="1126" w:type="dxa"/>
            <w:tcBorders>
              <w:top w:val="single" w:sz="8" w:space="0" w:color="AEAEAE"/>
              <w:left w:val="nil"/>
              <w:bottom w:val="nil"/>
              <w:right w:val="nil"/>
            </w:tcBorders>
            <w:shd w:val="clear" w:color="auto" w:fill="FFFFFF"/>
          </w:tcPr>
          <w:p w14:paraId="08B4ED14"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-.457</w:t>
            </w:r>
          </w:p>
        </w:tc>
        <w:tc>
          <w:tcPr>
            <w:tcW w:w="1176" w:type="dxa"/>
            <w:tcBorders>
              <w:top w:val="single" w:sz="8" w:space="0" w:color="AEAEAE"/>
              <w:left w:val="single" w:sz="8" w:space="0" w:color="E0E0E0"/>
              <w:bottom w:val="nil"/>
              <w:right w:val="nil"/>
            </w:tcBorders>
            <w:shd w:val="clear" w:color="auto" w:fill="FFFFFF"/>
          </w:tcPr>
          <w:p w14:paraId="1FF7D376"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.306</w:t>
            </w:r>
          </w:p>
        </w:tc>
      </w:tr>
      <w:tr w:rsidR="00BF050C" w:rsidRPr="00BF050C" w14:paraId="2C41BAC3" w14:textId="77777777">
        <w:trPr>
          <w:cantSplit/>
        </w:trPr>
        <w:tc>
          <w:tcPr>
            <w:tcW w:w="806" w:type="dxa"/>
            <w:vMerge/>
            <w:tcBorders>
              <w:top w:val="single" w:sz="8" w:space="0" w:color="152935"/>
              <w:left w:val="nil"/>
              <w:bottom w:val="single" w:sz="8" w:space="0" w:color="152935"/>
              <w:right w:val="nil"/>
            </w:tcBorders>
            <w:shd w:val="clear" w:color="auto" w:fill="E0E0E0"/>
          </w:tcPr>
          <w:p w14:paraId="77E565CA"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4235" w:type="dxa"/>
            <w:gridSpan w:val="2"/>
            <w:tcBorders>
              <w:top w:val="single" w:sz="8" w:space="0" w:color="AEAEAE"/>
              <w:left w:val="nil"/>
              <w:bottom w:val="single" w:sz="8" w:space="0" w:color="152935"/>
              <w:right w:val="nil"/>
            </w:tcBorders>
            <w:shd w:val="clear" w:color="auto" w:fill="E0E0E0"/>
          </w:tcPr>
          <w:p w14:paraId="367EEB33"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Kurtosis</w:t>
            </w:r>
          </w:p>
        </w:tc>
        <w:tc>
          <w:tcPr>
            <w:tcW w:w="1126" w:type="dxa"/>
            <w:tcBorders>
              <w:top w:val="single" w:sz="8" w:space="0" w:color="AEAEAE"/>
              <w:left w:val="nil"/>
              <w:bottom w:val="single" w:sz="8" w:space="0" w:color="152935"/>
              <w:right w:val="nil"/>
            </w:tcBorders>
            <w:shd w:val="clear" w:color="auto" w:fill="FFFFFF"/>
          </w:tcPr>
          <w:p w14:paraId="3E11C970"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-.781</w:t>
            </w:r>
          </w:p>
        </w:tc>
        <w:tc>
          <w:tcPr>
            <w:tcW w:w="1176" w:type="dxa"/>
            <w:tcBorders>
              <w:top w:val="single" w:sz="8" w:space="0" w:color="AEAEAE"/>
              <w:left w:val="single" w:sz="8" w:space="0" w:color="E0E0E0"/>
              <w:bottom w:val="single" w:sz="8" w:space="0" w:color="152935"/>
              <w:right w:val="nil"/>
            </w:tcBorders>
            <w:shd w:val="clear" w:color="auto" w:fill="FFFFFF"/>
          </w:tcPr>
          <w:p w14:paraId="4B699338"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.604</w:t>
            </w:r>
          </w:p>
        </w:tc>
      </w:tr>
    </w:tbl>
    <w:p w14:paraId="70A6A87F"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449B124A"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tbl>
      <w:tblPr>
        <w:tblW w:w="75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07"/>
        <w:gridCol w:w="1126"/>
        <w:gridCol w:w="1126"/>
        <w:gridCol w:w="1126"/>
        <w:gridCol w:w="1126"/>
        <w:gridCol w:w="1126"/>
        <w:gridCol w:w="1126"/>
      </w:tblGrid>
      <w:tr w:rsidR="00BF050C" w:rsidRPr="00BF050C" w14:paraId="45B73D36" w14:textId="77777777">
        <w:trPr>
          <w:cantSplit/>
        </w:trPr>
        <w:tc>
          <w:tcPr>
            <w:tcW w:w="7562" w:type="dxa"/>
            <w:gridSpan w:val="7"/>
            <w:tcBorders>
              <w:top w:val="nil"/>
              <w:left w:val="nil"/>
              <w:bottom w:val="nil"/>
              <w:right w:val="nil"/>
            </w:tcBorders>
            <w:shd w:val="clear" w:color="auto" w:fill="FFFFFF"/>
            <w:vAlign w:val="center"/>
          </w:tcPr>
          <w:p w14:paraId="0C1967FE"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010205"/>
              </w:rPr>
            </w:pPr>
            <w:r w:rsidRPr="00BF050C">
              <w:rPr>
                <w:rFonts w:ascii="Arial" w:eastAsia="SimSun" w:hAnsi="Arial" w:cs="Arial"/>
                <w:b/>
                <w:bCs/>
                <w:color w:val="010205"/>
              </w:rPr>
              <w:t>Tests of Normality</w:t>
            </w:r>
          </w:p>
        </w:tc>
      </w:tr>
      <w:tr w:rsidR="00BF050C" w:rsidRPr="00BF050C" w14:paraId="75F317A9" w14:textId="77777777">
        <w:trPr>
          <w:cantSplit/>
        </w:trPr>
        <w:tc>
          <w:tcPr>
            <w:tcW w:w="806" w:type="dxa"/>
            <w:vMerge w:val="restart"/>
            <w:tcBorders>
              <w:top w:val="nil"/>
              <w:left w:val="nil"/>
              <w:bottom w:val="nil"/>
              <w:right w:val="nil"/>
            </w:tcBorders>
            <w:shd w:val="clear" w:color="auto" w:fill="FFFFFF"/>
            <w:vAlign w:val="bottom"/>
          </w:tcPr>
          <w:p w14:paraId="21B41477"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3378" w:type="dxa"/>
            <w:gridSpan w:val="3"/>
            <w:tcBorders>
              <w:top w:val="nil"/>
              <w:left w:val="nil"/>
              <w:bottom w:val="nil"/>
              <w:right w:val="nil"/>
            </w:tcBorders>
            <w:shd w:val="clear" w:color="auto" w:fill="FFFFFF"/>
            <w:vAlign w:val="bottom"/>
          </w:tcPr>
          <w:p w14:paraId="1481D686"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Kolmogorov-Smirnov</w:t>
            </w:r>
            <w:r w:rsidRPr="00BF050C">
              <w:rPr>
                <w:rFonts w:ascii="Arial" w:eastAsia="SimSun" w:hAnsi="Arial" w:cs="Arial"/>
                <w:color w:val="264A60"/>
                <w:sz w:val="18"/>
                <w:szCs w:val="18"/>
                <w:vertAlign w:val="superscript"/>
              </w:rPr>
              <w:t>a</w:t>
            </w:r>
          </w:p>
        </w:tc>
        <w:tc>
          <w:tcPr>
            <w:tcW w:w="3378" w:type="dxa"/>
            <w:gridSpan w:val="3"/>
            <w:tcBorders>
              <w:top w:val="nil"/>
              <w:left w:val="single" w:sz="8" w:space="0" w:color="E0E0E0"/>
              <w:bottom w:val="nil"/>
              <w:right w:val="nil"/>
            </w:tcBorders>
            <w:shd w:val="clear" w:color="auto" w:fill="FFFFFF"/>
            <w:vAlign w:val="bottom"/>
          </w:tcPr>
          <w:p w14:paraId="540F9C7C"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Shapiro-Wilk</w:t>
            </w:r>
          </w:p>
        </w:tc>
      </w:tr>
      <w:tr w:rsidR="00BF050C" w:rsidRPr="00BF050C" w14:paraId="74035C2E" w14:textId="77777777">
        <w:trPr>
          <w:cantSplit/>
        </w:trPr>
        <w:tc>
          <w:tcPr>
            <w:tcW w:w="806" w:type="dxa"/>
            <w:vMerge/>
            <w:tcBorders>
              <w:top w:val="nil"/>
              <w:left w:val="nil"/>
              <w:bottom w:val="nil"/>
              <w:right w:val="nil"/>
            </w:tcBorders>
            <w:shd w:val="clear" w:color="auto" w:fill="FFFFFF"/>
            <w:vAlign w:val="bottom"/>
          </w:tcPr>
          <w:p w14:paraId="09DFADB4"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264A60"/>
                <w:sz w:val="18"/>
                <w:szCs w:val="18"/>
              </w:rPr>
            </w:pPr>
          </w:p>
        </w:tc>
        <w:tc>
          <w:tcPr>
            <w:tcW w:w="1126" w:type="dxa"/>
            <w:tcBorders>
              <w:top w:val="nil"/>
              <w:left w:val="nil"/>
              <w:bottom w:val="single" w:sz="8" w:space="0" w:color="152935"/>
              <w:right w:val="single" w:sz="8" w:space="0" w:color="E0E0E0"/>
            </w:tcBorders>
            <w:shd w:val="clear" w:color="auto" w:fill="FFFFFF"/>
            <w:vAlign w:val="bottom"/>
          </w:tcPr>
          <w:p w14:paraId="651776E1"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Statistic</w:t>
            </w:r>
          </w:p>
        </w:tc>
        <w:tc>
          <w:tcPr>
            <w:tcW w:w="1126" w:type="dxa"/>
            <w:tcBorders>
              <w:top w:val="nil"/>
              <w:left w:val="single" w:sz="8" w:space="0" w:color="E0E0E0"/>
              <w:bottom w:val="single" w:sz="8" w:space="0" w:color="152935"/>
              <w:right w:val="single" w:sz="8" w:space="0" w:color="E0E0E0"/>
            </w:tcBorders>
            <w:shd w:val="clear" w:color="auto" w:fill="FFFFFF"/>
            <w:vAlign w:val="bottom"/>
          </w:tcPr>
          <w:p w14:paraId="5038812F"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df</w:t>
            </w:r>
          </w:p>
        </w:tc>
        <w:tc>
          <w:tcPr>
            <w:tcW w:w="1126" w:type="dxa"/>
            <w:tcBorders>
              <w:top w:val="nil"/>
              <w:left w:val="single" w:sz="8" w:space="0" w:color="E0E0E0"/>
              <w:bottom w:val="single" w:sz="8" w:space="0" w:color="152935"/>
              <w:right w:val="nil"/>
            </w:tcBorders>
            <w:shd w:val="clear" w:color="auto" w:fill="FFFFFF"/>
            <w:vAlign w:val="bottom"/>
          </w:tcPr>
          <w:p w14:paraId="22C0D40C"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Sig.</w:t>
            </w:r>
          </w:p>
        </w:tc>
        <w:tc>
          <w:tcPr>
            <w:tcW w:w="1126" w:type="dxa"/>
            <w:tcBorders>
              <w:top w:val="nil"/>
              <w:left w:val="single" w:sz="8" w:space="0" w:color="E0E0E0"/>
              <w:bottom w:val="single" w:sz="8" w:space="0" w:color="152935"/>
              <w:right w:val="single" w:sz="8" w:space="0" w:color="E0E0E0"/>
            </w:tcBorders>
            <w:shd w:val="clear" w:color="auto" w:fill="FFFFFF"/>
            <w:vAlign w:val="bottom"/>
          </w:tcPr>
          <w:p w14:paraId="5A93A062"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Statistic</w:t>
            </w:r>
          </w:p>
        </w:tc>
        <w:tc>
          <w:tcPr>
            <w:tcW w:w="1126" w:type="dxa"/>
            <w:tcBorders>
              <w:top w:val="nil"/>
              <w:left w:val="single" w:sz="8" w:space="0" w:color="E0E0E0"/>
              <w:bottom w:val="single" w:sz="8" w:space="0" w:color="152935"/>
              <w:right w:val="single" w:sz="8" w:space="0" w:color="E0E0E0"/>
            </w:tcBorders>
            <w:shd w:val="clear" w:color="auto" w:fill="FFFFFF"/>
            <w:vAlign w:val="bottom"/>
          </w:tcPr>
          <w:p w14:paraId="6C7CA923"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df</w:t>
            </w:r>
          </w:p>
        </w:tc>
        <w:tc>
          <w:tcPr>
            <w:tcW w:w="1126" w:type="dxa"/>
            <w:tcBorders>
              <w:top w:val="nil"/>
              <w:left w:val="single" w:sz="8" w:space="0" w:color="E0E0E0"/>
              <w:bottom w:val="single" w:sz="8" w:space="0" w:color="152935"/>
              <w:right w:val="nil"/>
            </w:tcBorders>
            <w:shd w:val="clear" w:color="auto" w:fill="FFFFFF"/>
            <w:vAlign w:val="bottom"/>
          </w:tcPr>
          <w:p w14:paraId="0571A63E"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Sig.</w:t>
            </w:r>
          </w:p>
        </w:tc>
      </w:tr>
      <w:tr w:rsidR="00BF050C" w:rsidRPr="00BF050C" w14:paraId="1CCBD4F0" w14:textId="77777777">
        <w:trPr>
          <w:cantSplit/>
        </w:trPr>
        <w:tc>
          <w:tcPr>
            <w:tcW w:w="806" w:type="dxa"/>
            <w:tcBorders>
              <w:top w:val="single" w:sz="8" w:space="0" w:color="152935"/>
              <w:left w:val="nil"/>
              <w:bottom w:val="single" w:sz="8" w:space="0" w:color="152935"/>
              <w:right w:val="nil"/>
            </w:tcBorders>
            <w:shd w:val="clear" w:color="auto" w:fill="E0E0E0"/>
          </w:tcPr>
          <w:p w14:paraId="3FF451BD"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IF</w:t>
            </w:r>
          </w:p>
        </w:tc>
        <w:tc>
          <w:tcPr>
            <w:tcW w:w="1126" w:type="dxa"/>
            <w:tcBorders>
              <w:top w:val="single" w:sz="8" w:space="0" w:color="152935"/>
              <w:left w:val="nil"/>
              <w:bottom w:val="single" w:sz="8" w:space="0" w:color="152935"/>
              <w:right w:val="single" w:sz="8" w:space="0" w:color="E0E0E0"/>
            </w:tcBorders>
            <w:shd w:val="clear" w:color="auto" w:fill="FFFFFF"/>
          </w:tcPr>
          <w:p w14:paraId="1AF09169"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.108</w:t>
            </w:r>
          </w:p>
        </w:tc>
        <w:tc>
          <w:tcPr>
            <w:tcW w:w="1126" w:type="dxa"/>
            <w:tcBorders>
              <w:top w:val="single" w:sz="8" w:space="0" w:color="152935"/>
              <w:left w:val="single" w:sz="8" w:space="0" w:color="E0E0E0"/>
              <w:bottom w:val="single" w:sz="8" w:space="0" w:color="152935"/>
              <w:right w:val="single" w:sz="8" w:space="0" w:color="E0E0E0"/>
            </w:tcBorders>
            <w:shd w:val="clear" w:color="auto" w:fill="FFFFFF"/>
          </w:tcPr>
          <w:p w14:paraId="1A072324"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61</w:t>
            </w:r>
          </w:p>
        </w:tc>
        <w:tc>
          <w:tcPr>
            <w:tcW w:w="1126" w:type="dxa"/>
            <w:tcBorders>
              <w:top w:val="single" w:sz="8" w:space="0" w:color="152935"/>
              <w:left w:val="single" w:sz="8" w:space="0" w:color="E0E0E0"/>
              <w:bottom w:val="single" w:sz="8" w:space="0" w:color="152935"/>
              <w:right w:val="nil"/>
            </w:tcBorders>
            <w:shd w:val="clear" w:color="auto" w:fill="FFFFFF"/>
          </w:tcPr>
          <w:p w14:paraId="1EDBE62F"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.076</w:t>
            </w:r>
          </w:p>
        </w:tc>
        <w:tc>
          <w:tcPr>
            <w:tcW w:w="1126" w:type="dxa"/>
            <w:tcBorders>
              <w:top w:val="single" w:sz="8" w:space="0" w:color="152935"/>
              <w:left w:val="single" w:sz="8" w:space="0" w:color="E0E0E0"/>
              <w:bottom w:val="single" w:sz="8" w:space="0" w:color="152935"/>
              <w:right w:val="single" w:sz="8" w:space="0" w:color="E0E0E0"/>
            </w:tcBorders>
            <w:shd w:val="clear" w:color="auto" w:fill="FFFFFF"/>
          </w:tcPr>
          <w:p w14:paraId="751A6533"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.948</w:t>
            </w:r>
          </w:p>
        </w:tc>
        <w:tc>
          <w:tcPr>
            <w:tcW w:w="1126" w:type="dxa"/>
            <w:tcBorders>
              <w:top w:val="single" w:sz="8" w:space="0" w:color="152935"/>
              <w:left w:val="single" w:sz="8" w:space="0" w:color="E0E0E0"/>
              <w:bottom w:val="single" w:sz="8" w:space="0" w:color="152935"/>
              <w:right w:val="single" w:sz="8" w:space="0" w:color="E0E0E0"/>
            </w:tcBorders>
            <w:shd w:val="clear" w:color="auto" w:fill="FFFFFF"/>
          </w:tcPr>
          <w:p w14:paraId="10A94459"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61</w:t>
            </w:r>
          </w:p>
        </w:tc>
        <w:tc>
          <w:tcPr>
            <w:tcW w:w="1126" w:type="dxa"/>
            <w:tcBorders>
              <w:top w:val="single" w:sz="8" w:space="0" w:color="152935"/>
              <w:left w:val="single" w:sz="8" w:space="0" w:color="E0E0E0"/>
              <w:bottom w:val="single" w:sz="8" w:space="0" w:color="152935"/>
              <w:right w:val="nil"/>
            </w:tcBorders>
            <w:shd w:val="clear" w:color="auto" w:fill="FFFFFF"/>
          </w:tcPr>
          <w:p w14:paraId="48AFD6AF"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.012</w:t>
            </w:r>
          </w:p>
        </w:tc>
      </w:tr>
      <w:tr w:rsidR="00BF050C" w:rsidRPr="00BF050C" w14:paraId="7A7AABF5" w14:textId="77777777">
        <w:trPr>
          <w:cantSplit/>
        </w:trPr>
        <w:tc>
          <w:tcPr>
            <w:tcW w:w="7562" w:type="dxa"/>
            <w:gridSpan w:val="7"/>
            <w:tcBorders>
              <w:top w:val="nil"/>
              <w:left w:val="nil"/>
              <w:bottom w:val="nil"/>
              <w:right w:val="nil"/>
            </w:tcBorders>
            <w:shd w:val="clear" w:color="auto" w:fill="FFFFFF"/>
          </w:tcPr>
          <w:p w14:paraId="52B4BB1A"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a. Lilliefors Significance Correction</w:t>
            </w:r>
          </w:p>
        </w:tc>
      </w:tr>
    </w:tbl>
    <w:p w14:paraId="4F23DC33"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2DC376A8"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3EABD49C"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b/>
          <w:bCs/>
          <w:color w:val="000000"/>
          <w:sz w:val="26"/>
          <w:szCs w:val="26"/>
        </w:rPr>
      </w:pPr>
    </w:p>
    <w:p w14:paraId="61084CBF"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b/>
          <w:bCs/>
          <w:color w:val="000000"/>
          <w:sz w:val="26"/>
          <w:szCs w:val="26"/>
        </w:rPr>
      </w:pPr>
      <w:r w:rsidRPr="00BF050C">
        <w:rPr>
          <w:rFonts w:ascii="Arial" w:eastAsia="SimSun" w:hAnsi="Arial" w:cs="Arial"/>
          <w:b/>
          <w:bCs/>
          <w:color w:val="000000"/>
          <w:sz w:val="26"/>
          <w:szCs w:val="26"/>
        </w:rPr>
        <w:t>IF</w:t>
      </w:r>
    </w:p>
    <w:p w14:paraId="167520B1"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00000"/>
          <w:sz w:val="26"/>
          <w:szCs w:val="26"/>
        </w:rPr>
      </w:pPr>
    </w:p>
    <w:p w14:paraId="2673EFF5"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48C952AF" w14:textId="1BDB5C64"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r w:rsidRPr="00BF050C">
        <w:rPr>
          <w:rFonts w:ascii="Times New Roman" w:eastAsia="SimSun" w:hAnsi="Times New Roman"/>
          <w:noProof/>
          <w:sz w:val="24"/>
          <w:szCs w:val="24"/>
        </w:rPr>
        <w:drawing>
          <wp:inline distT="0" distB="0" distL="0" distR="0" wp14:anchorId="239446C2" wp14:editId="697DD82E">
            <wp:extent cx="5943600" cy="3500120"/>
            <wp:effectExtent l="0" t="0" r="0" b="508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943600" cy="3500120"/>
                    </a:xfrm>
                    <a:prstGeom prst="rect">
                      <a:avLst/>
                    </a:prstGeom>
                    <a:noFill/>
                    <a:ln>
                      <a:noFill/>
                    </a:ln>
                  </pic:spPr>
                </pic:pic>
              </a:graphicData>
            </a:graphic>
          </wp:inline>
        </w:drawing>
      </w:r>
    </w:p>
    <w:p w14:paraId="6E75E4C1"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p w14:paraId="3BD5B082"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0FE13063" w14:textId="2F41B3F6"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r w:rsidRPr="00BF050C">
        <w:rPr>
          <w:rFonts w:ascii="Times New Roman" w:eastAsia="SimSun" w:hAnsi="Times New Roman"/>
          <w:noProof/>
          <w:sz w:val="24"/>
          <w:szCs w:val="24"/>
        </w:rPr>
        <w:drawing>
          <wp:inline distT="0" distB="0" distL="0" distR="0" wp14:anchorId="0A6B3D19" wp14:editId="32137379">
            <wp:extent cx="5943600" cy="3500120"/>
            <wp:effectExtent l="0" t="0" r="0" b="508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943600" cy="3500120"/>
                    </a:xfrm>
                    <a:prstGeom prst="rect">
                      <a:avLst/>
                    </a:prstGeom>
                    <a:noFill/>
                    <a:ln>
                      <a:noFill/>
                    </a:ln>
                  </pic:spPr>
                </pic:pic>
              </a:graphicData>
            </a:graphic>
          </wp:inline>
        </w:drawing>
      </w:r>
    </w:p>
    <w:p w14:paraId="4D0A128B"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p w14:paraId="16762A67"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4E4564F8"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573F56BC"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b/>
          <w:bCs/>
          <w:color w:val="000000"/>
          <w:sz w:val="26"/>
          <w:szCs w:val="26"/>
        </w:rPr>
      </w:pPr>
    </w:p>
    <w:p w14:paraId="33EF3F91"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b/>
          <w:bCs/>
          <w:color w:val="000000"/>
          <w:sz w:val="26"/>
          <w:szCs w:val="26"/>
        </w:rPr>
      </w:pPr>
      <w:r w:rsidRPr="00BF050C">
        <w:rPr>
          <w:rFonts w:ascii="Arial" w:eastAsia="SimSun" w:hAnsi="Arial" w:cs="Arial"/>
          <w:b/>
          <w:bCs/>
          <w:color w:val="000000"/>
          <w:sz w:val="26"/>
          <w:szCs w:val="26"/>
        </w:rPr>
        <w:t>Explore</w:t>
      </w:r>
    </w:p>
    <w:p w14:paraId="7C666C46"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00000"/>
          <w:sz w:val="26"/>
          <w:szCs w:val="26"/>
        </w:rPr>
      </w:pPr>
    </w:p>
    <w:p w14:paraId="0054A807"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4ABECBEA"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tbl>
      <w:tblPr>
        <w:tblW w:w="8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30"/>
        <w:gridCol w:w="2718"/>
        <w:gridCol w:w="2752"/>
      </w:tblGrid>
      <w:tr w:rsidR="00BF050C" w:rsidRPr="00BF050C" w14:paraId="1A53DA81" w14:textId="77777777">
        <w:trPr>
          <w:cantSplit/>
        </w:trPr>
        <w:tc>
          <w:tcPr>
            <w:tcW w:w="7998" w:type="dxa"/>
            <w:gridSpan w:val="3"/>
            <w:tcBorders>
              <w:top w:val="nil"/>
              <w:left w:val="nil"/>
              <w:bottom w:val="nil"/>
              <w:right w:val="nil"/>
            </w:tcBorders>
            <w:shd w:val="clear" w:color="auto" w:fill="FFFFFF"/>
            <w:vAlign w:val="center"/>
          </w:tcPr>
          <w:p w14:paraId="14A1B2C5"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010205"/>
              </w:rPr>
            </w:pPr>
            <w:r w:rsidRPr="00BF050C">
              <w:rPr>
                <w:rFonts w:ascii="Arial" w:eastAsia="SimSun" w:hAnsi="Arial" w:cs="Arial"/>
                <w:b/>
                <w:bCs/>
                <w:color w:val="010205"/>
              </w:rPr>
              <w:t>Notes</w:t>
            </w:r>
          </w:p>
        </w:tc>
      </w:tr>
      <w:tr w:rsidR="00BF050C" w:rsidRPr="00BF050C" w14:paraId="11468BB4" w14:textId="77777777">
        <w:trPr>
          <w:cantSplit/>
        </w:trPr>
        <w:tc>
          <w:tcPr>
            <w:tcW w:w="5247" w:type="dxa"/>
            <w:gridSpan w:val="2"/>
            <w:tcBorders>
              <w:top w:val="nil"/>
              <w:left w:val="nil"/>
              <w:bottom w:val="single" w:sz="8" w:space="0" w:color="AEAEAE"/>
              <w:right w:val="nil"/>
            </w:tcBorders>
            <w:shd w:val="clear" w:color="auto" w:fill="E0E0E0"/>
          </w:tcPr>
          <w:p w14:paraId="1DF23D6A"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Output Created</w:t>
            </w:r>
          </w:p>
        </w:tc>
        <w:tc>
          <w:tcPr>
            <w:tcW w:w="2751" w:type="dxa"/>
            <w:tcBorders>
              <w:top w:val="nil"/>
              <w:left w:val="nil"/>
              <w:bottom w:val="single" w:sz="8" w:space="0" w:color="AEAEAE"/>
              <w:right w:val="nil"/>
            </w:tcBorders>
            <w:shd w:val="clear" w:color="auto" w:fill="FFFFFF"/>
          </w:tcPr>
          <w:p w14:paraId="712AC7F9"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10-JUL-2023 15:15:40</w:t>
            </w:r>
          </w:p>
        </w:tc>
      </w:tr>
      <w:tr w:rsidR="00BF050C" w:rsidRPr="00BF050C" w14:paraId="2C83667F" w14:textId="77777777">
        <w:trPr>
          <w:cantSplit/>
        </w:trPr>
        <w:tc>
          <w:tcPr>
            <w:tcW w:w="5247" w:type="dxa"/>
            <w:gridSpan w:val="2"/>
            <w:tcBorders>
              <w:top w:val="single" w:sz="8" w:space="0" w:color="AEAEAE"/>
              <w:left w:val="nil"/>
              <w:bottom w:val="single" w:sz="8" w:space="0" w:color="AEAEAE"/>
              <w:right w:val="nil"/>
            </w:tcBorders>
            <w:shd w:val="clear" w:color="auto" w:fill="E0E0E0"/>
          </w:tcPr>
          <w:p w14:paraId="5A6A2FC3"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Comments</w:t>
            </w:r>
          </w:p>
        </w:tc>
        <w:tc>
          <w:tcPr>
            <w:tcW w:w="2751" w:type="dxa"/>
            <w:tcBorders>
              <w:top w:val="single" w:sz="8" w:space="0" w:color="AEAEAE"/>
              <w:left w:val="nil"/>
              <w:bottom w:val="single" w:sz="8" w:space="0" w:color="AEAEAE"/>
              <w:right w:val="nil"/>
            </w:tcBorders>
            <w:shd w:val="clear" w:color="auto" w:fill="FFFFFF"/>
          </w:tcPr>
          <w:p w14:paraId="36B72E99"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7662B8F4" w14:textId="77777777">
        <w:trPr>
          <w:cantSplit/>
        </w:trPr>
        <w:tc>
          <w:tcPr>
            <w:tcW w:w="2530" w:type="dxa"/>
            <w:vMerge w:val="restart"/>
            <w:tcBorders>
              <w:top w:val="single" w:sz="8" w:space="0" w:color="AEAEAE"/>
              <w:left w:val="nil"/>
              <w:bottom w:val="single" w:sz="8" w:space="0" w:color="AEAEAE"/>
              <w:right w:val="nil"/>
            </w:tcBorders>
            <w:shd w:val="clear" w:color="auto" w:fill="E0E0E0"/>
          </w:tcPr>
          <w:p w14:paraId="47FFD17B"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Input</w:t>
            </w:r>
          </w:p>
        </w:tc>
        <w:tc>
          <w:tcPr>
            <w:tcW w:w="2717" w:type="dxa"/>
            <w:tcBorders>
              <w:top w:val="single" w:sz="8" w:space="0" w:color="AEAEAE"/>
              <w:left w:val="nil"/>
              <w:bottom w:val="single" w:sz="8" w:space="0" w:color="AEAEAE"/>
              <w:right w:val="nil"/>
            </w:tcBorders>
            <w:shd w:val="clear" w:color="auto" w:fill="E0E0E0"/>
          </w:tcPr>
          <w:p w14:paraId="3C143021"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Data</w:t>
            </w:r>
          </w:p>
        </w:tc>
        <w:tc>
          <w:tcPr>
            <w:tcW w:w="2751" w:type="dxa"/>
            <w:tcBorders>
              <w:top w:val="single" w:sz="8" w:space="0" w:color="AEAEAE"/>
              <w:left w:val="nil"/>
              <w:bottom w:val="single" w:sz="8" w:space="0" w:color="AEAEAE"/>
              <w:right w:val="nil"/>
            </w:tcBorders>
            <w:shd w:val="clear" w:color="auto" w:fill="FFFFFF"/>
          </w:tcPr>
          <w:p w14:paraId="6D8730A9"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D:\OGUNTUASEPhD DataLatest.sav</w:t>
            </w:r>
          </w:p>
        </w:tc>
      </w:tr>
      <w:tr w:rsidR="00BF050C" w:rsidRPr="00BF050C" w14:paraId="5FA3D14D" w14:textId="77777777">
        <w:trPr>
          <w:cantSplit/>
        </w:trPr>
        <w:tc>
          <w:tcPr>
            <w:tcW w:w="2530" w:type="dxa"/>
            <w:vMerge/>
            <w:tcBorders>
              <w:top w:val="single" w:sz="8" w:space="0" w:color="AEAEAE"/>
              <w:left w:val="nil"/>
              <w:bottom w:val="single" w:sz="8" w:space="0" w:color="AEAEAE"/>
              <w:right w:val="nil"/>
            </w:tcBorders>
            <w:shd w:val="clear" w:color="auto" w:fill="E0E0E0"/>
          </w:tcPr>
          <w:p w14:paraId="445E68B1"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74E33879"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Active Dataset</w:t>
            </w:r>
          </w:p>
        </w:tc>
        <w:tc>
          <w:tcPr>
            <w:tcW w:w="2751" w:type="dxa"/>
            <w:tcBorders>
              <w:top w:val="single" w:sz="8" w:space="0" w:color="AEAEAE"/>
              <w:left w:val="nil"/>
              <w:bottom w:val="single" w:sz="8" w:space="0" w:color="AEAEAE"/>
              <w:right w:val="nil"/>
            </w:tcBorders>
            <w:shd w:val="clear" w:color="auto" w:fill="FFFFFF"/>
          </w:tcPr>
          <w:p w14:paraId="4BFA628E"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DataSet2</w:t>
            </w:r>
          </w:p>
        </w:tc>
      </w:tr>
      <w:tr w:rsidR="00BF050C" w:rsidRPr="00BF050C" w14:paraId="00FED570" w14:textId="77777777">
        <w:trPr>
          <w:cantSplit/>
        </w:trPr>
        <w:tc>
          <w:tcPr>
            <w:tcW w:w="2530" w:type="dxa"/>
            <w:vMerge/>
            <w:tcBorders>
              <w:top w:val="single" w:sz="8" w:space="0" w:color="AEAEAE"/>
              <w:left w:val="nil"/>
              <w:bottom w:val="single" w:sz="8" w:space="0" w:color="AEAEAE"/>
              <w:right w:val="nil"/>
            </w:tcBorders>
            <w:shd w:val="clear" w:color="auto" w:fill="E0E0E0"/>
          </w:tcPr>
          <w:p w14:paraId="2AA17082"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0E65F688"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Filter</w:t>
            </w:r>
          </w:p>
        </w:tc>
        <w:tc>
          <w:tcPr>
            <w:tcW w:w="2751" w:type="dxa"/>
            <w:tcBorders>
              <w:top w:val="single" w:sz="8" w:space="0" w:color="AEAEAE"/>
              <w:left w:val="nil"/>
              <w:bottom w:val="single" w:sz="8" w:space="0" w:color="AEAEAE"/>
              <w:right w:val="nil"/>
            </w:tcBorders>
            <w:shd w:val="clear" w:color="auto" w:fill="FFFFFF"/>
          </w:tcPr>
          <w:p w14:paraId="78AF87EF"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&lt;none&gt;</w:t>
            </w:r>
          </w:p>
        </w:tc>
      </w:tr>
      <w:tr w:rsidR="00BF050C" w:rsidRPr="00BF050C" w14:paraId="6506D55B" w14:textId="77777777">
        <w:trPr>
          <w:cantSplit/>
        </w:trPr>
        <w:tc>
          <w:tcPr>
            <w:tcW w:w="2530" w:type="dxa"/>
            <w:vMerge/>
            <w:tcBorders>
              <w:top w:val="single" w:sz="8" w:space="0" w:color="AEAEAE"/>
              <w:left w:val="nil"/>
              <w:bottom w:val="single" w:sz="8" w:space="0" w:color="AEAEAE"/>
              <w:right w:val="nil"/>
            </w:tcBorders>
            <w:shd w:val="clear" w:color="auto" w:fill="E0E0E0"/>
          </w:tcPr>
          <w:p w14:paraId="4B4ED5AC"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2A67F2DD"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Weight</w:t>
            </w:r>
          </w:p>
        </w:tc>
        <w:tc>
          <w:tcPr>
            <w:tcW w:w="2751" w:type="dxa"/>
            <w:tcBorders>
              <w:top w:val="single" w:sz="8" w:space="0" w:color="AEAEAE"/>
              <w:left w:val="nil"/>
              <w:bottom w:val="single" w:sz="8" w:space="0" w:color="AEAEAE"/>
              <w:right w:val="nil"/>
            </w:tcBorders>
            <w:shd w:val="clear" w:color="auto" w:fill="FFFFFF"/>
          </w:tcPr>
          <w:p w14:paraId="70DCE33F"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&lt;none&gt;</w:t>
            </w:r>
          </w:p>
        </w:tc>
      </w:tr>
      <w:tr w:rsidR="00BF050C" w:rsidRPr="00BF050C" w14:paraId="22F3086E" w14:textId="77777777">
        <w:trPr>
          <w:cantSplit/>
        </w:trPr>
        <w:tc>
          <w:tcPr>
            <w:tcW w:w="2530" w:type="dxa"/>
            <w:vMerge/>
            <w:tcBorders>
              <w:top w:val="single" w:sz="8" w:space="0" w:color="AEAEAE"/>
              <w:left w:val="nil"/>
              <w:bottom w:val="single" w:sz="8" w:space="0" w:color="AEAEAE"/>
              <w:right w:val="nil"/>
            </w:tcBorders>
            <w:shd w:val="clear" w:color="auto" w:fill="E0E0E0"/>
          </w:tcPr>
          <w:p w14:paraId="5233EC6F"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2D023924"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Split File</w:t>
            </w:r>
          </w:p>
        </w:tc>
        <w:tc>
          <w:tcPr>
            <w:tcW w:w="2751" w:type="dxa"/>
            <w:tcBorders>
              <w:top w:val="single" w:sz="8" w:space="0" w:color="AEAEAE"/>
              <w:left w:val="nil"/>
              <w:bottom w:val="single" w:sz="8" w:space="0" w:color="AEAEAE"/>
              <w:right w:val="nil"/>
            </w:tcBorders>
            <w:shd w:val="clear" w:color="auto" w:fill="FFFFFF"/>
          </w:tcPr>
          <w:p w14:paraId="4956D340"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&lt;none&gt;</w:t>
            </w:r>
          </w:p>
        </w:tc>
      </w:tr>
      <w:tr w:rsidR="00BF050C" w:rsidRPr="00BF050C" w14:paraId="448C665B" w14:textId="77777777">
        <w:trPr>
          <w:cantSplit/>
        </w:trPr>
        <w:tc>
          <w:tcPr>
            <w:tcW w:w="2530" w:type="dxa"/>
            <w:vMerge/>
            <w:tcBorders>
              <w:top w:val="single" w:sz="8" w:space="0" w:color="AEAEAE"/>
              <w:left w:val="nil"/>
              <w:bottom w:val="single" w:sz="8" w:space="0" w:color="AEAEAE"/>
              <w:right w:val="nil"/>
            </w:tcBorders>
            <w:shd w:val="clear" w:color="auto" w:fill="E0E0E0"/>
          </w:tcPr>
          <w:p w14:paraId="6097370E"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2427FEC9"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N of Rows in Working Data File</w:t>
            </w:r>
          </w:p>
        </w:tc>
        <w:tc>
          <w:tcPr>
            <w:tcW w:w="2751" w:type="dxa"/>
            <w:tcBorders>
              <w:top w:val="single" w:sz="8" w:space="0" w:color="AEAEAE"/>
              <w:left w:val="nil"/>
              <w:bottom w:val="single" w:sz="8" w:space="0" w:color="AEAEAE"/>
              <w:right w:val="nil"/>
            </w:tcBorders>
            <w:shd w:val="clear" w:color="auto" w:fill="FFFFFF"/>
          </w:tcPr>
          <w:p w14:paraId="2D6631AC"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364</w:t>
            </w:r>
          </w:p>
        </w:tc>
      </w:tr>
      <w:tr w:rsidR="00BF050C" w:rsidRPr="00BF050C" w14:paraId="4A67B738" w14:textId="77777777">
        <w:trPr>
          <w:cantSplit/>
        </w:trPr>
        <w:tc>
          <w:tcPr>
            <w:tcW w:w="2530" w:type="dxa"/>
            <w:vMerge w:val="restart"/>
            <w:tcBorders>
              <w:top w:val="single" w:sz="8" w:space="0" w:color="AEAEAE"/>
              <w:left w:val="nil"/>
              <w:bottom w:val="single" w:sz="8" w:space="0" w:color="AEAEAE"/>
              <w:right w:val="nil"/>
            </w:tcBorders>
            <w:shd w:val="clear" w:color="auto" w:fill="E0E0E0"/>
          </w:tcPr>
          <w:p w14:paraId="593F86DA"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Missing Value Handling</w:t>
            </w:r>
          </w:p>
        </w:tc>
        <w:tc>
          <w:tcPr>
            <w:tcW w:w="2717" w:type="dxa"/>
            <w:tcBorders>
              <w:top w:val="single" w:sz="8" w:space="0" w:color="AEAEAE"/>
              <w:left w:val="nil"/>
              <w:bottom w:val="single" w:sz="8" w:space="0" w:color="AEAEAE"/>
              <w:right w:val="nil"/>
            </w:tcBorders>
            <w:shd w:val="clear" w:color="auto" w:fill="E0E0E0"/>
          </w:tcPr>
          <w:p w14:paraId="75253235"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Definition of Missing</w:t>
            </w:r>
          </w:p>
        </w:tc>
        <w:tc>
          <w:tcPr>
            <w:tcW w:w="2751" w:type="dxa"/>
            <w:tcBorders>
              <w:top w:val="single" w:sz="8" w:space="0" w:color="AEAEAE"/>
              <w:left w:val="nil"/>
              <w:bottom w:val="single" w:sz="8" w:space="0" w:color="AEAEAE"/>
              <w:right w:val="nil"/>
            </w:tcBorders>
            <w:shd w:val="clear" w:color="auto" w:fill="FFFFFF"/>
          </w:tcPr>
          <w:p w14:paraId="2F04135E"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User-defined missing values for dependent variables are treated as missing.</w:t>
            </w:r>
          </w:p>
        </w:tc>
      </w:tr>
      <w:tr w:rsidR="00BF050C" w:rsidRPr="00BF050C" w14:paraId="4255E9CB" w14:textId="77777777">
        <w:trPr>
          <w:cantSplit/>
        </w:trPr>
        <w:tc>
          <w:tcPr>
            <w:tcW w:w="2530" w:type="dxa"/>
            <w:vMerge/>
            <w:tcBorders>
              <w:top w:val="single" w:sz="8" w:space="0" w:color="AEAEAE"/>
              <w:left w:val="nil"/>
              <w:bottom w:val="single" w:sz="8" w:space="0" w:color="AEAEAE"/>
              <w:right w:val="nil"/>
            </w:tcBorders>
            <w:shd w:val="clear" w:color="auto" w:fill="E0E0E0"/>
          </w:tcPr>
          <w:p w14:paraId="07ECB06B"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1E38C0E1"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Cases Used</w:t>
            </w:r>
          </w:p>
        </w:tc>
        <w:tc>
          <w:tcPr>
            <w:tcW w:w="2751" w:type="dxa"/>
            <w:tcBorders>
              <w:top w:val="single" w:sz="8" w:space="0" w:color="AEAEAE"/>
              <w:left w:val="nil"/>
              <w:bottom w:val="single" w:sz="8" w:space="0" w:color="AEAEAE"/>
              <w:right w:val="nil"/>
            </w:tcBorders>
            <w:shd w:val="clear" w:color="auto" w:fill="FFFFFF"/>
          </w:tcPr>
          <w:p w14:paraId="024C4093"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Statistics are based on cases with no missing values for any dependent variable or factor used.</w:t>
            </w:r>
          </w:p>
        </w:tc>
      </w:tr>
      <w:tr w:rsidR="00BF050C" w:rsidRPr="00BF050C" w14:paraId="102A2985" w14:textId="77777777">
        <w:trPr>
          <w:cantSplit/>
        </w:trPr>
        <w:tc>
          <w:tcPr>
            <w:tcW w:w="5247" w:type="dxa"/>
            <w:gridSpan w:val="2"/>
            <w:tcBorders>
              <w:top w:val="single" w:sz="8" w:space="0" w:color="AEAEAE"/>
              <w:left w:val="nil"/>
              <w:bottom w:val="single" w:sz="8" w:space="0" w:color="AEAEAE"/>
              <w:right w:val="nil"/>
            </w:tcBorders>
            <w:shd w:val="clear" w:color="auto" w:fill="E0E0E0"/>
          </w:tcPr>
          <w:p w14:paraId="74F6F8E5"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Syntax</w:t>
            </w:r>
          </w:p>
        </w:tc>
        <w:tc>
          <w:tcPr>
            <w:tcW w:w="2751" w:type="dxa"/>
            <w:tcBorders>
              <w:top w:val="single" w:sz="8" w:space="0" w:color="AEAEAE"/>
              <w:left w:val="nil"/>
              <w:bottom w:val="single" w:sz="8" w:space="0" w:color="AEAEAE"/>
              <w:right w:val="nil"/>
            </w:tcBorders>
            <w:shd w:val="clear" w:color="auto" w:fill="FFFFFF"/>
          </w:tcPr>
          <w:p w14:paraId="41B76C77"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EXAMINE VARIABLES=PP</w:t>
            </w:r>
          </w:p>
          <w:p w14:paraId="34C8F410"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/PLOT HISTOGRAM NPPLOT</w:t>
            </w:r>
          </w:p>
          <w:p w14:paraId="1C47D3B2"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/STATISTICS DESCRIPTIVES</w:t>
            </w:r>
          </w:p>
          <w:p w14:paraId="0A910AE4"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/CINTERVAL 95</w:t>
            </w:r>
          </w:p>
          <w:p w14:paraId="795B7B48"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/MISSING LISTWISE</w:t>
            </w:r>
          </w:p>
          <w:p w14:paraId="45956AAC"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/NOTOTAL.</w:t>
            </w:r>
          </w:p>
        </w:tc>
      </w:tr>
      <w:tr w:rsidR="00BF050C" w:rsidRPr="00BF050C" w14:paraId="7EBA7CE1" w14:textId="77777777">
        <w:trPr>
          <w:cantSplit/>
        </w:trPr>
        <w:tc>
          <w:tcPr>
            <w:tcW w:w="2530" w:type="dxa"/>
            <w:vMerge w:val="restart"/>
            <w:tcBorders>
              <w:top w:val="single" w:sz="8" w:space="0" w:color="AEAEAE"/>
              <w:left w:val="nil"/>
              <w:bottom w:val="single" w:sz="8" w:space="0" w:color="152935"/>
              <w:right w:val="nil"/>
            </w:tcBorders>
            <w:shd w:val="clear" w:color="auto" w:fill="E0E0E0"/>
          </w:tcPr>
          <w:p w14:paraId="3C878F69"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Resources</w:t>
            </w:r>
          </w:p>
        </w:tc>
        <w:tc>
          <w:tcPr>
            <w:tcW w:w="2717" w:type="dxa"/>
            <w:tcBorders>
              <w:top w:val="single" w:sz="8" w:space="0" w:color="AEAEAE"/>
              <w:left w:val="nil"/>
              <w:bottom w:val="single" w:sz="8" w:space="0" w:color="AEAEAE"/>
              <w:right w:val="nil"/>
            </w:tcBorders>
            <w:shd w:val="clear" w:color="auto" w:fill="E0E0E0"/>
          </w:tcPr>
          <w:p w14:paraId="37957C8C"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Processor Time</w:t>
            </w:r>
          </w:p>
        </w:tc>
        <w:tc>
          <w:tcPr>
            <w:tcW w:w="2751" w:type="dxa"/>
            <w:tcBorders>
              <w:top w:val="single" w:sz="8" w:space="0" w:color="AEAEAE"/>
              <w:left w:val="nil"/>
              <w:bottom w:val="single" w:sz="8" w:space="0" w:color="AEAEAE"/>
              <w:right w:val="nil"/>
            </w:tcBorders>
            <w:shd w:val="clear" w:color="auto" w:fill="FFFFFF"/>
          </w:tcPr>
          <w:p w14:paraId="7CD7D2AF"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00:00:02.20</w:t>
            </w:r>
          </w:p>
        </w:tc>
      </w:tr>
      <w:tr w:rsidR="00BF050C" w:rsidRPr="00BF050C" w14:paraId="35C4494F" w14:textId="77777777">
        <w:trPr>
          <w:cantSplit/>
        </w:trPr>
        <w:tc>
          <w:tcPr>
            <w:tcW w:w="2530" w:type="dxa"/>
            <w:vMerge/>
            <w:tcBorders>
              <w:top w:val="single" w:sz="8" w:space="0" w:color="AEAEAE"/>
              <w:left w:val="nil"/>
              <w:bottom w:val="single" w:sz="8" w:space="0" w:color="152935"/>
              <w:right w:val="nil"/>
            </w:tcBorders>
            <w:shd w:val="clear" w:color="auto" w:fill="E0E0E0"/>
          </w:tcPr>
          <w:p w14:paraId="5355C6F0"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152935"/>
              <w:right w:val="nil"/>
            </w:tcBorders>
            <w:shd w:val="clear" w:color="auto" w:fill="E0E0E0"/>
          </w:tcPr>
          <w:p w14:paraId="1CBDC121"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Elapsed Time</w:t>
            </w:r>
          </w:p>
        </w:tc>
        <w:tc>
          <w:tcPr>
            <w:tcW w:w="2751" w:type="dxa"/>
            <w:tcBorders>
              <w:top w:val="single" w:sz="8" w:space="0" w:color="AEAEAE"/>
              <w:left w:val="nil"/>
              <w:bottom w:val="single" w:sz="8" w:space="0" w:color="152935"/>
              <w:right w:val="nil"/>
            </w:tcBorders>
            <w:shd w:val="clear" w:color="auto" w:fill="FFFFFF"/>
          </w:tcPr>
          <w:p w14:paraId="36A6BD98"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00:00:01.25</w:t>
            </w:r>
          </w:p>
        </w:tc>
      </w:tr>
    </w:tbl>
    <w:p w14:paraId="463D346A"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3510A2BF"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tbl>
      <w:tblPr>
        <w:tblW w:w="73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07"/>
        <w:gridCol w:w="2690"/>
        <w:gridCol w:w="1546"/>
        <w:gridCol w:w="1126"/>
        <w:gridCol w:w="1176"/>
      </w:tblGrid>
      <w:tr w:rsidR="00BF050C" w:rsidRPr="00BF050C" w14:paraId="6E786440" w14:textId="77777777">
        <w:trPr>
          <w:cantSplit/>
        </w:trPr>
        <w:tc>
          <w:tcPr>
            <w:tcW w:w="7343" w:type="dxa"/>
            <w:gridSpan w:val="5"/>
            <w:tcBorders>
              <w:top w:val="nil"/>
              <w:left w:val="nil"/>
              <w:bottom w:val="nil"/>
              <w:right w:val="nil"/>
            </w:tcBorders>
            <w:shd w:val="clear" w:color="auto" w:fill="FFFFFF"/>
            <w:vAlign w:val="center"/>
          </w:tcPr>
          <w:p w14:paraId="5A4043DD" w14:textId="6C1FB740" w:rsidR="00BF050C" w:rsidRPr="00BF050C" w:rsidRDefault="00090027" w:rsidP="00BF050C">
            <w:pPr>
              <w:autoSpaceDE w:val="0"/>
              <w:autoSpaceDN w:val="0"/>
              <w:adjustRightInd w:val="0"/>
              <w:spacing w:before="0" w:beforeAutospacing="0" w:after="0" w:line="320" w:lineRule="atLeast"/>
              <w:ind w:left="60" w:right="60"/>
              <w:jc w:val="center"/>
              <w:rPr>
                <w:rFonts w:ascii="Arial" w:eastAsia="SimSun" w:hAnsi="Arial" w:cs="Arial"/>
                <w:color w:val="010205"/>
              </w:rPr>
            </w:pPr>
            <w:r w:rsidRPr="00BF050C">
              <w:rPr>
                <w:rFonts w:ascii="Arial" w:eastAsia="SimSun" w:hAnsi="Arial" w:cs="Arial"/>
                <w:b/>
                <w:bCs/>
                <w:color w:val="010205"/>
              </w:rPr>
              <w:t>Descriptive</w:t>
            </w:r>
          </w:p>
        </w:tc>
      </w:tr>
      <w:tr w:rsidR="00BF050C" w:rsidRPr="00BF050C" w14:paraId="799005E0" w14:textId="77777777">
        <w:trPr>
          <w:cantSplit/>
        </w:trPr>
        <w:tc>
          <w:tcPr>
            <w:tcW w:w="5041" w:type="dxa"/>
            <w:gridSpan w:val="3"/>
            <w:tcBorders>
              <w:top w:val="nil"/>
              <w:left w:val="nil"/>
              <w:bottom w:val="single" w:sz="8" w:space="0" w:color="152935"/>
              <w:right w:val="nil"/>
            </w:tcBorders>
            <w:shd w:val="clear" w:color="auto" w:fill="FFFFFF"/>
            <w:vAlign w:val="bottom"/>
          </w:tcPr>
          <w:p w14:paraId="1BAAEBD4"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1126" w:type="dxa"/>
            <w:tcBorders>
              <w:top w:val="nil"/>
              <w:left w:val="nil"/>
              <w:bottom w:val="single" w:sz="8" w:space="0" w:color="152935"/>
              <w:right w:val="nil"/>
            </w:tcBorders>
            <w:shd w:val="clear" w:color="auto" w:fill="FFFFFF"/>
            <w:vAlign w:val="bottom"/>
          </w:tcPr>
          <w:p w14:paraId="0725F22B"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Statistic</w:t>
            </w:r>
          </w:p>
        </w:tc>
        <w:tc>
          <w:tcPr>
            <w:tcW w:w="1176" w:type="dxa"/>
            <w:tcBorders>
              <w:top w:val="nil"/>
              <w:left w:val="single" w:sz="8" w:space="0" w:color="E0E0E0"/>
              <w:bottom w:val="single" w:sz="8" w:space="0" w:color="152935"/>
              <w:right w:val="nil"/>
            </w:tcBorders>
            <w:shd w:val="clear" w:color="auto" w:fill="FFFFFF"/>
            <w:vAlign w:val="bottom"/>
          </w:tcPr>
          <w:p w14:paraId="55C82067"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Std. Error</w:t>
            </w:r>
          </w:p>
        </w:tc>
      </w:tr>
      <w:tr w:rsidR="00BF050C" w:rsidRPr="00BF050C" w14:paraId="6C57355D" w14:textId="77777777">
        <w:trPr>
          <w:cantSplit/>
        </w:trPr>
        <w:tc>
          <w:tcPr>
            <w:tcW w:w="806" w:type="dxa"/>
            <w:vMerge w:val="restart"/>
            <w:tcBorders>
              <w:top w:val="single" w:sz="8" w:space="0" w:color="152935"/>
              <w:left w:val="nil"/>
              <w:bottom w:val="single" w:sz="8" w:space="0" w:color="152935"/>
              <w:right w:val="nil"/>
            </w:tcBorders>
            <w:shd w:val="clear" w:color="auto" w:fill="E0E0E0"/>
          </w:tcPr>
          <w:p w14:paraId="253E693F"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PP</w:t>
            </w:r>
          </w:p>
        </w:tc>
        <w:tc>
          <w:tcPr>
            <w:tcW w:w="4235" w:type="dxa"/>
            <w:gridSpan w:val="2"/>
            <w:tcBorders>
              <w:top w:val="single" w:sz="8" w:space="0" w:color="152935"/>
              <w:left w:val="nil"/>
              <w:bottom w:val="nil"/>
              <w:right w:val="nil"/>
            </w:tcBorders>
            <w:shd w:val="clear" w:color="auto" w:fill="E0E0E0"/>
          </w:tcPr>
          <w:p w14:paraId="66586DED"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Mean</w:t>
            </w:r>
          </w:p>
        </w:tc>
        <w:tc>
          <w:tcPr>
            <w:tcW w:w="1126" w:type="dxa"/>
            <w:tcBorders>
              <w:top w:val="single" w:sz="8" w:space="0" w:color="152935"/>
              <w:left w:val="nil"/>
              <w:bottom w:val="nil"/>
              <w:right w:val="nil"/>
            </w:tcBorders>
            <w:shd w:val="clear" w:color="auto" w:fill="FFFFFF"/>
          </w:tcPr>
          <w:p w14:paraId="697E0758"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4.4162</w:t>
            </w:r>
          </w:p>
        </w:tc>
        <w:tc>
          <w:tcPr>
            <w:tcW w:w="1176" w:type="dxa"/>
            <w:tcBorders>
              <w:top w:val="single" w:sz="8" w:space="0" w:color="152935"/>
              <w:left w:val="single" w:sz="8" w:space="0" w:color="E0E0E0"/>
              <w:bottom w:val="nil"/>
              <w:right w:val="nil"/>
            </w:tcBorders>
            <w:shd w:val="clear" w:color="auto" w:fill="FFFFFF"/>
          </w:tcPr>
          <w:p w14:paraId="22ECAA8A"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.05841</w:t>
            </w:r>
          </w:p>
        </w:tc>
      </w:tr>
      <w:tr w:rsidR="00BF050C" w:rsidRPr="00BF050C" w14:paraId="32B3D23D" w14:textId="77777777">
        <w:trPr>
          <w:cantSplit/>
        </w:trPr>
        <w:tc>
          <w:tcPr>
            <w:tcW w:w="806" w:type="dxa"/>
            <w:vMerge/>
            <w:tcBorders>
              <w:top w:val="single" w:sz="8" w:space="0" w:color="152935"/>
              <w:left w:val="nil"/>
              <w:bottom w:val="single" w:sz="8" w:space="0" w:color="152935"/>
              <w:right w:val="nil"/>
            </w:tcBorders>
            <w:shd w:val="clear" w:color="auto" w:fill="E0E0E0"/>
          </w:tcPr>
          <w:p w14:paraId="68A72AB1"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689" w:type="dxa"/>
            <w:vMerge w:val="restart"/>
            <w:tcBorders>
              <w:top w:val="single" w:sz="8" w:space="0" w:color="AEAEAE"/>
              <w:left w:val="nil"/>
              <w:bottom w:val="nil"/>
              <w:right w:val="nil"/>
            </w:tcBorders>
            <w:shd w:val="clear" w:color="auto" w:fill="E0E0E0"/>
          </w:tcPr>
          <w:p w14:paraId="701DB685"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95% Confidence Interval for Mean</w:t>
            </w:r>
          </w:p>
        </w:tc>
        <w:tc>
          <w:tcPr>
            <w:tcW w:w="1546" w:type="dxa"/>
            <w:tcBorders>
              <w:top w:val="single" w:sz="8" w:space="0" w:color="AEAEAE"/>
              <w:left w:val="nil"/>
              <w:bottom w:val="single" w:sz="8" w:space="0" w:color="AEAEAE"/>
              <w:right w:val="nil"/>
            </w:tcBorders>
            <w:shd w:val="clear" w:color="auto" w:fill="E0E0E0"/>
          </w:tcPr>
          <w:p w14:paraId="3EEFED93"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Lower Bound</w:t>
            </w:r>
          </w:p>
        </w:tc>
        <w:tc>
          <w:tcPr>
            <w:tcW w:w="1126" w:type="dxa"/>
            <w:tcBorders>
              <w:top w:val="single" w:sz="8" w:space="0" w:color="AEAEAE"/>
              <w:left w:val="nil"/>
              <w:bottom w:val="single" w:sz="8" w:space="0" w:color="AEAEAE"/>
              <w:right w:val="nil"/>
            </w:tcBorders>
            <w:shd w:val="clear" w:color="auto" w:fill="FFFFFF"/>
          </w:tcPr>
          <w:p w14:paraId="1579F18D"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4.2994</w:t>
            </w:r>
          </w:p>
        </w:tc>
        <w:tc>
          <w:tcPr>
            <w:tcW w:w="1176" w:type="dxa"/>
            <w:tcBorders>
              <w:top w:val="single" w:sz="8" w:space="0" w:color="AEAEAE"/>
              <w:left w:val="single" w:sz="8" w:space="0" w:color="E0E0E0"/>
              <w:bottom w:val="single" w:sz="8" w:space="0" w:color="AEAEAE"/>
              <w:right w:val="nil"/>
            </w:tcBorders>
            <w:shd w:val="clear" w:color="auto" w:fill="FFFFFF"/>
            <w:vAlign w:val="center"/>
          </w:tcPr>
          <w:p w14:paraId="02347D34"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3384050B" w14:textId="77777777">
        <w:trPr>
          <w:cantSplit/>
        </w:trPr>
        <w:tc>
          <w:tcPr>
            <w:tcW w:w="806" w:type="dxa"/>
            <w:vMerge/>
            <w:tcBorders>
              <w:top w:val="single" w:sz="8" w:space="0" w:color="152935"/>
              <w:left w:val="nil"/>
              <w:bottom w:val="single" w:sz="8" w:space="0" w:color="152935"/>
              <w:right w:val="nil"/>
            </w:tcBorders>
            <w:shd w:val="clear" w:color="auto" w:fill="E0E0E0"/>
          </w:tcPr>
          <w:p w14:paraId="3795374B"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2689" w:type="dxa"/>
            <w:vMerge/>
            <w:tcBorders>
              <w:top w:val="single" w:sz="8" w:space="0" w:color="AEAEAE"/>
              <w:left w:val="nil"/>
              <w:bottom w:val="nil"/>
              <w:right w:val="nil"/>
            </w:tcBorders>
            <w:shd w:val="clear" w:color="auto" w:fill="E0E0E0"/>
          </w:tcPr>
          <w:p w14:paraId="72770D83"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1546" w:type="dxa"/>
            <w:tcBorders>
              <w:top w:val="single" w:sz="8" w:space="0" w:color="AEAEAE"/>
              <w:left w:val="nil"/>
              <w:bottom w:val="nil"/>
              <w:right w:val="nil"/>
            </w:tcBorders>
            <w:shd w:val="clear" w:color="auto" w:fill="E0E0E0"/>
          </w:tcPr>
          <w:p w14:paraId="5C4E4F8D"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Upper Bound</w:t>
            </w:r>
          </w:p>
        </w:tc>
        <w:tc>
          <w:tcPr>
            <w:tcW w:w="1126" w:type="dxa"/>
            <w:tcBorders>
              <w:top w:val="single" w:sz="8" w:space="0" w:color="AEAEAE"/>
              <w:left w:val="nil"/>
              <w:bottom w:val="nil"/>
              <w:right w:val="nil"/>
            </w:tcBorders>
            <w:shd w:val="clear" w:color="auto" w:fill="FFFFFF"/>
          </w:tcPr>
          <w:p w14:paraId="434EC2E4"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4.5331</w:t>
            </w:r>
          </w:p>
        </w:tc>
        <w:tc>
          <w:tcPr>
            <w:tcW w:w="1176" w:type="dxa"/>
            <w:tcBorders>
              <w:top w:val="single" w:sz="8" w:space="0" w:color="AEAEAE"/>
              <w:left w:val="single" w:sz="8" w:space="0" w:color="E0E0E0"/>
              <w:bottom w:val="nil"/>
              <w:right w:val="nil"/>
            </w:tcBorders>
            <w:shd w:val="clear" w:color="auto" w:fill="FFFFFF"/>
            <w:vAlign w:val="center"/>
          </w:tcPr>
          <w:p w14:paraId="3F978988"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42212D6B" w14:textId="77777777">
        <w:trPr>
          <w:cantSplit/>
        </w:trPr>
        <w:tc>
          <w:tcPr>
            <w:tcW w:w="806" w:type="dxa"/>
            <w:vMerge/>
            <w:tcBorders>
              <w:top w:val="single" w:sz="8" w:space="0" w:color="152935"/>
              <w:left w:val="nil"/>
              <w:bottom w:val="single" w:sz="8" w:space="0" w:color="152935"/>
              <w:right w:val="nil"/>
            </w:tcBorders>
            <w:shd w:val="clear" w:color="auto" w:fill="E0E0E0"/>
          </w:tcPr>
          <w:p w14:paraId="6AC23A48"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3842BA58"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5% Trimmed Mean</w:t>
            </w:r>
          </w:p>
        </w:tc>
        <w:tc>
          <w:tcPr>
            <w:tcW w:w="1126" w:type="dxa"/>
            <w:tcBorders>
              <w:top w:val="single" w:sz="8" w:space="0" w:color="AEAEAE"/>
              <w:left w:val="nil"/>
              <w:bottom w:val="nil"/>
              <w:right w:val="nil"/>
            </w:tcBorders>
            <w:shd w:val="clear" w:color="auto" w:fill="FFFFFF"/>
          </w:tcPr>
          <w:p w14:paraId="72F381CE"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4.4269</w:t>
            </w:r>
          </w:p>
        </w:tc>
        <w:tc>
          <w:tcPr>
            <w:tcW w:w="1176" w:type="dxa"/>
            <w:tcBorders>
              <w:top w:val="single" w:sz="8" w:space="0" w:color="AEAEAE"/>
              <w:left w:val="single" w:sz="8" w:space="0" w:color="E0E0E0"/>
              <w:bottom w:val="nil"/>
              <w:right w:val="nil"/>
            </w:tcBorders>
            <w:shd w:val="clear" w:color="auto" w:fill="FFFFFF"/>
            <w:vAlign w:val="center"/>
          </w:tcPr>
          <w:p w14:paraId="02C7B2C0"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022BE33B" w14:textId="77777777">
        <w:trPr>
          <w:cantSplit/>
        </w:trPr>
        <w:tc>
          <w:tcPr>
            <w:tcW w:w="806" w:type="dxa"/>
            <w:vMerge/>
            <w:tcBorders>
              <w:top w:val="single" w:sz="8" w:space="0" w:color="152935"/>
              <w:left w:val="nil"/>
              <w:bottom w:val="single" w:sz="8" w:space="0" w:color="152935"/>
              <w:right w:val="nil"/>
            </w:tcBorders>
            <w:shd w:val="clear" w:color="auto" w:fill="E0E0E0"/>
          </w:tcPr>
          <w:p w14:paraId="0DD82829"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38895F8C"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Median</w:t>
            </w:r>
          </w:p>
        </w:tc>
        <w:tc>
          <w:tcPr>
            <w:tcW w:w="1126" w:type="dxa"/>
            <w:tcBorders>
              <w:top w:val="single" w:sz="8" w:space="0" w:color="AEAEAE"/>
              <w:left w:val="nil"/>
              <w:bottom w:val="nil"/>
              <w:right w:val="nil"/>
            </w:tcBorders>
            <w:shd w:val="clear" w:color="auto" w:fill="FFFFFF"/>
          </w:tcPr>
          <w:p w14:paraId="09234F9C"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4.5048</w:t>
            </w:r>
          </w:p>
        </w:tc>
        <w:tc>
          <w:tcPr>
            <w:tcW w:w="1176" w:type="dxa"/>
            <w:tcBorders>
              <w:top w:val="single" w:sz="8" w:space="0" w:color="AEAEAE"/>
              <w:left w:val="single" w:sz="8" w:space="0" w:color="E0E0E0"/>
              <w:bottom w:val="nil"/>
              <w:right w:val="nil"/>
            </w:tcBorders>
            <w:shd w:val="clear" w:color="auto" w:fill="FFFFFF"/>
            <w:vAlign w:val="center"/>
          </w:tcPr>
          <w:p w14:paraId="2AB1CDAB"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1A3AA4D5" w14:textId="77777777">
        <w:trPr>
          <w:cantSplit/>
        </w:trPr>
        <w:tc>
          <w:tcPr>
            <w:tcW w:w="806" w:type="dxa"/>
            <w:vMerge/>
            <w:tcBorders>
              <w:top w:val="single" w:sz="8" w:space="0" w:color="152935"/>
              <w:left w:val="nil"/>
              <w:bottom w:val="single" w:sz="8" w:space="0" w:color="152935"/>
              <w:right w:val="nil"/>
            </w:tcBorders>
            <w:shd w:val="clear" w:color="auto" w:fill="E0E0E0"/>
          </w:tcPr>
          <w:p w14:paraId="68B8F432"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1A7D10FD"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Variance</w:t>
            </w:r>
          </w:p>
        </w:tc>
        <w:tc>
          <w:tcPr>
            <w:tcW w:w="1126" w:type="dxa"/>
            <w:tcBorders>
              <w:top w:val="single" w:sz="8" w:space="0" w:color="AEAEAE"/>
              <w:left w:val="nil"/>
              <w:bottom w:val="nil"/>
              <w:right w:val="nil"/>
            </w:tcBorders>
            <w:shd w:val="clear" w:color="auto" w:fill="FFFFFF"/>
          </w:tcPr>
          <w:p w14:paraId="4B0176D4"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.208</w:t>
            </w:r>
          </w:p>
        </w:tc>
        <w:tc>
          <w:tcPr>
            <w:tcW w:w="1176" w:type="dxa"/>
            <w:tcBorders>
              <w:top w:val="single" w:sz="8" w:space="0" w:color="AEAEAE"/>
              <w:left w:val="single" w:sz="8" w:space="0" w:color="E0E0E0"/>
              <w:bottom w:val="nil"/>
              <w:right w:val="nil"/>
            </w:tcBorders>
            <w:shd w:val="clear" w:color="auto" w:fill="FFFFFF"/>
            <w:vAlign w:val="center"/>
          </w:tcPr>
          <w:p w14:paraId="12387058"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7006CFE9" w14:textId="77777777">
        <w:trPr>
          <w:cantSplit/>
        </w:trPr>
        <w:tc>
          <w:tcPr>
            <w:tcW w:w="806" w:type="dxa"/>
            <w:vMerge/>
            <w:tcBorders>
              <w:top w:val="single" w:sz="8" w:space="0" w:color="152935"/>
              <w:left w:val="nil"/>
              <w:bottom w:val="single" w:sz="8" w:space="0" w:color="152935"/>
              <w:right w:val="nil"/>
            </w:tcBorders>
            <w:shd w:val="clear" w:color="auto" w:fill="E0E0E0"/>
          </w:tcPr>
          <w:p w14:paraId="56D23015"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588B7204"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Std. Deviation</w:t>
            </w:r>
          </w:p>
        </w:tc>
        <w:tc>
          <w:tcPr>
            <w:tcW w:w="1126" w:type="dxa"/>
            <w:tcBorders>
              <w:top w:val="single" w:sz="8" w:space="0" w:color="AEAEAE"/>
              <w:left w:val="nil"/>
              <w:bottom w:val="nil"/>
              <w:right w:val="nil"/>
            </w:tcBorders>
            <w:shd w:val="clear" w:color="auto" w:fill="FFFFFF"/>
          </w:tcPr>
          <w:p w14:paraId="78A1DBDE"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.45619</w:t>
            </w:r>
          </w:p>
        </w:tc>
        <w:tc>
          <w:tcPr>
            <w:tcW w:w="1176" w:type="dxa"/>
            <w:tcBorders>
              <w:top w:val="single" w:sz="8" w:space="0" w:color="AEAEAE"/>
              <w:left w:val="single" w:sz="8" w:space="0" w:color="E0E0E0"/>
              <w:bottom w:val="nil"/>
              <w:right w:val="nil"/>
            </w:tcBorders>
            <w:shd w:val="clear" w:color="auto" w:fill="FFFFFF"/>
            <w:vAlign w:val="center"/>
          </w:tcPr>
          <w:p w14:paraId="747CBA5F"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1B2B0E93" w14:textId="77777777">
        <w:trPr>
          <w:cantSplit/>
        </w:trPr>
        <w:tc>
          <w:tcPr>
            <w:tcW w:w="806" w:type="dxa"/>
            <w:vMerge/>
            <w:tcBorders>
              <w:top w:val="single" w:sz="8" w:space="0" w:color="152935"/>
              <w:left w:val="nil"/>
              <w:bottom w:val="single" w:sz="8" w:space="0" w:color="152935"/>
              <w:right w:val="nil"/>
            </w:tcBorders>
            <w:shd w:val="clear" w:color="auto" w:fill="E0E0E0"/>
          </w:tcPr>
          <w:p w14:paraId="50631228"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03BC73C2"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Minimum</w:t>
            </w:r>
          </w:p>
        </w:tc>
        <w:tc>
          <w:tcPr>
            <w:tcW w:w="1126" w:type="dxa"/>
            <w:tcBorders>
              <w:top w:val="single" w:sz="8" w:space="0" w:color="AEAEAE"/>
              <w:left w:val="nil"/>
              <w:bottom w:val="nil"/>
              <w:right w:val="nil"/>
            </w:tcBorders>
            <w:shd w:val="clear" w:color="auto" w:fill="FFFFFF"/>
          </w:tcPr>
          <w:p w14:paraId="6FB18A2D"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3.51</w:t>
            </w:r>
          </w:p>
        </w:tc>
        <w:tc>
          <w:tcPr>
            <w:tcW w:w="1176" w:type="dxa"/>
            <w:tcBorders>
              <w:top w:val="single" w:sz="8" w:space="0" w:color="AEAEAE"/>
              <w:left w:val="single" w:sz="8" w:space="0" w:color="E0E0E0"/>
              <w:bottom w:val="nil"/>
              <w:right w:val="nil"/>
            </w:tcBorders>
            <w:shd w:val="clear" w:color="auto" w:fill="FFFFFF"/>
            <w:vAlign w:val="center"/>
          </w:tcPr>
          <w:p w14:paraId="090EE31A"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4B224E3F" w14:textId="77777777">
        <w:trPr>
          <w:cantSplit/>
        </w:trPr>
        <w:tc>
          <w:tcPr>
            <w:tcW w:w="806" w:type="dxa"/>
            <w:vMerge/>
            <w:tcBorders>
              <w:top w:val="single" w:sz="8" w:space="0" w:color="152935"/>
              <w:left w:val="nil"/>
              <w:bottom w:val="single" w:sz="8" w:space="0" w:color="152935"/>
              <w:right w:val="nil"/>
            </w:tcBorders>
            <w:shd w:val="clear" w:color="auto" w:fill="E0E0E0"/>
          </w:tcPr>
          <w:p w14:paraId="5DDAE4BC"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3185D724"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Maximum</w:t>
            </w:r>
          </w:p>
        </w:tc>
        <w:tc>
          <w:tcPr>
            <w:tcW w:w="1126" w:type="dxa"/>
            <w:tcBorders>
              <w:top w:val="single" w:sz="8" w:space="0" w:color="AEAEAE"/>
              <w:left w:val="nil"/>
              <w:bottom w:val="nil"/>
              <w:right w:val="nil"/>
            </w:tcBorders>
            <w:shd w:val="clear" w:color="auto" w:fill="FFFFFF"/>
          </w:tcPr>
          <w:p w14:paraId="769B478F"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5.22</w:t>
            </w:r>
          </w:p>
        </w:tc>
        <w:tc>
          <w:tcPr>
            <w:tcW w:w="1176" w:type="dxa"/>
            <w:tcBorders>
              <w:top w:val="single" w:sz="8" w:space="0" w:color="AEAEAE"/>
              <w:left w:val="single" w:sz="8" w:space="0" w:color="E0E0E0"/>
              <w:bottom w:val="nil"/>
              <w:right w:val="nil"/>
            </w:tcBorders>
            <w:shd w:val="clear" w:color="auto" w:fill="FFFFFF"/>
            <w:vAlign w:val="center"/>
          </w:tcPr>
          <w:p w14:paraId="3E151DBA"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7E9A4151" w14:textId="77777777">
        <w:trPr>
          <w:cantSplit/>
        </w:trPr>
        <w:tc>
          <w:tcPr>
            <w:tcW w:w="806" w:type="dxa"/>
            <w:vMerge/>
            <w:tcBorders>
              <w:top w:val="single" w:sz="8" w:space="0" w:color="152935"/>
              <w:left w:val="nil"/>
              <w:bottom w:val="single" w:sz="8" w:space="0" w:color="152935"/>
              <w:right w:val="nil"/>
            </w:tcBorders>
            <w:shd w:val="clear" w:color="auto" w:fill="E0E0E0"/>
          </w:tcPr>
          <w:p w14:paraId="7E20B361"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478E910A"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Range</w:t>
            </w:r>
          </w:p>
        </w:tc>
        <w:tc>
          <w:tcPr>
            <w:tcW w:w="1126" w:type="dxa"/>
            <w:tcBorders>
              <w:top w:val="single" w:sz="8" w:space="0" w:color="AEAEAE"/>
              <w:left w:val="nil"/>
              <w:bottom w:val="nil"/>
              <w:right w:val="nil"/>
            </w:tcBorders>
            <w:shd w:val="clear" w:color="auto" w:fill="FFFFFF"/>
          </w:tcPr>
          <w:p w14:paraId="435F0FC3"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1.71</w:t>
            </w:r>
          </w:p>
        </w:tc>
        <w:tc>
          <w:tcPr>
            <w:tcW w:w="1176" w:type="dxa"/>
            <w:tcBorders>
              <w:top w:val="single" w:sz="8" w:space="0" w:color="AEAEAE"/>
              <w:left w:val="single" w:sz="8" w:space="0" w:color="E0E0E0"/>
              <w:bottom w:val="nil"/>
              <w:right w:val="nil"/>
            </w:tcBorders>
            <w:shd w:val="clear" w:color="auto" w:fill="FFFFFF"/>
            <w:vAlign w:val="center"/>
          </w:tcPr>
          <w:p w14:paraId="30EC9198"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1B1C188F" w14:textId="77777777">
        <w:trPr>
          <w:cantSplit/>
        </w:trPr>
        <w:tc>
          <w:tcPr>
            <w:tcW w:w="806" w:type="dxa"/>
            <w:vMerge/>
            <w:tcBorders>
              <w:top w:val="single" w:sz="8" w:space="0" w:color="152935"/>
              <w:left w:val="nil"/>
              <w:bottom w:val="single" w:sz="8" w:space="0" w:color="152935"/>
              <w:right w:val="nil"/>
            </w:tcBorders>
            <w:shd w:val="clear" w:color="auto" w:fill="E0E0E0"/>
          </w:tcPr>
          <w:p w14:paraId="7EC8BD1A"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760B983C"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Interquartile Range</w:t>
            </w:r>
          </w:p>
        </w:tc>
        <w:tc>
          <w:tcPr>
            <w:tcW w:w="1126" w:type="dxa"/>
            <w:tcBorders>
              <w:top w:val="single" w:sz="8" w:space="0" w:color="AEAEAE"/>
              <w:left w:val="nil"/>
              <w:bottom w:val="nil"/>
              <w:right w:val="nil"/>
            </w:tcBorders>
            <w:shd w:val="clear" w:color="auto" w:fill="FFFFFF"/>
          </w:tcPr>
          <w:p w14:paraId="35DC3780"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.81</w:t>
            </w:r>
          </w:p>
        </w:tc>
        <w:tc>
          <w:tcPr>
            <w:tcW w:w="1176" w:type="dxa"/>
            <w:tcBorders>
              <w:top w:val="single" w:sz="8" w:space="0" w:color="AEAEAE"/>
              <w:left w:val="single" w:sz="8" w:space="0" w:color="E0E0E0"/>
              <w:bottom w:val="nil"/>
              <w:right w:val="nil"/>
            </w:tcBorders>
            <w:shd w:val="clear" w:color="auto" w:fill="FFFFFF"/>
            <w:vAlign w:val="center"/>
          </w:tcPr>
          <w:p w14:paraId="5C49ED29"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11FBBDE5" w14:textId="77777777">
        <w:trPr>
          <w:cantSplit/>
        </w:trPr>
        <w:tc>
          <w:tcPr>
            <w:tcW w:w="806" w:type="dxa"/>
            <w:vMerge/>
            <w:tcBorders>
              <w:top w:val="single" w:sz="8" w:space="0" w:color="152935"/>
              <w:left w:val="nil"/>
              <w:bottom w:val="single" w:sz="8" w:space="0" w:color="152935"/>
              <w:right w:val="nil"/>
            </w:tcBorders>
            <w:shd w:val="clear" w:color="auto" w:fill="E0E0E0"/>
          </w:tcPr>
          <w:p w14:paraId="1FE6F78C"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7AB38847"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Skewness</w:t>
            </w:r>
          </w:p>
        </w:tc>
        <w:tc>
          <w:tcPr>
            <w:tcW w:w="1126" w:type="dxa"/>
            <w:tcBorders>
              <w:top w:val="single" w:sz="8" w:space="0" w:color="AEAEAE"/>
              <w:left w:val="nil"/>
              <w:bottom w:val="nil"/>
              <w:right w:val="nil"/>
            </w:tcBorders>
            <w:shd w:val="clear" w:color="auto" w:fill="FFFFFF"/>
          </w:tcPr>
          <w:p w14:paraId="54800480"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-.256</w:t>
            </w:r>
          </w:p>
        </w:tc>
        <w:tc>
          <w:tcPr>
            <w:tcW w:w="1176" w:type="dxa"/>
            <w:tcBorders>
              <w:top w:val="single" w:sz="8" w:space="0" w:color="AEAEAE"/>
              <w:left w:val="single" w:sz="8" w:space="0" w:color="E0E0E0"/>
              <w:bottom w:val="nil"/>
              <w:right w:val="nil"/>
            </w:tcBorders>
            <w:shd w:val="clear" w:color="auto" w:fill="FFFFFF"/>
          </w:tcPr>
          <w:p w14:paraId="4E399451"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.306</w:t>
            </w:r>
          </w:p>
        </w:tc>
      </w:tr>
      <w:tr w:rsidR="00BF050C" w:rsidRPr="00BF050C" w14:paraId="4F0C8677" w14:textId="77777777">
        <w:trPr>
          <w:cantSplit/>
        </w:trPr>
        <w:tc>
          <w:tcPr>
            <w:tcW w:w="806" w:type="dxa"/>
            <w:vMerge/>
            <w:tcBorders>
              <w:top w:val="single" w:sz="8" w:space="0" w:color="152935"/>
              <w:left w:val="nil"/>
              <w:bottom w:val="single" w:sz="8" w:space="0" w:color="152935"/>
              <w:right w:val="nil"/>
            </w:tcBorders>
            <w:shd w:val="clear" w:color="auto" w:fill="E0E0E0"/>
          </w:tcPr>
          <w:p w14:paraId="01B0C533"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4235" w:type="dxa"/>
            <w:gridSpan w:val="2"/>
            <w:tcBorders>
              <w:top w:val="single" w:sz="8" w:space="0" w:color="AEAEAE"/>
              <w:left w:val="nil"/>
              <w:bottom w:val="single" w:sz="8" w:space="0" w:color="152935"/>
              <w:right w:val="nil"/>
            </w:tcBorders>
            <w:shd w:val="clear" w:color="auto" w:fill="E0E0E0"/>
          </w:tcPr>
          <w:p w14:paraId="7589E22F"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Kurtosis</w:t>
            </w:r>
          </w:p>
        </w:tc>
        <w:tc>
          <w:tcPr>
            <w:tcW w:w="1126" w:type="dxa"/>
            <w:tcBorders>
              <w:top w:val="single" w:sz="8" w:space="0" w:color="AEAEAE"/>
              <w:left w:val="nil"/>
              <w:bottom w:val="single" w:sz="8" w:space="0" w:color="152935"/>
              <w:right w:val="nil"/>
            </w:tcBorders>
            <w:shd w:val="clear" w:color="auto" w:fill="FFFFFF"/>
          </w:tcPr>
          <w:p w14:paraId="45B708CE"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-.989</w:t>
            </w:r>
          </w:p>
        </w:tc>
        <w:tc>
          <w:tcPr>
            <w:tcW w:w="1176" w:type="dxa"/>
            <w:tcBorders>
              <w:top w:val="single" w:sz="8" w:space="0" w:color="AEAEAE"/>
              <w:left w:val="single" w:sz="8" w:space="0" w:color="E0E0E0"/>
              <w:bottom w:val="single" w:sz="8" w:space="0" w:color="152935"/>
              <w:right w:val="nil"/>
            </w:tcBorders>
            <w:shd w:val="clear" w:color="auto" w:fill="FFFFFF"/>
          </w:tcPr>
          <w:p w14:paraId="19D9AE9D"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.604</w:t>
            </w:r>
          </w:p>
        </w:tc>
      </w:tr>
    </w:tbl>
    <w:p w14:paraId="2E8F5D5F"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4CFDCCB1"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tbl>
      <w:tblPr>
        <w:tblW w:w="75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07"/>
        <w:gridCol w:w="1126"/>
        <w:gridCol w:w="1126"/>
        <w:gridCol w:w="1126"/>
        <w:gridCol w:w="1126"/>
        <w:gridCol w:w="1126"/>
        <w:gridCol w:w="1126"/>
      </w:tblGrid>
      <w:tr w:rsidR="00BF050C" w:rsidRPr="00BF050C" w14:paraId="5AB75DC3" w14:textId="77777777">
        <w:trPr>
          <w:cantSplit/>
        </w:trPr>
        <w:tc>
          <w:tcPr>
            <w:tcW w:w="7562" w:type="dxa"/>
            <w:gridSpan w:val="7"/>
            <w:tcBorders>
              <w:top w:val="nil"/>
              <w:left w:val="nil"/>
              <w:bottom w:val="nil"/>
              <w:right w:val="nil"/>
            </w:tcBorders>
            <w:shd w:val="clear" w:color="auto" w:fill="FFFFFF"/>
            <w:vAlign w:val="center"/>
          </w:tcPr>
          <w:p w14:paraId="3FA29192"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010205"/>
              </w:rPr>
            </w:pPr>
            <w:r w:rsidRPr="00BF050C">
              <w:rPr>
                <w:rFonts w:ascii="Arial" w:eastAsia="SimSun" w:hAnsi="Arial" w:cs="Arial"/>
                <w:b/>
                <w:bCs/>
                <w:color w:val="010205"/>
              </w:rPr>
              <w:t>Tests of Normality</w:t>
            </w:r>
          </w:p>
        </w:tc>
      </w:tr>
      <w:tr w:rsidR="00BF050C" w:rsidRPr="00BF050C" w14:paraId="00AA1194" w14:textId="77777777">
        <w:trPr>
          <w:cantSplit/>
        </w:trPr>
        <w:tc>
          <w:tcPr>
            <w:tcW w:w="806" w:type="dxa"/>
            <w:vMerge w:val="restart"/>
            <w:tcBorders>
              <w:top w:val="nil"/>
              <w:left w:val="nil"/>
              <w:bottom w:val="nil"/>
              <w:right w:val="nil"/>
            </w:tcBorders>
            <w:shd w:val="clear" w:color="auto" w:fill="FFFFFF"/>
            <w:vAlign w:val="bottom"/>
          </w:tcPr>
          <w:p w14:paraId="4794E5DE"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3378" w:type="dxa"/>
            <w:gridSpan w:val="3"/>
            <w:tcBorders>
              <w:top w:val="nil"/>
              <w:left w:val="nil"/>
              <w:bottom w:val="nil"/>
              <w:right w:val="nil"/>
            </w:tcBorders>
            <w:shd w:val="clear" w:color="auto" w:fill="FFFFFF"/>
            <w:vAlign w:val="bottom"/>
          </w:tcPr>
          <w:p w14:paraId="3643624C"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Kolmogorov-Smirnov</w:t>
            </w:r>
            <w:r w:rsidRPr="00BF050C">
              <w:rPr>
                <w:rFonts w:ascii="Arial" w:eastAsia="SimSun" w:hAnsi="Arial" w:cs="Arial"/>
                <w:color w:val="264A60"/>
                <w:sz w:val="18"/>
                <w:szCs w:val="18"/>
                <w:vertAlign w:val="superscript"/>
              </w:rPr>
              <w:t>a</w:t>
            </w:r>
          </w:p>
        </w:tc>
        <w:tc>
          <w:tcPr>
            <w:tcW w:w="3378" w:type="dxa"/>
            <w:gridSpan w:val="3"/>
            <w:tcBorders>
              <w:top w:val="nil"/>
              <w:left w:val="single" w:sz="8" w:space="0" w:color="E0E0E0"/>
              <w:bottom w:val="nil"/>
              <w:right w:val="nil"/>
            </w:tcBorders>
            <w:shd w:val="clear" w:color="auto" w:fill="FFFFFF"/>
            <w:vAlign w:val="bottom"/>
          </w:tcPr>
          <w:p w14:paraId="521EBF9F"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Shapiro-Wilk</w:t>
            </w:r>
          </w:p>
        </w:tc>
      </w:tr>
      <w:tr w:rsidR="00BF050C" w:rsidRPr="00BF050C" w14:paraId="6BE45A8B" w14:textId="77777777">
        <w:trPr>
          <w:cantSplit/>
        </w:trPr>
        <w:tc>
          <w:tcPr>
            <w:tcW w:w="806" w:type="dxa"/>
            <w:vMerge/>
            <w:tcBorders>
              <w:top w:val="nil"/>
              <w:left w:val="nil"/>
              <w:bottom w:val="nil"/>
              <w:right w:val="nil"/>
            </w:tcBorders>
            <w:shd w:val="clear" w:color="auto" w:fill="FFFFFF"/>
            <w:vAlign w:val="bottom"/>
          </w:tcPr>
          <w:p w14:paraId="177113F0"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264A60"/>
                <w:sz w:val="18"/>
                <w:szCs w:val="18"/>
              </w:rPr>
            </w:pPr>
          </w:p>
        </w:tc>
        <w:tc>
          <w:tcPr>
            <w:tcW w:w="1126" w:type="dxa"/>
            <w:tcBorders>
              <w:top w:val="nil"/>
              <w:left w:val="nil"/>
              <w:bottom w:val="single" w:sz="8" w:space="0" w:color="152935"/>
              <w:right w:val="single" w:sz="8" w:space="0" w:color="E0E0E0"/>
            </w:tcBorders>
            <w:shd w:val="clear" w:color="auto" w:fill="FFFFFF"/>
            <w:vAlign w:val="bottom"/>
          </w:tcPr>
          <w:p w14:paraId="6816A85E"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Statistic</w:t>
            </w:r>
          </w:p>
        </w:tc>
        <w:tc>
          <w:tcPr>
            <w:tcW w:w="1126" w:type="dxa"/>
            <w:tcBorders>
              <w:top w:val="nil"/>
              <w:left w:val="single" w:sz="8" w:space="0" w:color="E0E0E0"/>
              <w:bottom w:val="single" w:sz="8" w:space="0" w:color="152935"/>
              <w:right w:val="single" w:sz="8" w:space="0" w:color="E0E0E0"/>
            </w:tcBorders>
            <w:shd w:val="clear" w:color="auto" w:fill="FFFFFF"/>
            <w:vAlign w:val="bottom"/>
          </w:tcPr>
          <w:p w14:paraId="4845FCBF"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df</w:t>
            </w:r>
          </w:p>
        </w:tc>
        <w:tc>
          <w:tcPr>
            <w:tcW w:w="1126" w:type="dxa"/>
            <w:tcBorders>
              <w:top w:val="nil"/>
              <w:left w:val="single" w:sz="8" w:space="0" w:color="E0E0E0"/>
              <w:bottom w:val="single" w:sz="8" w:space="0" w:color="152935"/>
              <w:right w:val="nil"/>
            </w:tcBorders>
            <w:shd w:val="clear" w:color="auto" w:fill="FFFFFF"/>
            <w:vAlign w:val="bottom"/>
          </w:tcPr>
          <w:p w14:paraId="3FFDFE68"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Sig.</w:t>
            </w:r>
          </w:p>
        </w:tc>
        <w:tc>
          <w:tcPr>
            <w:tcW w:w="1126" w:type="dxa"/>
            <w:tcBorders>
              <w:top w:val="nil"/>
              <w:left w:val="single" w:sz="8" w:space="0" w:color="E0E0E0"/>
              <w:bottom w:val="single" w:sz="8" w:space="0" w:color="152935"/>
              <w:right w:val="single" w:sz="8" w:space="0" w:color="E0E0E0"/>
            </w:tcBorders>
            <w:shd w:val="clear" w:color="auto" w:fill="FFFFFF"/>
            <w:vAlign w:val="bottom"/>
          </w:tcPr>
          <w:p w14:paraId="0E15BF84"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Statistic</w:t>
            </w:r>
          </w:p>
        </w:tc>
        <w:tc>
          <w:tcPr>
            <w:tcW w:w="1126" w:type="dxa"/>
            <w:tcBorders>
              <w:top w:val="nil"/>
              <w:left w:val="single" w:sz="8" w:space="0" w:color="E0E0E0"/>
              <w:bottom w:val="single" w:sz="8" w:space="0" w:color="152935"/>
              <w:right w:val="single" w:sz="8" w:space="0" w:color="E0E0E0"/>
            </w:tcBorders>
            <w:shd w:val="clear" w:color="auto" w:fill="FFFFFF"/>
            <w:vAlign w:val="bottom"/>
          </w:tcPr>
          <w:p w14:paraId="7360D55C"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df</w:t>
            </w:r>
          </w:p>
        </w:tc>
        <w:tc>
          <w:tcPr>
            <w:tcW w:w="1126" w:type="dxa"/>
            <w:tcBorders>
              <w:top w:val="nil"/>
              <w:left w:val="single" w:sz="8" w:space="0" w:color="E0E0E0"/>
              <w:bottom w:val="single" w:sz="8" w:space="0" w:color="152935"/>
              <w:right w:val="nil"/>
            </w:tcBorders>
            <w:shd w:val="clear" w:color="auto" w:fill="FFFFFF"/>
            <w:vAlign w:val="bottom"/>
          </w:tcPr>
          <w:p w14:paraId="64E62347"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Sig.</w:t>
            </w:r>
          </w:p>
        </w:tc>
      </w:tr>
      <w:tr w:rsidR="00BF050C" w:rsidRPr="00BF050C" w14:paraId="742A72BE" w14:textId="77777777">
        <w:trPr>
          <w:cantSplit/>
        </w:trPr>
        <w:tc>
          <w:tcPr>
            <w:tcW w:w="806" w:type="dxa"/>
            <w:tcBorders>
              <w:top w:val="single" w:sz="8" w:space="0" w:color="152935"/>
              <w:left w:val="nil"/>
              <w:bottom w:val="single" w:sz="8" w:space="0" w:color="152935"/>
              <w:right w:val="nil"/>
            </w:tcBorders>
            <w:shd w:val="clear" w:color="auto" w:fill="E0E0E0"/>
          </w:tcPr>
          <w:p w14:paraId="32727B16"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PP</w:t>
            </w:r>
          </w:p>
        </w:tc>
        <w:tc>
          <w:tcPr>
            <w:tcW w:w="1126" w:type="dxa"/>
            <w:tcBorders>
              <w:top w:val="single" w:sz="8" w:space="0" w:color="152935"/>
              <w:left w:val="nil"/>
              <w:bottom w:val="single" w:sz="8" w:space="0" w:color="152935"/>
              <w:right w:val="single" w:sz="8" w:space="0" w:color="E0E0E0"/>
            </w:tcBorders>
            <w:shd w:val="clear" w:color="auto" w:fill="FFFFFF"/>
          </w:tcPr>
          <w:p w14:paraId="6CE8C6BE"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.094</w:t>
            </w:r>
          </w:p>
        </w:tc>
        <w:tc>
          <w:tcPr>
            <w:tcW w:w="1126" w:type="dxa"/>
            <w:tcBorders>
              <w:top w:val="single" w:sz="8" w:space="0" w:color="152935"/>
              <w:left w:val="single" w:sz="8" w:space="0" w:color="E0E0E0"/>
              <w:bottom w:val="single" w:sz="8" w:space="0" w:color="152935"/>
              <w:right w:val="single" w:sz="8" w:space="0" w:color="E0E0E0"/>
            </w:tcBorders>
            <w:shd w:val="clear" w:color="auto" w:fill="FFFFFF"/>
          </w:tcPr>
          <w:p w14:paraId="391D595D"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61</w:t>
            </w:r>
          </w:p>
        </w:tc>
        <w:tc>
          <w:tcPr>
            <w:tcW w:w="1126" w:type="dxa"/>
            <w:tcBorders>
              <w:top w:val="single" w:sz="8" w:space="0" w:color="152935"/>
              <w:left w:val="single" w:sz="8" w:space="0" w:color="E0E0E0"/>
              <w:bottom w:val="single" w:sz="8" w:space="0" w:color="152935"/>
              <w:right w:val="nil"/>
            </w:tcBorders>
            <w:shd w:val="clear" w:color="auto" w:fill="FFFFFF"/>
          </w:tcPr>
          <w:p w14:paraId="35FA25D1"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.200</w:t>
            </w:r>
            <w:r w:rsidRPr="00BF050C">
              <w:rPr>
                <w:rFonts w:ascii="Arial" w:eastAsia="SimSun" w:hAnsi="Arial" w:cs="Arial"/>
                <w:color w:val="010205"/>
                <w:sz w:val="18"/>
                <w:szCs w:val="18"/>
                <w:vertAlign w:val="superscript"/>
              </w:rPr>
              <w:t>*</w:t>
            </w:r>
          </w:p>
        </w:tc>
        <w:tc>
          <w:tcPr>
            <w:tcW w:w="1126" w:type="dxa"/>
            <w:tcBorders>
              <w:top w:val="single" w:sz="8" w:space="0" w:color="152935"/>
              <w:left w:val="single" w:sz="8" w:space="0" w:color="E0E0E0"/>
              <w:bottom w:val="single" w:sz="8" w:space="0" w:color="152935"/>
              <w:right w:val="single" w:sz="8" w:space="0" w:color="E0E0E0"/>
            </w:tcBorders>
            <w:shd w:val="clear" w:color="auto" w:fill="FFFFFF"/>
          </w:tcPr>
          <w:p w14:paraId="5889A561"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.958</w:t>
            </w:r>
          </w:p>
        </w:tc>
        <w:tc>
          <w:tcPr>
            <w:tcW w:w="1126" w:type="dxa"/>
            <w:tcBorders>
              <w:top w:val="single" w:sz="8" w:space="0" w:color="152935"/>
              <w:left w:val="single" w:sz="8" w:space="0" w:color="E0E0E0"/>
              <w:bottom w:val="single" w:sz="8" w:space="0" w:color="152935"/>
              <w:right w:val="single" w:sz="8" w:space="0" w:color="E0E0E0"/>
            </w:tcBorders>
            <w:shd w:val="clear" w:color="auto" w:fill="FFFFFF"/>
          </w:tcPr>
          <w:p w14:paraId="339A6E01"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61</w:t>
            </w:r>
          </w:p>
        </w:tc>
        <w:tc>
          <w:tcPr>
            <w:tcW w:w="1126" w:type="dxa"/>
            <w:tcBorders>
              <w:top w:val="single" w:sz="8" w:space="0" w:color="152935"/>
              <w:left w:val="single" w:sz="8" w:space="0" w:color="E0E0E0"/>
              <w:bottom w:val="single" w:sz="8" w:space="0" w:color="152935"/>
              <w:right w:val="nil"/>
            </w:tcBorders>
            <w:shd w:val="clear" w:color="auto" w:fill="FFFFFF"/>
          </w:tcPr>
          <w:p w14:paraId="467AE831"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.035</w:t>
            </w:r>
          </w:p>
        </w:tc>
      </w:tr>
      <w:tr w:rsidR="00BF050C" w:rsidRPr="00BF050C" w14:paraId="3B0A14D9" w14:textId="77777777">
        <w:trPr>
          <w:cantSplit/>
        </w:trPr>
        <w:tc>
          <w:tcPr>
            <w:tcW w:w="7562" w:type="dxa"/>
            <w:gridSpan w:val="7"/>
            <w:tcBorders>
              <w:top w:val="nil"/>
              <w:left w:val="nil"/>
              <w:bottom w:val="nil"/>
              <w:right w:val="nil"/>
            </w:tcBorders>
            <w:shd w:val="clear" w:color="auto" w:fill="FFFFFF"/>
          </w:tcPr>
          <w:p w14:paraId="1B80E627"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This is a lower bound of the true significance.</w:t>
            </w:r>
          </w:p>
        </w:tc>
      </w:tr>
      <w:tr w:rsidR="00BF050C" w:rsidRPr="00BF050C" w14:paraId="6F32076B" w14:textId="77777777">
        <w:trPr>
          <w:cantSplit/>
        </w:trPr>
        <w:tc>
          <w:tcPr>
            <w:tcW w:w="7562" w:type="dxa"/>
            <w:gridSpan w:val="7"/>
            <w:tcBorders>
              <w:top w:val="nil"/>
              <w:left w:val="nil"/>
              <w:bottom w:val="nil"/>
              <w:right w:val="nil"/>
            </w:tcBorders>
            <w:shd w:val="clear" w:color="auto" w:fill="FFFFFF"/>
          </w:tcPr>
          <w:p w14:paraId="0CCEA8E5"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a. Lilliefors Significance Correction</w:t>
            </w:r>
          </w:p>
        </w:tc>
      </w:tr>
    </w:tbl>
    <w:p w14:paraId="6D5396D8"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3ACEC9CA"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2A2024D3"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b/>
          <w:bCs/>
          <w:color w:val="000000"/>
          <w:sz w:val="26"/>
          <w:szCs w:val="26"/>
        </w:rPr>
      </w:pPr>
    </w:p>
    <w:p w14:paraId="2E316F58"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b/>
          <w:bCs/>
          <w:color w:val="000000"/>
          <w:sz w:val="26"/>
          <w:szCs w:val="26"/>
        </w:rPr>
      </w:pPr>
      <w:r w:rsidRPr="00BF050C">
        <w:rPr>
          <w:rFonts w:ascii="Arial" w:eastAsia="SimSun" w:hAnsi="Arial" w:cs="Arial"/>
          <w:b/>
          <w:bCs/>
          <w:color w:val="000000"/>
          <w:sz w:val="26"/>
          <w:szCs w:val="26"/>
        </w:rPr>
        <w:t>PP</w:t>
      </w:r>
    </w:p>
    <w:p w14:paraId="398961C1"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00000"/>
          <w:sz w:val="26"/>
          <w:szCs w:val="26"/>
        </w:rPr>
      </w:pPr>
    </w:p>
    <w:p w14:paraId="6677FA55"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23CB8B30" w14:textId="12041A5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r w:rsidRPr="00BF050C">
        <w:rPr>
          <w:rFonts w:ascii="Times New Roman" w:eastAsia="SimSun" w:hAnsi="Times New Roman"/>
          <w:noProof/>
          <w:sz w:val="24"/>
          <w:szCs w:val="24"/>
        </w:rPr>
        <w:drawing>
          <wp:inline distT="0" distB="0" distL="0" distR="0" wp14:anchorId="4F139989" wp14:editId="2863A6D6">
            <wp:extent cx="5943600" cy="3500120"/>
            <wp:effectExtent l="0" t="0" r="0" b="508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943600" cy="3500120"/>
                    </a:xfrm>
                    <a:prstGeom prst="rect">
                      <a:avLst/>
                    </a:prstGeom>
                    <a:noFill/>
                    <a:ln>
                      <a:noFill/>
                    </a:ln>
                  </pic:spPr>
                </pic:pic>
              </a:graphicData>
            </a:graphic>
          </wp:inline>
        </w:drawing>
      </w:r>
    </w:p>
    <w:p w14:paraId="52A77106"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p w14:paraId="7CA7E30B"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4FBE2477" w14:textId="3CC670E9"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r w:rsidRPr="00BF050C">
        <w:rPr>
          <w:rFonts w:ascii="Times New Roman" w:eastAsia="SimSun" w:hAnsi="Times New Roman"/>
          <w:noProof/>
          <w:sz w:val="24"/>
          <w:szCs w:val="24"/>
        </w:rPr>
        <w:drawing>
          <wp:inline distT="0" distB="0" distL="0" distR="0" wp14:anchorId="3DF5F21D" wp14:editId="51D03D24">
            <wp:extent cx="5943600" cy="3500120"/>
            <wp:effectExtent l="0" t="0" r="0" b="508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943600" cy="3500120"/>
                    </a:xfrm>
                    <a:prstGeom prst="rect">
                      <a:avLst/>
                    </a:prstGeom>
                    <a:noFill/>
                    <a:ln>
                      <a:noFill/>
                    </a:ln>
                  </pic:spPr>
                </pic:pic>
              </a:graphicData>
            </a:graphic>
          </wp:inline>
        </w:drawing>
      </w:r>
    </w:p>
    <w:p w14:paraId="4C89D2A7"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p w14:paraId="5E63404F"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20A70944"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431B4521"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b/>
          <w:bCs/>
          <w:color w:val="000000"/>
          <w:sz w:val="26"/>
          <w:szCs w:val="26"/>
        </w:rPr>
      </w:pPr>
    </w:p>
    <w:p w14:paraId="0837CB26"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b/>
          <w:bCs/>
          <w:color w:val="000000"/>
          <w:sz w:val="26"/>
          <w:szCs w:val="26"/>
        </w:rPr>
      </w:pPr>
      <w:r w:rsidRPr="00BF050C">
        <w:rPr>
          <w:rFonts w:ascii="Arial" w:eastAsia="SimSun" w:hAnsi="Arial" w:cs="Arial"/>
          <w:b/>
          <w:bCs/>
          <w:color w:val="000000"/>
          <w:sz w:val="26"/>
          <w:szCs w:val="26"/>
        </w:rPr>
        <w:t>Explore</w:t>
      </w:r>
    </w:p>
    <w:p w14:paraId="5F792135"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00000"/>
          <w:sz w:val="26"/>
          <w:szCs w:val="26"/>
        </w:rPr>
      </w:pPr>
    </w:p>
    <w:p w14:paraId="44FBD521"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0C2C3BE4"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tbl>
      <w:tblPr>
        <w:tblW w:w="8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30"/>
        <w:gridCol w:w="2718"/>
        <w:gridCol w:w="2752"/>
      </w:tblGrid>
      <w:tr w:rsidR="00BF050C" w:rsidRPr="00BF050C" w14:paraId="2D11675A" w14:textId="77777777">
        <w:trPr>
          <w:cantSplit/>
        </w:trPr>
        <w:tc>
          <w:tcPr>
            <w:tcW w:w="7998" w:type="dxa"/>
            <w:gridSpan w:val="3"/>
            <w:tcBorders>
              <w:top w:val="nil"/>
              <w:left w:val="nil"/>
              <w:bottom w:val="nil"/>
              <w:right w:val="nil"/>
            </w:tcBorders>
            <w:shd w:val="clear" w:color="auto" w:fill="FFFFFF"/>
            <w:vAlign w:val="center"/>
          </w:tcPr>
          <w:p w14:paraId="180258B2"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010205"/>
              </w:rPr>
            </w:pPr>
            <w:r w:rsidRPr="00BF050C">
              <w:rPr>
                <w:rFonts w:ascii="Arial" w:eastAsia="SimSun" w:hAnsi="Arial" w:cs="Arial"/>
                <w:b/>
                <w:bCs/>
                <w:color w:val="010205"/>
              </w:rPr>
              <w:t>Notes</w:t>
            </w:r>
          </w:p>
        </w:tc>
      </w:tr>
      <w:tr w:rsidR="00BF050C" w:rsidRPr="00BF050C" w14:paraId="378FAD77" w14:textId="77777777">
        <w:trPr>
          <w:cantSplit/>
        </w:trPr>
        <w:tc>
          <w:tcPr>
            <w:tcW w:w="5247" w:type="dxa"/>
            <w:gridSpan w:val="2"/>
            <w:tcBorders>
              <w:top w:val="nil"/>
              <w:left w:val="nil"/>
              <w:bottom w:val="single" w:sz="8" w:space="0" w:color="AEAEAE"/>
              <w:right w:val="nil"/>
            </w:tcBorders>
            <w:shd w:val="clear" w:color="auto" w:fill="E0E0E0"/>
          </w:tcPr>
          <w:p w14:paraId="0FB6B480"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Output Created</w:t>
            </w:r>
          </w:p>
        </w:tc>
        <w:tc>
          <w:tcPr>
            <w:tcW w:w="2751" w:type="dxa"/>
            <w:tcBorders>
              <w:top w:val="nil"/>
              <w:left w:val="nil"/>
              <w:bottom w:val="single" w:sz="8" w:space="0" w:color="AEAEAE"/>
              <w:right w:val="nil"/>
            </w:tcBorders>
            <w:shd w:val="clear" w:color="auto" w:fill="FFFFFF"/>
          </w:tcPr>
          <w:p w14:paraId="6F374CF1"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10-JUL-2023 15:18:41</w:t>
            </w:r>
          </w:p>
        </w:tc>
      </w:tr>
      <w:tr w:rsidR="00BF050C" w:rsidRPr="00BF050C" w14:paraId="2C90AD02" w14:textId="77777777">
        <w:trPr>
          <w:cantSplit/>
        </w:trPr>
        <w:tc>
          <w:tcPr>
            <w:tcW w:w="5247" w:type="dxa"/>
            <w:gridSpan w:val="2"/>
            <w:tcBorders>
              <w:top w:val="single" w:sz="8" w:space="0" w:color="AEAEAE"/>
              <w:left w:val="nil"/>
              <w:bottom w:val="single" w:sz="8" w:space="0" w:color="AEAEAE"/>
              <w:right w:val="nil"/>
            </w:tcBorders>
            <w:shd w:val="clear" w:color="auto" w:fill="E0E0E0"/>
          </w:tcPr>
          <w:p w14:paraId="1DFE8812"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Comments</w:t>
            </w:r>
          </w:p>
        </w:tc>
        <w:tc>
          <w:tcPr>
            <w:tcW w:w="2751" w:type="dxa"/>
            <w:tcBorders>
              <w:top w:val="single" w:sz="8" w:space="0" w:color="AEAEAE"/>
              <w:left w:val="nil"/>
              <w:bottom w:val="single" w:sz="8" w:space="0" w:color="AEAEAE"/>
              <w:right w:val="nil"/>
            </w:tcBorders>
            <w:shd w:val="clear" w:color="auto" w:fill="FFFFFF"/>
          </w:tcPr>
          <w:p w14:paraId="48B6EC36"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7196F200" w14:textId="77777777">
        <w:trPr>
          <w:cantSplit/>
        </w:trPr>
        <w:tc>
          <w:tcPr>
            <w:tcW w:w="2530" w:type="dxa"/>
            <w:vMerge w:val="restart"/>
            <w:tcBorders>
              <w:top w:val="single" w:sz="8" w:space="0" w:color="AEAEAE"/>
              <w:left w:val="nil"/>
              <w:bottom w:val="single" w:sz="8" w:space="0" w:color="AEAEAE"/>
              <w:right w:val="nil"/>
            </w:tcBorders>
            <w:shd w:val="clear" w:color="auto" w:fill="E0E0E0"/>
          </w:tcPr>
          <w:p w14:paraId="4549F3F4"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Input</w:t>
            </w:r>
          </w:p>
        </w:tc>
        <w:tc>
          <w:tcPr>
            <w:tcW w:w="2717" w:type="dxa"/>
            <w:tcBorders>
              <w:top w:val="single" w:sz="8" w:space="0" w:color="AEAEAE"/>
              <w:left w:val="nil"/>
              <w:bottom w:val="single" w:sz="8" w:space="0" w:color="AEAEAE"/>
              <w:right w:val="nil"/>
            </w:tcBorders>
            <w:shd w:val="clear" w:color="auto" w:fill="E0E0E0"/>
          </w:tcPr>
          <w:p w14:paraId="4120A365"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Data</w:t>
            </w:r>
          </w:p>
        </w:tc>
        <w:tc>
          <w:tcPr>
            <w:tcW w:w="2751" w:type="dxa"/>
            <w:tcBorders>
              <w:top w:val="single" w:sz="8" w:space="0" w:color="AEAEAE"/>
              <w:left w:val="nil"/>
              <w:bottom w:val="single" w:sz="8" w:space="0" w:color="AEAEAE"/>
              <w:right w:val="nil"/>
            </w:tcBorders>
            <w:shd w:val="clear" w:color="auto" w:fill="FFFFFF"/>
          </w:tcPr>
          <w:p w14:paraId="1C2925AC"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D:\OGUNTUASEPhD DataLatest.sav</w:t>
            </w:r>
          </w:p>
        </w:tc>
      </w:tr>
      <w:tr w:rsidR="00BF050C" w:rsidRPr="00BF050C" w14:paraId="6DE23038" w14:textId="77777777">
        <w:trPr>
          <w:cantSplit/>
        </w:trPr>
        <w:tc>
          <w:tcPr>
            <w:tcW w:w="2530" w:type="dxa"/>
            <w:vMerge/>
            <w:tcBorders>
              <w:top w:val="single" w:sz="8" w:space="0" w:color="AEAEAE"/>
              <w:left w:val="nil"/>
              <w:bottom w:val="single" w:sz="8" w:space="0" w:color="AEAEAE"/>
              <w:right w:val="nil"/>
            </w:tcBorders>
            <w:shd w:val="clear" w:color="auto" w:fill="E0E0E0"/>
          </w:tcPr>
          <w:p w14:paraId="46CEE4E2"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0A2F87C0"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Active Dataset</w:t>
            </w:r>
          </w:p>
        </w:tc>
        <w:tc>
          <w:tcPr>
            <w:tcW w:w="2751" w:type="dxa"/>
            <w:tcBorders>
              <w:top w:val="single" w:sz="8" w:space="0" w:color="AEAEAE"/>
              <w:left w:val="nil"/>
              <w:bottom w:val="single" w:sz="8" w:space="0" w:color="AEAEAE"/>
              <w:right w:val="nil"/>
            </w:tcBorders>
            <w:shd w:val="clear" w:color="auto" w:fill="FFFFFF"/>
          </w:tcPr>
          <w:p w14:paraId="5C777577"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DataSet2</w:t>
            </w:r>
          </w:p>
        </w:tc>
      </w:tr>
      <w:tr w:rsidR="00BF050C" w:rsidRPr="00BF050C" w14:paraId="1FD67A22" w14:textId="77777777">
        <w:trPr>
          <w:cantSplit/>
        </w:trPr>
        <w:tc>
          <w:tcPr>
            <w:tcW w:w="2530" w:type="dxa"/>
            <w:vMerge/>
            <w:tcBorders>
              <w:top w:val="single" w:sz="8" w:space="0" w:color="AEAEAE"/>
              <w:left w:val="nil"/>
              <w:bottom w:val="single" w:sz="8" w:space="0" w:color="AEAEAE"/>
              <w:right w:val="nil"/>
            </w:tcBorders>
            <w:shd w:val="clear" w:color="auto" w:fill="E0E0E0"/>
          </w:tcPr>
          <w:p w14:paraId="1960B3F4"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2DE468CA"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Filter</w:t>
            </w:r>
          </w:p>
        </w:tc>
        <w:tc>
          <w:tcPr>
            <w:tcW w:w="2751" w:type="dxa"/>
            <w:tcBorders>
              <w:top w:val="single" w:sz="8" w:space="0" w:color="AEAEAE"/>
              <w:left w:val="nil"/>
              <w:bottom w:val="single" w:sz="8" w:space="0" w:color="AEAEAE"/>
              <w:right w:val="nil"/>
            </w:tcBorders>
            <w:shd w:val="clear" w:color="auto" w:fill="FFFFFF"/>
          </w:tcPr>
          <w:p w14:paraId="2E94DC5C"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&lt;none&gt;</w:t>
            </w:r>
          </w:p>
        </w:tc>
      </w:tr>
      <w:tr w:rsidR="00BF050C" w:rsidRPr="00BF050C" w14:paraId="76D6126A" w14:textId="77777777">
        <w:trPr>
          <w:cantSplit/>
        </w:trPr>
        <w:tc>
          <w:tcPr>
            <w:tcW w:w="2530" w:type="dxa"/>
            <w:vMerge/>
            <w:tcBorders>
              <w:top w:val="single" w:sz="8" w:space="0" w:color="AEAEAE"/>
              <w:left w:val="nil"/>
              <w:bottom w:val="single" w:sz="8" w:space="0" w:color="AEAEAE"/>
              <w:right w:val="nil"/>
            </w:tcBorders>
            <w:shd w:val="clear" w:color="auto" w:fill="E0E0E0"/>
          </w:tcPr>
          <w:p w14:paraId="0218337C"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757BDA4F"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Weight</w:t>
            </w:r>
          </w:p>
        </w:tc>
        <w:tc>
          <w:tcPr>
            <w:tcW w:w="2751" w:type="dxa"/>
            <w:tcBorders>
              <w:top w:val="single" w:sz="8" w:space="0" w:color="AEAEAE"/>
              <w:left w:val="nil"/>
              <w:bottom w:val="single" w:sz="8" w:space="0" w:color="AEAEAE"/>
              <w:right w:val="nil"/>
            </w:tcBorders>
            <w:shd w:val="clear" w:color="auto" w:fill="FFFFFF"/>
          </w:tcPr>
          <w:p w14:paraId="2B7306BC"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&lt;none&gt;</w:t>
            </w:r>
          </w:p>
        </w:tc>
      </w:tr>
      <w:tr w:rsidR="00BF050C" w:rsidRPr="00BF050C" w14:paraId="0B54603A" w14:textId="77777777">
        <w:trPr>
          <w:cantSplit/>
        </w:trPr>
        <w:tc>
          <w:tcPr>
            <w:tcW w:w="2530" w:type="dxa"/>
            <w:vMerge/>
            <w:tcBorders>
              <w:top w:val="single" w:sz="8" w:space="0" w:color="AEAEAE"/>
              <w:left w:val="nil"/>
              <w:bottom w:val="single" w:sz="8" w:space="0" w:color="AEAEAE"/>
              <w:right w:val="nil"/>
            </w:tcBorders>
            <w:shd w:val="clear" w:color="auto" w:fill="E0E0E0"/>
          </w:tcPr>
          <w:p w14:paraId="0D8D6E96"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05D8308F"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Split File</w:t>
            </w:r>
          </w:p>
        </w:tc>
        <w:tc>
          <w:tcPr>
            <w:tcW w:w="2751" w:type="dxa"/>
            <w:tcBorders>
              <w:top w:val="single" w:sz="8" w:space="0" w:color="AEAEAE"/>
              <w:left w:val="nil"/>
              <w:bottom w:val="single" w:sz="8" w:space="0" w:color="AEAEAE"/>
              <w:right w:val="nil"/>
            </w:tcBorders>
            <w:shd w:val="clear" w:color="auto" w:fill="FFFFFF"/>
          </w:tcPr>
          <w:p w14:paraId="51CB9D0A"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&lt;none&gt;</w:t>
            </w:r>
          </w:p>
        </w:tc>
      </w:tr>
      <w:tr w:rsidR="00BF050C" w:rsidRPr="00BF050C" w14:paraId="709E258F" w14:textId="77777777">
        <w:trPr>
          <w:cantSplit/>
        </w:trPr>
        <w:tc>
          <w:tcPr>
            <w:tcW w:w="2530" w:type="dxa"/>
            <w:vMerge/>
            <w:tcBorders>
              <w:top w:val="single" w:sz="8" w:space="0" w:color="AEAEAE"/>
              <w:left w:val="nil"/>
              <w:bottom w:val="single" w:sz="8" w:space="0" w:color="AEAEAE"/>
              <w:right w:val="nil"/>
            </w:tcBorders>
            <w:shd w:val="clear" w:color="auto" w:fill="E0E0E0"/>
          </w:tcPr>
          <w:p w14:paraId="3EFC5182"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70CFCA28"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N of Rows in Working Data File</w:t>
            </w:r>
          </w:p>
        </w:tc>
        <w:tc>
          <w:tcPr>
            <w:tcW w:w="2751" w:type="dxa"/>
            <w:tcBorders>
              <w:top w:val="single" w:sz="8" w:space="0" w:color="AEAEAE"/>
              <w:left w:val="nil"/>
              <w:bottom w:val="single" w:sz="8" w:space="0" w:color="AEAEAE"/>
              <w:right w:val="nil"/>
            </w:tcBorders>
            <w:shd w:val="clear" w:color="auto" w:fill="FFFFFF"/>
          </w:tcPr>
          <w:p w14:paraId="6E8B49E1"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364</w:t>
            </w:r>
          </w:p>
        </w:tc>
      </w:tr>
      <w:tr w:rsidR="00BF050C" w:rsidRPr="00BF050C" w14:paraId="4838254A" w14:textId="77777777">
        <w:trPr>
          <w:cantSplit/>
        </w:trPr>
        <w:tc>
          <w:tcPr>
            <w:tcW w:w="2530" w:type="dxa"/>
            <w:vMerge w:val="restart"/>
            <w:tcBorders>
              <w:top w:val="single" w:sz="8" w:space="0" w:color="AEAEAE"/>
              <w:left w:val="nil"/>
              <w:bottom w:val="single" w:sz="8" w:space="0" w:color="AEAEAE"/>
              <w:right w:val="nil"/>
            </w:tcBorders>
            <w:shd w:val="clear" w:color="auto" w:fill="E0E0E0"/>
          </w:tcPr>
          <w:p w14:paraId="7E13E3A5"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Missing Value Handling</w:t>
            </w:r>
          </w:p>
        </w:tc>
        <w:tc>
          <w:tcPr>
            <w:tcW w:w="2717" w:type="dxa"/>
            <w:tcBorders>
              <w:top w:val="single" w:sz="8" w:space="0" w:color="AEAEAE"/>
              <w:left w:val="nil"/>
              <w:bottom w:val="single" w:sz="8" w:space="0" w:color="AEAEAE"/>
              <w:right w:val="nil"/>
            </w:tcBorders>
            <w:shd w:val="clear" w:color="auto" w:fill="E0E0E0"/>
          </w:tcPr>
          <w:p w14:paraId="5C112527"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Definition of Missing</w:t>
            </w:r>
          </w:p>
        </w:tc>
        <w:tc>
          <w:tcPr>
            <w:tcW w:w="2751" w:type="dxa"/>
            <w:tcBorders>
              <w:top w:val="single" w:sz="8" w:space="0" w:color="AEAEAE"/>
              <w:left w:val="nil"/>
              <w:bottom w:val="single" w:sz="8" w:space="0" w:color="AEAEAE"/>
              <w:right w:val="nil"/>
            </w:tcBorders>
            <w:shd w:val="clear" w:color="auto" w:fill="FFFFFF"/>
          </w:tcPr>
          <w:p w14:paraId="18CB3EE2"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User-defined missing values for dependent variables are treated as missing.</w:t>
            </w:r>
          </w:p>
        </w:tc>
      </w:tr>
      <w:tr w:rsidR="00BF050C" w:rsidRPr="00BF050C" w14:paraId="01160F0E" w14:textId="77777777">
        <w:trPr>
          <w:cantSplit/>
        </w:trPr>
        <w:tc>
          <w:tcPr>
            <w:tcW w:w="2530" w:type="dxa"/>
            <w:vMerge/>
            <w:tcBorders>
              <w:top w:val="single" w:sz="8" w:space="0" w:color="AEAEAE"/>
              <w:left w:val="nil"/>
              <w:bottom w:val="single" w:sz="8" w:space="0" w:color="AEAEAE"/>
              <w:right w:val="nil"/>
            </w:tcBorders>
            <w:shd w:val="clear" w:color="auto" w:fill="E0E0E0"/>
          </w:tcPr>
          <w:p w14:paraId="2CFB62C6"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43090612"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Cases Used</w:t>
            </w:r>
          </w:p>
        </w:tc>
        <w:tc>
          <w:tcPr>
            <w:tcW w:w="2751" w:type="dxa"/>
            <w:tcBorders>
              <w:top w:val="single" w:sz="8" w:space="0" w:color="AEAEAE"/>
              <w:left w:val="nil"/>
              <w:bottom w:val="single" w:sz="8" w:space="0" w:color="AEAEAE"/>
              <w:right w:val="nil"/>
            </w:tcBorders>
            <w:shd w:val="clear" w:color="auto" w:fill="FFFFFF"/>
          </w:tcPr>
          <w:p w14:paraId="4C3AA699"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Statistics are based on cases with no missing values for any dependent variable or factor used.</w:t>
            </w:r>
          </w:p>
        </w:tc>
      </w:tr>
      <w:tr w:rsidR="00BF050C" w:rsidRPr="00BF050C" w14:paraId="73D5ED16" w14:textId="77777777">
        <w:trPr>
          <w:cantSplit/>
        </w:trPr>
        <w:tc>
          <w:tcPr>
            <w:tcW w:w="5247" w:type="dxa"/>
            <w:gridSpan w:val="2"/>
            <w:tcBorders>
              <w:top w:val="single" w:sz="8" w:space="0" w:color="AEAEAE"/>
              <w:left w:val="nil"/>
              <w:bottom w:val="single" w:sz="8" w:space="0" w:color="AEAEAE"/>
              <w:right w:val="nil"/>
            </w:tcBorders>
            <w:shd w:val="clear" w:color="auto" w:fill="E0E0E0"/>
          </w:tcPr>
          <w:p w14:paraId="464C4CE6"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Syntax</w:t>
            </w:r>
          </w:p>
        </w:tc>
        <w:tc>
          <w:tcPr>
            <w:tcW w:w="2751" w:type="dxa"/>
            <w:tcBorders>
              <w:top w:val="single" w:sz="8" w:space="0" w:color="AEAEAE"/>
              <w:left w:val="nil"/>
              <w:bottom w:val="single" w:sz="8" w:space="0" w:color="AEAEAE"/>
              <w:right w:val="nil"/>
            </w:tcBorders>
            <w:shd w:val="clear" w:color="auto" w:fill="FFFFFF"/>
          </w:tcPr>
          <w:p w14:paraId="782EF1F6"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EXAMINE VARIABLES=CAP</w:t>
            </w:r>
          </w:p>
          <w:p w14:paraId="3C0570F0"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/PLOT HISTOGRAM NPPLOT</w:t>
            </w:r>
          </w:p>
          <w:p w14:paraId="37CA89B8"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/STATISTICS DESCRIPTIVES</w:t>
            </w:r>
          </w:p>
          <w:p w14:paraId="70122C36"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/CINTERVAL 95</w:t>
            </w:r>
          </w:p>
          <w:p w14:paraId="043701B1"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/MISSING LISTWISE</w:t>
            </w:r>
          </w:p>
          <w:p w14:paraId="4D489055"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/NOTOTAL.</w:t>
            </w:r>
          </w:p>
        </w:tc>
      </w:tr>
      <w:tr w:rsidR="00BF050C" w:rsidRPr="00BF050C" w14:paraId="567A7F0B" w14:textId="77777777">
        <w:trPr>
          <w:cantSplit/>
        </w:trPr>
        <w:tc>
          <w:tcPr>
            <w:tcW w:w="2530" w:type="dxa"/>
            <w:vMerge w:val="restart"/>
            <w:tcBorders>
              <w:top w:val="single" w:sz="8" w:space="0" w:color="AEAEAE"/>
              <w:left w:val="nil"/>
              <w:bottom w:val="single" w:sz="8" w:space="0" w:color="152935"/>
              <w:right w:val="nil"/>
            </w:tcBorders>
            <w:shd w:val="clear" w:color="auto" w:fill="E0E0E0"/>
          </w:tcPr>
          <w:p w14:paraId="70F54785"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Resources</w:t>
            </w:r>
          </w:p>
        </w:tc>
        <w:tc>
          <w:tcPr>
            <w:tcW w:w="2717" w:type="dxa"/>
            <w:tcBorders>
              <w:top w:val="single" w:sz="8" w:space="0" w:color="AEAEAE"/>
              <w:left w:val="nil"/>
              <w:bottom w:val="single" w:sz="8" w:space="0" w:color="AEAEAE"/>
              <w:right w:val="nil"/>
            </w:tcBorders>
            <w:shd w:val="clear" w:color="auto" w:fill="E0E0E0"/>
          </w:tcPr>
          <w:p w14:paraId="0CC5B421"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Processor Time</w:t>
            </w:r>
          </w:p>
        </w:tc>
        <w:tc>
          <w:tcPr>
            <w:tcW w:w="2751" w:type="dxa"/>
            <w:tcBorders>
              <w:top w:val="single" w:sz="8" w:space="0" w:color="AEAEAE"/>
              <w:left w:val="nil"/>
              <w:bottom w:val="single" w:sz="8" w:space="0" w:color="AEAEAE"/>
              <w:right w:val="nil"/>
            </w:tcBorders>
            <w:shd w:val="clear" w:color="auto" w:fill="FFFFFF"/>
          </w:tcPr>
          <w:p w14:paraId="179BFE61"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00:00:01.72</w:t>
            </w:r>
          </w:p>
        </w:tc>
      </w:tr>
      <w:tr w:rsidR="00BF050C" w:rsidRPr="00BF050C" w14:paraId="1A876E06" w14:textId="77777777">
        <w:trPr>
          <w:cantSplit/>
        </w:trPr>
        <w:tc>
          <w:tcPr>
            <w:tcW w:w="2530" w:type="dxa"/>
            <w:vMerge/>
            <w:tcBorders>
              <w:top w:val="single" w:sz="8" w:space="0" w:color="AEAEAE"/>
              <w:left w:val="nil"/>
              <w:bottom w:val="single" w:sz="8" w:space="0" w:color="152935"/>
              <w:right w:val="nil"/>
            </w:tcBorders>
            <w:shd w:val="clear" w:color="auto" w:fill="E0E0E0"/>
          </w:tcPr>
          <w:p w14:paraId="34689E7E"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152935"/>
              <w:right w:val="nil"/>
            </w:tcBorders>
            <w:shd w:val="clear" w:color="auto" w:fill="E0E0E0"/>
          </w:tcPr>
          <w:p w14:paraId="2C9504EB"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Elapsed Time</w:t>
            </w:r>
          </w:p>
        </w:tc>
        <w:tc>
          <w:tcPr>
            <w:tcW w:w="2751" w:type="dxa"/>
            <w:tcBorders>
              <w:top w:val="single" w:sz="8" w:space="0" w:color="AEAEAE"/>
              <w:left w:val="nil"/>
              <w:bottom w:val="single" w:sz="8" w:space="0" w:color="152935"/>
              <w:right w:val="nil"/>
            </w:tcBorders>
            <w:shd w:val="clear" w:color="auto" w:fill="FFFFFF"/>
          </w:tcPr>
          <w:p w14:paraId="6BEA673D"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00:00:01.15</w:t>
            </w:r>
          </w:p>
        </w:tc>
      </w:tr>
    </w:tbl>
    <w:p w14:paraId="58948E28"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561E744A"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tbl>
      <w:tblPr>
        <w:tblW w:w="73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07"/>
        <w:gridCol w:w="2690"/>
        <w:gridCol w:w="1546"/>
        <w:gridCol w:w="1126"/>
        <w:gridCol w:w="1176"/>
      </w:tblGrid>
      <w:tr w:rsidR="00BF050C" w:rsidRPr="00BF050C" w14:paraId="26D105D4" w14:textId="77777777">
        <w:trPr>
          <w:cantSplit/>
        </w:trPr>
        <w:tc>
          <w:tcPr>
            <w:tcW w:w="7343" w:type="dxa"/>
            <w:gridSpan w:val="5"/>
            <w:tcBorders>
              <w:top w:val="nil"/>
              <w:left w:val="nil"/>
              <w:bottom w:val="nil"/>
              <w:right w:val="nil"/>
            </w:tcBorders>
            <w:shd w:val="clear" w:color="auto" w:fill="FFFFFF"/>
            <w:vAlign w:val="center"/>
          </w:tcPr>
          <w:p w14:paraId="696019F7" w14:textId="6FD32874"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010205"/>
              </w:rPr>
            </w:pPr>
            <w:r w:rsidRPr="00BF050C">
              <w:rPr>
                <w:rFonts w:ascii="Arial" w:eastAsia="SimSun" w:hAnsi="Arial" w:cs="Arial"/>
                <w:b/>
                <w:bCs/>
                <w:color w:val="010205"/>
              </w:rPr>
              <w:t>Descriptive</w:t>
            </w:r>
          </w:p>
        </w:tc>
      </w:tr>
      <w:tr w:rsidR="00BF050C" w:rsidRPr="00BF050C" w14:paraId="553B4BB9" w14:textId="77777777">
        <w:trPr>
          <w:cantSplit/>
        </w:trPr>
        <w:tc>
          <w:tcPr>
            <w:tcW w:w="5041" w:type="dxa"/>
            <w:gridSpan w:val="3"/>
            <w:tcBorders>
              <w:top w:val="nil"/>
              <w:left w:val="nil"/>
              <w:bottom w:val="single" w:sz="8" w:space="0" w:color="152935"/>
              <w:right w:val="nil"/>
            </w:tcBorders>
            <w:shd w:val="clear" w:color="auto" w:fill="FFFFFF"/>
            <w:vAlign w:val="bottom"/>
          </w:tcPr>
          <w:p w14:paraId="3BD95B7A"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1126" w:type="dxa"/>
            <w:tcBorders>
              <w:top w:val="nil"/>
              <w:left w:val="nil"/>
              <w:bottom w:val="single" w:sz="8" w:space="0" w:color="152935"/>
              <w:right w:val="nil"/>
            </w:tcBorders>
            <w:shd w:val="clear" w:color="auto" w:fill="FFFFFF"/>
            <w:vAlign w:val="bottom"/>
          </w:tcPr>
          <w:p w14:paraId="1C971969"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Statistic</w:t>
            </w:r>
          </w:p>
        </w:tc>
        <w:tc>
          <w:tcPr>
            <w:tcW w:w="1176" w:type="dxa"/>
            <w:tcBorders>
              <w:top w:val="nil"/>
              <w:left w:val="single" w:sz="8" w:space="0" w:color="E0E0E0"/>
              <w:bottom w:val="single" w:sz="8" w:space="0" w:color="152935"/>
              <w:right w:val="nil"/>
            </w:tcBorders>
            <w:shd w:val="clear" w:color="auto" w:fill="FFFFFF"/>
            <w:vAlign w:val="bottom"/>
          </w:tcPr>
          <w:p w14:paraId="6BB68C8F"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Std. Error</w:t>
            </w:r>
          </w:p>
        </w:tc>
      </w:tr>
      <w:tr w:rsidR="00BF050C" w:rsidRPr="00BF050C" w14:paraId="0D99BC26" w14:textId="77777777">
        <w:trPr>
          <w:cantSplit/>
        </w:trPr>
        <w:tc>
          <w:tcPr>
            <w:tcW w:w="806" w:type="dxa"/>
            <w:vMerge w:val="restart"/>
            <w:tcBorders>
              <w:top w:val="single" w:sz="8" w:space="0" w:color="152935"/>
              <w:left w:val="nil"/>
              <w:bottom w:val="single" w:sz="8" w:space="0" w:color="152935"/>
              <w:right w:val="nil"/>
            </w:tcBorders>
            <w:shd w:val="clear" w:color="auto" w:fill="E0E0E0"/>
          </w:tcPr>
          <w:p w14:paraId="5ED4E91F"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CAP</w:t>
            </w:r>
          </w:p>
        </w:tc>
        <w:tc>
          <w:tcPr>
            <w:tcW w:w="4235" w:type="dxa"/>
            <w:gridSpan w:val="2"/>
            <w:tcBorders>
              <w:top w:val="single" w:sz="8" w:space="0" w:color="152935"/>
              <w:left w:val="nil"/>
              <w:bottom w:val="nil"/>
              <w:right w:val="nil"/>
            </w:tcBorders>
            <w:shd w:val="clear" w:color="auto" w:fill="E0E0E0"/>
          </w:tcPr>
          <w:p w14:paraId="29004033"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Mean</w:t>
            </w:r>
          </w:p>
        </w:tc>
        <w:tc>
          <w:tcPr>
            <w:tcW w:w="1126" w:type="dxa"/>
            <w:tcBorders>
              <w:top w:val="single" w:sz="8" w:space="0" w:color="152935"/>
              <w:left w:val="nil"/>
              <w:bottom w:val="nil"/>
              <w:right w:val="nil"/>
            </w:tcBorders>
            <w:shd w:val="clear" w:color="auto" w:fill="FFFFFF"/>
          </w:tcPr>
          <w:p w14:paraId="09ABBAA0"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1.8609</w:t>
            </w:r>
          </w:p>
        </w:tc>
        <w:tc>
          <w:tcPr>
            <w:tcW w:w="1176" w:type="dxa"/>
            <w:tcBorders>
              <w:top w:val="single" w:sz="8" w:space="0" w:color="152935"/>
              <w:left w:val="single" w:sz="8" w:space="0" w:color="E0E0E0"/>
              <w:bottom w:val="nil"/>
              <w:right w:val="nil"/>
            </w:tcBorders>
            <w:shd w:val="clear" w:color="auto" w:fill="FFFFFF"/>
          </w:tcPr>
          <w:p w14:paraId="1C23344A"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.01910</w:t>
            </w:r>
          </w:p>
        </w:tc>
      </w:tr>
      <w:tr w:rsidR="00BF050C" w:rsidRPr="00BF050C" w14:paraId="3A35EBCD" w14:textId="77777777">
        <w:trPr>
          <w:cantSplit/>
        </w:trPr>
        <w:tc>
          <w:tcPr>
            <w:tcW w:w="806" w:type="dxa"/>
            <w:vMerge/>
            <w:tcBorders>
              <w:top w:val="single" w:sz="8" w:space="0" w:color="152935"/>
              <w:left w:val="nil"/>
              <w:bottom w:val="single" w:sz="8" w:space="0" w:color="152935"/>
              <w:right w:val="nil"/>
            </w:tcBorders>
            <w:shd w:val="clear" w:color="auto" w:fill="E0E0E0"/>
          </w:tcPr>
          <w:p w14:paraId="5DD3B94C"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689" w:type="dxa"/>
            <w:vMerge w:val="restart"/>
            <w:tcBorders>
              <w:top w:val="single" w:sz="8" w:space="0" w:color="AEAEAE"/>
              <w:left w:val="nil"/>
              <w:bottom w:val="nil"/>
              <w:right w:val="nil"/>
            </w:tcBorders>
            <w:shd w:val="clear" w:color="auto" w:fill="E0E0E0"/>
          </w:tcPr>
          <w:p w14:paraId="1E787AFE"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95% Confidence Interval for Mean</w:t>
            </w:r>
          </w:p>
        </w:tc>
        <w:tc>
          <w:tcPr>
            <w:tcW w:w="1546" w:type="dxa"/>
            <w:tcBorders>
              <w:top w:val="single" w:sz="8" w:space="0" w:color="AEAEAE"/>
              <w:left w:val="nil"/>
              <w:bottom w:val="single" w:sz="8" w:space="0" w:color="AEAEAE"/>
              <w:right w:val="nil"/>
            </w:tcBorders>
            <w:shd w:val="clear" w:color="auto" w:fill="E0E0E0"/>
          </w:tcPr>
          <w:p w14:paraId="0F1328B6"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Lower Bound</w:t>
            </w:r>
          </w:p>
        </w:tc>
        <w:tc>
          <w:tcPr>
            <w:tcW w:w="1126" w:type="dxa"/>
            <w:tcBorders>
              <w:top w:val="single" w:sz="8" w:space="0" w:color="AEAEAE"/>
              <w:left w:val="nil"/>
              <w:bottom w:val="single" w:sz="8" w:space="0" w:color="AEAEAE"/>
              <w:right w:val="nil"/>
            </w:tcBorders>
            <w:shd w:val="clear" w:color="auto" w:fill="FFFFFF"/>
          </w:tcPr>
          <w:p w14:paraId="6D0D77B3"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1.8227</w:t>
            </w:r>
          </w:p>
        </w:tc>
        <w:tc>
          <w:tcPr>
            <w:tcW w:w="1176" w:type="dxa"/>
            <w:tcBorders>
              <w:top w:val="single" w:sz="8" w:space="0" w:color="AEAEAE"/>
              <w:left w:val="single" w:sz="8" w:space="0" w:color="E0E0E0"/>
              <w:bottom w:val="single" w:sz="8" w:space="0" w:color="AEAEAE"/>
              <w:right w:val="nil"/>
            </w:tcBorders>
            <w:shd w:val="clear" w:color="auto" w:fill="FFFFFF"/>
            <w:vAlign w:val="center"/>
          </w:tcPr>
          <w:p w14:paraId="38B606F6"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44FC8803" w14:textId="77777777">
        <w:trPr>
          <w:cantSplit/>
        </w:trPr>
        <w:tc>
          <w:tcPr>
            <w:tcW w:w="806" w:type="dxa"/>
            <w:vMerge/>
            <w:tcBorders>
              <w:top w:val="single" w:sz="8" w:space="0" w:color="152935"/>
              <w:left w:val="nil"/>
              <w:bottom w:val="single" w:sz="8" w:space="0" w:color="152935"/>
              <w:right w:val="nil"/>
            </w:tcBorders>
            <w:shd w:val="clear" w:color="auto" w:fill="E0E0E0"/>
          </w:tcPr>
          <w:p w14:paraId="41A3E88C"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2689" w:type="dxa"/>
            <w:vMerge/>
            <w:tcBorders>
              <w:top w:val="single" w:sz="8" w:space="0" w:color="AEAEAE"/>
              <w:left w:val="nil"/>
              <w:bottom w:val="nil"/>
              <w:right w:val="nil"/>
            </w:tcBorders>
            <w:shd w:val="clear" w:color="auto" w:fill="E0E0E0"/>
          </w:tcPr>
          <w:p w14:paraId="481D0ADE"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1546" w:type="dxa"/>
            <w:tcBorders>
              <w:top w:val="single" w:sz="8" w:space="0" w:color="AEAEAE"/>
              <w:left w:val="nil"/>
              <w:bottom w:val="nil"/>
              <w:right w:val="nil"/>
            </w:tcBorders>
            <w:shd w:val="clear" w:color="auto" w:fill="E0E0E0"/>
          </w:tcPr>
          <w:p w14:paraId="1D36AF7B"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Upper Bound</w:t>
            </w:r>
          </w:p>
        </w:tc>
        <w:tc>
          <w:tcPr>
            <w:tcW w:w="1126" w:type="dxa"/>
            <w:tcBorders>
              <w:top w:val="single" w:sz="8" w:space="0" w:color="AEAEAE"/>
              <w:left w:val="nil"/>
              <w:bottom w:val="nil"/>
              <w:right w:val="nil"/>
            </w:tcBorders>
            <w:shd w:val="clear" w:color="auto" w:fill="FFFFFF"/>
          </w:tcPr>
          <w:p w14:paraId="55F6CA70"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1.8991</w:t>
            </w:r>
          </w:p>
        </w:tc>
        <w:tc>
          <w:tcPr>
            <w:tcW w:w="1176" w:type="dxa"/>
            <w:tcBorders>
              <w:top w:val="single" w:sz="8" w:space="0" w:color="AEAEAE"/>
              <w:left w:val="single" w:sz="8" w:space="0" w:color="E0E0E0"/>
              <w:bottom w:val="nil"/>
              <w:right w:val="nil"/>
            </w:tcBorders>
            <w:shd w:val="clear" w:color="auto" w:fill="FFFFFF"/>
            <w:vAlign w:val="center"/>
          </w:tcPr>
          <w:p w14:paraId="77C112D6"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7A9C3E2B" w14:textId="77777777">
        <w:trPr>
          <w:cantSplit/>
        </w:trPr>
        <w:tc>
          <w:tcPr>
            <w:tcW w:w="806" w:type="dxa"/>
            <w:vMerge/>
            <w:tcBorders>
              <w:top w:val="single" w:sz="8" w:space="0" w:color="152935"/>
              <w:left w:val="nil"/>
              <w:bottom w:val="single" w:sz="8" w:space="0" w:color="152935"/>
              <w:right w:val="nil"/>
            </w:tcBorders>
            <w:shd w:val="clear" w:color="auto" w:fill="E0E0E0"/>
          </w:tcPr>
          <w:p w14:paraId="26FAC710"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7DB380D5"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5% Trimmed Mean</w:t>
            </w:r>
          </w:p>
        </w:tc>
        <w:tc>
          <w:tcPr>
            <w:tcW w:w="1126" w:type="dxa"/>
            <w:tcBorders>
              <w:top w:val="single" w:sz="8" w:space="0" w:color="AEAEAE"/>
              <w:left w:val="nil"/>
              <w:bottom w:val="nil"/>
              <w:right w:val="nil"/>
            </w:tcBorders>
            <w:shd w:val="clear" w:color="auto" w:fill="FFFFFF"/>
          </w:tcPr>
          <w:p w14:paraId="6A626B47"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1.8665</w:t>
            </w:r>
          </w:p>
        </w:tc>
        <w:tc>
          <w:tcPr>
            <w:tcW w:w="1176" w:type="dxa"/>
            <w:tcBorders>
              <w:top w:val="single" w:sz="8" w:space="0" w:color="AEAEAE"/>
              <w:left w:val="single" w:sz="8" w:space="0" w:color="E0E0E0"/>
              <w:bottom w:val="nil"/>
              <w:right w:val="nil"/>
            </w:tcBorders>
            <w:shd w:val="clear" w:color="auto" w:fill="FFFFFF"/>
            <w:vAlign w:val="center"/>
          </w:tcPr>
          <w:p w14:paraId="5CBA8564"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6CD8585E" w14:textId="77777777">
        <w:trPr>
          <w:cantSplit/>
        </w:trPr>
        <w:tc>
          <w:tcPr>
            <w:tcW w:w="806" w:type="dxa"/>
            <w:vMerge/>
            <w:tcBorders>
              <w:top w:val="single" w:sz="8" w:space="0" w:color="152935"/>
              <w:left w:val="nil"/>
              <w:bottom w:val="single" w:sz="8" w:space="0" w:color="152935"/>
              <w:right w:val="nil"/>
            </w:tcBorders>
            <w:shd w:val="clear" w:color="auto" w:fill="E0E0E0"/>
          </w:tcPr>
          <w:p w14:paraId="5709E697"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31E00925"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Median</w:t>
            </w:r>
          </w:p>
        </w:tc>
        <w:tc>
          <w:tcPr>
            <w:tcW w:w="1126" w:type="dxa"/>
            <w:tcBorders>
              <w:top w:val="single" w:sz="8" w:space="0" w:color="AEAEAE"/>
              <w:left w:val="nil"/>
              <w:bottom w:val="nil"/>
              <w:right w:val="nil"/>
            </w:tcBorders>
            <w:shd w:val="clear" w:color="auto" w:fill="FFFFFF"/>
          </w:tcPr>
          <w:p w14:paraId="7ACBA58F"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1.8981</w:t>
            </w:r>
          </w:p>
        </w:tc>
        <w:tc>
          <w:tcPr>
            <w:tcW w:w="1176" w:type="dxa"/>
            <w:tcBorders>
              <w:top w:val="single" w:sz="8" w:space="0" w:color="AEAEAE"/>
              <w:left w:val="single" w:sz="8" w:space="0" w:color="E0E0E0"/>
              <w:bottom w:val="nil"/>
              <w:right w:val="nil"/>
            </w:tcBorders>
            <w:shd w:val="clear" w:color="auto" w:fill="FFFFFF"/>
            <w:vAlign w:val="center"/>
          </w:tcPr>
          <w:p w14:paraId="719B45F9"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4BA939A2" w14:textId="77777777">
        <w:trPr>
          <w:cantSplit/>
        </w:trPr>
        <w:tc>
          <w:tcPr>
            <w:tcW w:w="806" w:type="dxa"/>
            <w:vMerge/>
            <w:tcBorders>
              <w:top w:val="single" w:sz="8" w:space="0" w:color="152935"/>
              <w:left w:val="nil"/>
              <w:bottom w:val="single" w:sz="8" w:space="0" w:color="152935"/>
              <w:right w:val="nil"/>
            </w:tcBorders>
            <w:shd w:val="clear" w:color="auto" w:fill="E0E0E0"/>
          </w:tcPr>
          <w:p w14:paraId="42C2F22E"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4BD19511"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Variance</w:t>
            </w:r>
          </w:p>
        </w:tc>
        <w:tc>
          <w:tcPr>
            <w:tcW w:w="1126" w:type="dxa"/>
            <w:tcBorders>
              <w:top w:val="single" w:sz="8" w:space="0" w:color="AEAEAE"/>
              <w:left w:val="nil"/>
              <w:bottom w:val="nil"/>
              <w:right w:val="nil"/>
            </w:tcBorders>
            <w:shd w:val="clear" w:color="auto" w:fill="FFFFFF"/>
          </w:tcPr>
          <w:p w14:paraId="42509C85"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.022</w:t>
            </w:r>
          </w:p>
        </w:tc>
        <w:tc>
          <w:tcPr>
            <w:tcW w:w="1176" w:type="dxa"/>
            <w:tcBorders>
              <w:top w:val="single" w:sz="8" w:space="0" w:color="AEAEAE"/>
              <w:left w:val="single" w:sz="8" w:space="0" w:color="E0E0E0"/>
              <w:bottom w:val="nil"/>
              <w:right w:val="nil"/>
            </w:tcBorders>
            <w:shd w:val="clear" w:color="auto" w:fill="FFFFFF"/>
            <w:vAlign w:val="center"/>
          </w:tcPr>
          <w:p w14:paraId="29917103"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70C859A9" w14:textId="77777777">
        <w:trPr>
          <w:cantSplit/>
        </w:trPr>
        <w:tc>
          <w:tcPr>
            <w:tcW w:w="806" w:type="dxa"/>
            <w:vMerge/>
            <w:tcBorders>
              <w:top w:val="single" w:sz="8" w:space="0" w:color="152935"/>
              <w:left w:val="nil"/>
              <w:bottom w:val="single" w:sz="8" w:space="0" w:color="152935"/>
              <w:right w:val="nil"/>
            </w:tcBorders>
            <w:shd w:val="clear" w:color="auto" w:fill="E0E0E0"/>
          </w:tcPr>
          <w:p w14:paraId="3614E8E0"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5B3697DD"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Std. Deviation</w:t>
            </w:r>
          </w:p>
        </w:tc>
        <w:tc>
          <w:tcPr>
            <w:tcW w:w="1126" w:type="dxa"/>
            <w:tcBorders>
              <w:top w:val="single" w:sz="8" w:space="0" w:color="AEAEAE"/>
              <w:left w:val="nil"/>
              <w:bottom w:val="nil"/>
              <w:right w:val="nil"/>
            </w:tcBorders>
            <w:shd w:val="clear" w:color="auto" w:fill="FFFFFF"/>
          </w:tcPr>
          <w:p w14:paraId="586CE5DB"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.14914</w:t>
            </w:r>
          </w:p>
        </w:tc>
        <w:tc>
          <w:tcPr>
            <w:tcW w:w="1176" w:type="dxa"/>
            <w:tcBorders>
              <w:top w:val="single" w:sz="8" w:space="0" w:color="AEAEAE"/>
              <w:left w:val="single" w:sz="8" w:space="0" w:color="E0E0E0"/>
              <w:bottom w:val="nil"/>
              <w:right w:val="nil"/>
            </w:tcBorders>
            <w:shd w:val="clear" w:color="auto" w:fill="FFFFFF"/>
            <w:vAlign w:val="center"/>
          </w:tcPr>
          <w:p w14:paraId="64BAE3F7"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33EBDE4A" w14:textId="77777777">
        <w:trPr>
          <w:cantSplit/>
        </w:trPr>
        <w:tc>
          <w:tcPr>
            <w:tcW w:w="806" w:type="dxa"/>
            <w:vMerge/>
            <w:tcBorders>
              <w:top w:val="single" w:sz="8" w:space="0" w:color="152935"/>
              <w:left w:val="nil"/>
              <w:bottom w:val="single" w:sz="8" w:space="0" w:color="152935"/>
              <w:right w:val="nil"/>
            </w:tcBorders>
            <w:shd w:val="clear" w:color="auto" w:fill="E0E0E0"/>
          </w:tcPr>
          <w:p w14:paraId="5124ADEB"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0730DE3A"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Minimum</w:t>
            </w:r>
          </w:p>
        </w:tc>
        <w:tc>
          <w:tcPr>
            <w:tcW w:w="1126" w:type="dxa"/>
            <w:tcBorders>
              <w:top w:val="single" w:sz="8" w:space="0" w:color="AEAEAE"/>
              <w:left w:val="nil"/>
              <w:bottom w:val="nil"/>
              <w:right w:val="nil"/>
            </w:tcBorders>
            <w:shd w:val="clear" w:color="auto" w:fill="FFFFFF"/>
          </w:tcPr>
          <w:p w14:paraId="78C9FFFA"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1.54</w:t>
            </w:r>
          </w:p>
        </w:tc>
        <w:tc>
          <w:tcPr>
            <w:tcW w:w="1176" w:type="dxa"/>
            <w:tcBorders>
              <w:top w:val="single" w:sz="8" w:space="0" w:color="AEAEAE"/>
              <w:left w:val="single" w:sz="8" w:space="0" w:color="E0E0E0"/>
              <w:bottom w:val="nil"/>
              <w:right w:val="nil"/>
            </w:tcBorders>
            <w:shd w:val="clear" w:color="auto" w:fill="FFFFFF"/>
            <w:vAlign w:val="center"/>
          </w:tcPr>
          <w:p w14:paraId="786E20C3"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45291B02" w14:textId="77777777">
        <w:trPr>
          <w:cantSplit/>
        </w:trPr>
        <w:tc>
          <w:tcPr>
            <w:tcW w:w="806" w:type="dxa"/>
            <w:vMerge/>
            <w:tcBorders>
              <w:top w:val="single" w:sz="8" w:space="0" w:color="152935"/>
              <w:left w:val="nil"/>
              <w:bottom w:val="single" w:sz="8" w:space="0" w:color="152935"/>
              <w:right w:val="nil"/>
            </w:tcBorders>
            <w:shd w:val="clear" w:color="auto" w:fill="E0E0E0"/>
          </w:tcPr>
          <w:p w14:paraId="7ABB83B0"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06B7E9BB"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Maximum</w:t>
            </w:r>
          </w:p>
        </w:tc>
        <w:tc>
          <w:tcPr>
            <w:tcW w:w="1126" w:type="dxa"/>
            <w:tcBorders>
              <w:top w:val="single" w:sz="8" w:space="0" w:color="AEAEAE"/>
              <w:left w:val="nil"/>
              <w:bottom w:val="nil"/>
              <w:right w:val="nil"/>
            </w:tcBorders>
            <w:shd w:val="clear" w:color="auto" w:fill="FFFFFF"/>
          </w:tcPr>
          <w:p w14:paraId="588E68E6"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2.10</w:t>
            </w:r>
          </w:p>
        </w:tc>
        <w:tc>
          <w:tcPr>
            <w:tcW w:w="1176" w:type="dxa"/>
            <w:tcBorders>
              <w:top w:val="single" w:sz="8" w:space="0" w:color="AEAEAE"/>
              <w:left w:val="single" w:sz="8" w:space="0" w:color="E0E0E0"/>
              <w:bottom w:val="nil"/>
              <w:right w:val="nil"/>
            </w:tcBorders>
            <w:shd w:val="clear" w:color="auto" w:fill="FFFFFF"/>
            <w:vAlign w:val="center"/>
          </w:tcPr>
          <w:p w14:paraId="6A5B21B5"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1ED2E442" w14:textId="77777777">
        <w:trPr>
          <w:cantSplit/>
        </w:trPr>
        <w:tc>
          <w:tcPr>
            <w:tcW w:w="806" w:type="dxa"/>
            <w:vMerge/>
            <w:tcBorders>
              <w:top w:val="single" w:sz="8" w:space="0" w:color="152935"/>
              <w:left w:val="nil"/>
              <w:bottom w:val="single" w:sz="8" w:space="0" w:color="152935"/>
              <w:right w:val="nil"/>
            </w:tcBorders>
            <w:shd w:val="clear" w:color="auto" w:fill="E0E0E0"/>
          </w:tcPr>
          <w:p w14:paraId="54FDF80A"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2E216915"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Range</w:t>
            </w:r>
          </w:p>
        </w:tc>
        <w:tc>
          <w:tcPr>
            <w:tcW w:w="1126" w:type="dxa"/>
            <w:tcBorders>
              <w:top w:val="single" w:sz="8" w:space="0" w:color="AEAEAE"/>
              <w:left w:val="nil"/>
              <w:bottom w:val="nil"/>
              <w:right w:val="nil"/>
            </w:tcBorders>
            <w:shd w:val="clear" w:color="auto" w:fill="FFFFFF"/>
          </w:tcPr>
          <w:p w14:paraId="52C90F1D"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.56</w:t>
            </w:r>
          </w:p>
        </w:tc>
        <w:tc>
          <w:tcPr>
            <w:tcW w:w="1176" w:type="dxa"/>
            <w:tcBorders>
              <w:top w:val="single" w:sz="8" w:space="0" w:color="AEAEAE"/>
              <w:left w:val="single" w:sz="8" w:space="0" w:color="E0E0E0"/>
              <w:bottom w:val="nil"/>
              <w:right w:val="nil"/>
            </w:tcBorders>
            <w:shd w:val="clear" w:color="auto" w:fill="FFFFFF"/>
            <w:vAlign w:val="center"/>
          </w:tcPr>
          <w:p w14:paraId="0655A621"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1A3DB02B" w14:textId="77777777">
        <w:trPr>
          <w:cantSplit/>
        </w:trPr>
        <w:tc>
          <w:tcPr>
            <w:tcW w:w="806" w:type="dxa"/>
            <w:vMerge/>
            <w:tcBorders>
              <w:top w:val="single" w:sz="8" w:space="0" w:color="152935"/>
              <w:left w:val="nil"/>
              <w:bottom w:val="single" w:sz="8" w:space="0" w:color="152935"/>
              <w:right w:val="nil"/>
            </w:tcBorders>
            <w:shd w:val="clear" w:color="auto" w:fill="E0E0E0"/>
          </w:tcPr>
          <w:p w14:paraId="1B8B6828"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4E279881"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Interquartile Range</w:t>
            </w:r>
          </w:p>
        </w:tc>
        <w:tc>
          <w:tcPr>
            <w:tcW w:w="1126" w:type="dxa"/>
            <w:tcBorders>
              <w:top w:val="single" w:sz="8" w:space="0" w:color="AEAEAE"/>
              <w:left w:val="nil"/>
              <w:bottom w:val="nil"/>
              <w:right w:val="nil"/>
            </w:tcBorders>
            <w:shd w:val="clear" w:color="auto" w:fill="FFFFFF"/>
          </w:tcPr>
          <w:p w14:paraId="60125BC3"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.25</w:t>
            </w:r>
          </w:p>
        </w:tc>
        <w:tc>
          <w:tcPr>
            <w:tcW w:w="1176" w:type="dxa"/>
            <w:tcBorders>
              <w:top w:val="single" w:sz="8" w:space="0" w:color="AEAEAE"/>
              <w:left w:val="single" w:sz="8" w:space="0" w:color="E0E0E0"/>
              <w:bottom w:val="nil"/>
              <w:right w:val="nil"/>
            </w:tcBorders>
            <w:shd w:val="clear" w:color="auto" w:fill="FFFFFF"/>
            <w:vAlign w:val="center"/>
          </w:tcPr>
          <w:p w14:paraId="3B572BF2"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48338766" w14:textId="77777777">
        <w:trPr>
          <w:cantSplit/>
        </w:trPr>
        <w:tc>
          <w:tcPr>
            <w:tcW w:w="806" w:type="dxa"/>
            <w:vMerge/>
            <w:tcBorders>
              <w:top w:val="single" w:sz="8" w:space="0" w:color="152935"/>
              <w:left w:val="nil"/>
              <w:bottom w:val="single" w:sz="8" w:space="0" w:color="152935"/>
              <w:right w:val="nil"/>
            </w:tcBorders>
            <w:shd w:val="clear" w:color="auto" w:fill="E0E0E0"/>
          </w:tcPr>
          <w:p w14:paraId="4B9C1F83"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3F71BFC7"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Skewness</w:t>
            </w:r>
          </w:p>
        </w:tc>
        <w:tc>
          <w:tcPr>
            <w:tcW w:w="1126" w:type="dxa"/>
            <w:tcBorders>
              <w:top w:val="single" w:sz="8" w:space="0" w:color="AEAEAE"/>
              <w:left w:val="nil"/>
              <w:bottom w:val="nil"/>
              <w:right w:val="nil"/>
            </w:tcBorders>
            <w:shd w:val="clear" w:color="auto" w:fill="FFFFFF"/>
          </w:tcPr>
          <w:p w14:paraId="09D7114F"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-.448</w:t>
            </w:r>
          </w:p>
        </w:tc>
        <w:tc>
          <w:tcPr>
            <w:tcW w:w="1176" w:type="dxa"/>
            <w:tcBorders>
              <w:top w:val="single" w:sz="8" w:space="0" w:color="AEAEAE"/>
              <w:left w:val="single" w:sz="8" w:space="0" w:color="E0E0E0"/>
              <w:bottom w:val="nil"/>
              <w:right w:val="nil"/>
            </w:tcBorders>
            <w:shd w:val="clear" w:color="auto" w:fill="FFFFFF"/>
          </w:tcPr>
          <w:p w14:paraId="1ABFB947"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.306</w:t>
            </w:r>
          </w:p>
        </w:tc>
      </w:tr>
      <w:tr w:rsidR="00BF050C" w:rsidRPr="00BF050C" w14:paraId="0A067FF8" w14:textId="77777777">
        <w:trPr>
          <w:cantSplit/>
        </w:trPr>
        <w:tc>
          <w:tcPr>
            <w:tcW w:w="806" w:type="dxa"/>
            <w:vMerge/>
            <w:tcBorders>
              <w:top w:val="single" w:sz="8" w:space="0" w:color="152935"/>
              <w:left w:val="nil"/>
              <w:bottom w:val="single" w:sz="8" w:space="0" w:color="152935"/>
              <w:right w:val="nil"/>
            </w:tcBorders>
            <w:shd w:val="clear" w:color="auto" w:fill="E0E0E0"/>
          </w:tcPr>
          <w:p w14:paraId="7BDE2D24"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4235" w:type="dxa"/>
            <w:gridSpan w:val="2"/>
            <w:tcBorders>
              <w:top w:val="single" w:sz="8" w:space="0" w:color="AEAEAE"/>
              <w:left w:val="nil"/>
              <w:bottom w:val="single" w:sz="8" w:space="0" w:color="152935"/>
              <w:right w:val="nil"/>
            </w:tcBorders>
            <w:shd w:val="clear" w:color="auto" w:fill="E0E0E0"/>
          </w:tcPr>
          <w:p w14:paraId="1576BD29"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Kurtosis</w:t>
            </w:r>
          </w:p>
        </w:tc>
        <w:tc>
          <w:tcPr>
            <w:tcW w:w="1126" w:type="dxa"/>
            <w:tcBorders>
              <w:top w:val="single" w:sz="8" w:space="0" w:color="AEAEAE"/>
              <w:left w:val="nil"/>
              <w:bottom w:val="single" w:sz="8" w:space="0" w:color="152935"/>
              <w:right w:val="nil"/>
            </w:tcBorders>
            <w:shd w:val="clear" w:color="auto" w:fill="FFFFFF"/>
          </w:tcPr>
          <w:p w14:paraId="074383C6"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-.793</w:t>
            </w:r>
          </w:p>
        </w:tc>
        <w:tc>
          <w:tcPr>
            <w:tcW w:w="1176" w:type="dxa"/>
            <w:tcBorders>
              <w:top w:val="single" w:sz="8" w:space="0" w:color="AEAEAE"/>
              <w:left w:val="single" w:sz="8" w:space="0" w:color="E0E0E0"/>
              <w:bottom w:val="single" w:sz="8" w:space="0" w:color="152935"/>
              <w:right w:val="nil"/>
            </w:tcBorders>
            <w:shd w:val="clear" w:color="auto" w:fill="FFFFFF"/>
          </w:tcPr>
          <w:p w14:paraId="4422E70C"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.604</w:t>
            </w:r>
          </w:p>
        </w:tc>
      </w:tr>
    </w:tbl>
    <w:p w14:paraId="366800F2"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4EF91210"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tbl>
      <w:tblPr>
        <w:tblW w:w="75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07"/>
        <w:gridCol w:w="1126"/>
        <w:gridCol w:w="1126"/>
        <w:gridCol w:w="1126"/>
        <w:gridCol w:w="1126"/>
        <w:gridCol w:w="1126"/>
        <w:gridCol w:w="1126"/>
      </w:tblGrid>
      <w:tr w:rsidR="00BF050C" w:rsidRPr="00BF050C" w14:paraId="077ADF78" w14:textId="77777777">
        <w:trPr>
          <w:cantSplit/>
        </w:trPr>
        <w:tc>
          <w:tcPr>
            <w:tcW w:w="7562" w:type="dxa"/>
            <w:gridSpan w:val="7"/>
            <w:tcBorders>
              <w:top w:val="nil"/>
              <w:left w:val="nil"/>
              <w:bottom w:val="nil"/>
              <w:right w:val="nil"/>
            </w:tcBorders>
            <w:shd w:val="clear" w:color="auto" w:fill="FFFFFF"/>
            <w:vAlign w:val="center"/>
          </w:tcPr>
          <w:p w14:paraId="4436DAF6"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010205"/>
              </w:rPr>
            </w:pPr>
            <w:r w:rsidRPr="00BF050C">
              <w:rPr>
                <w:rFonts w:ascii="Arial" w:eastAsia="SimSun" w:hAnsi="Arial" w:cs="Arial"/>
                <w:b/>
                <w:bCs/>
                <w:color w:val="010205"/>
              </w:rPr>
              <w:t>Tests of Normality</w:t>
            </w:r>
          </w:p>
        </w:tc>
      </w:tr>
      <w:tr w:rsidR="00BF050C" w:rsidRPr="00BF050C" w14:paraId="0AF3A827" w14:textId="77777777">
        <w:trPr>
          <w:cantSplit/>
        </w:trPr>
        <w:tc>
          <w:tcPr>
            <w:tcW w:w="806" w:type="dxa"/>
            <w:vMerge w:val="restart"/>
            <w:tcBorders>
              <w:top w:val="nil"/>
              <w:left w:val="nil"/>
              <w:bottom w:val="nil"/>
              <w:right w:val="nil"/>
            </w:tcBorders>
            <w:shd w:val="clear" w:color="auto" w:fill="FFFFFF"/>
            <w:vAlign w:val="bottom"/>
          </w:tcPr>
          <w:p w14:paraId="0FDBB8BE"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3378" w:type="dxa"/>
            <w:gridSpan w:val="3"/>
            <w:tcBorders>
              <w:top w:val="nil"/>
              <w:left w:val="nil"/>
              <w:bottom w:val="nil"/>
              <w:right w:val="nil"/>
            </w:tcBorders>
            <w:shd w:val="clear" w:color="auto" w:fill="FFFFFF"/>
            <w:vAlign w:val="bottom"/>
          </w:tcPr>
          <w:p w14:paraId="7B4B02B3"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Kolmogorov-Smirnov</w:t>
            </w:r>
            <w:r w:rsidRPr="00BF050C">
              <w:rPr>
                <w:rFonts w:ascii="Arial" w:eastAsia="SimSun" w:hAnsi="Arial" w:cs="Arial"/>
                <w:color w:val="264A60"/>
                <w:sz w:val="18"/>
                <w:szCs w:val="18"/>
                <w:vertAlign w:val="superscript"/>
              </w:rPr>
              <w:t>a</w:t>
            </w:r>
          </w:p>
        </w:tc>
        <w:tc>
          <w:tcPr>
            <w:tcW w:w="3378" w:type="dxa"/>
            <w:gridSpan w:val="3"/>
            <w:tcBorders>
              <w:top w:val="nil"/>
              <w:left w:val="single" w:sz="8" w:space="0" w:color="E0E0E0"/>
              <w:bottom w:val="nil"/>
              <w:right w:val="nil"/>
            </w:tcBorders>
            <w:shd w:val="clear" w:color="auto" w:fill="FFFFFF"/>
            <w:vAlign w:val="bottom"/>
          </w:tcPr>
          <w:p w14:paraId="07B37748"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Shapiro-Wilk</w:t>
            </w:r>
          </w:p>
        </w:tc>
      </w:tr>
      <w:tr w:rsidR="00BF050C" w:rsidRPr="00BF050C" w14:paraId="539716C9" w14:textId="77777777">
        <w:trPr>
          <w:cantSplit/>
        </w:trPr>
        <w:tc>
          <w:tcPr>
            <w:tcW w:w="806" w:type="dxa"/>
            <w:vMerge/>
            <w:tcBorders>
              <w:top w:val="nil"/>
              <w:left w:val="nil"/>
              <w:bottom w:val="nil"/>
              <w:right w:val="nil"/>
            </w:tcBorders>
            <w:shd w:val="clear" w:color="auto" w:fill="FFFFFF"/>
            <w:vAlign w:val="bottom"/>
          </w:tcPr>
          <w:p w14:paraId="40868CFA"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264A60"/>
                <w:sz w:val="18"/>
                <w:szCs w:val="18"/>
              </w:rPr>
            </w:pPr>
          </w:p>
        </w:tc>
        <w:tc>
          <w:tcPr>
            <w:tcW w:w="1126" w:type="dxa"/>
            <w:tcBorders>
              <w:top w:val="nil"/>
              <w:left w:val="nil"/>
              <w:bottom w:val="single" w:sz="8" w:space="0" w:color="152935"/>
              <w:right w:val="single" w:sz="8" w:space="0" w:color="E0E0E0"/>
            </w:tcBorders>
            <w:shd w:val="clear" w:color="auto" w:fill="FFFFFF"/>
            <w:vAlign w:val="bottom"/>
          </w:tcPr>
          <w:p w14:paraId="04DB1E21"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Statistic</w:t>
            </w:r>
          </w:p>
        </w:tc>
        <w:tc>
          <w:tcPr>
            <w:tcW w:w="1126" w:type="dxa"/>
            <w:tcBorders>
              <w:top w:val="nil"/>
              <w:left w:val="single" w:sz="8" w:space="0" w:color="E0E0E0"/>
              <w:bottom w:val="single" w:sz="8" w:space="0" w:color="152935"/>
              <w:right w:val="single" w:sz="8" w:space="0" w:color="E0E0E0"/>
            </w:tcBorders>
            <w:shd w:val="clear" w:color="auto" w:fill="FFFFFF"/>
            <w:vAlign w:val="bottom"/>
          </w:tcPr>
          <w:p w14:paraId="651F7A27"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df</w:t>
            </w:r>
          </w:p>
        </w:tc>
        <w:tc>
          <w:tcPr>
            <w:tcW w:w="1126" w:type="dxa"/>
            <w:tcBorders>
              <w:top w:val="nil"/>
              <w:left w:val="single" w:sz="8" w:space="0" w:color="E0E0E0"/>
              <w:bottom w:val="single" w:sz="8" w:space="0" w:color="152935"/>
              <w:right w:val="nil"/>
            </w:tcBorders>
            <w:shd w:val="clear" w:color="auto" w:fill="FFFFFF"/>
            <w:vAlign w:val="bottom"/>
          </w:tcPr>
          <w:p w14:paraId="039E23C8"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Sig.</w:t>
            </w:r>
          </w:p>
        </w:tc>
        <w:tc>
          <w:tcPr>
            <w:tcW w:w="1126" w:type="dxa"/>
            <w:tcBorders>
              <w:top w:val="nil"/>
              <w:left w:val="single" w:sz="8" w:space="0" w:color="E0E0E0"/>
              <w:bottom w:val="single" w:sz="8" w:space="0" w:color="152935"/>
              <w:right w:val="single" w:sz="8" w:space="0" w:color="E0E0E0"/>
            </w:tcBorders>
            <w:shd w:val="clear" w:color="auto" w:fill="FFFFFF"/>
            <w:vAlign w:val="bottom"/>
          </w:tcPr>
          <w:p w14:paraId="64CF5B90"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Statistic</w:t>
            </w:r>
          </w:p>
        </w:tc>
        <w:tc>
          <w:tcPr>
            <w:tcW w:w="1126" w:type="dxa"/>
            <w:tcBorders>
              <w:top w:val="nil"/>
              <w:left w:val="single" w:sz="8" w:space="0" w:color="E0E0E0"/>
              <w:bottom w:val="single" w:sz="8" w:space="0" w:color="152935"/>
              <w:right w:val="single" w:sz="8" w:space="0" w:color="E0E0E0"/>
            </w:tcBorders>
            <w:shd w:val="clear" w:color="auto" w:fill="FFFFFF"/>
            <w:vAlign w:val="bottom"/>
          </w:tcPr>
          <w:p w14:paraId="01F88E17"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df</w:t>
            </w:r>
          </w:p>
        </w:tc>
        <w:tc>
          <w:tcPr>
            <w:tcW w:w="1126" w:type="dxa"/>
            <w:tcBorders>
              <w:top w:val="nil"/>
              <w:left w:val="single" w:sz="8" w:space="0" w:color="E0E0E0"/>
              <w:bottom w:val="single" w:sz="8" w:space="0" w:color="152935"/>
              <w:right w:val="nil"/>
            </w:tcBorders>
            <w:shd w:val="clear" w:color="auto" w:fill="FFFFFF"/>
            <w:vAlign w:val="bottom"/>
          </w:tcPr>
          <w:p w14:paraId="376FB59D"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Sig.</w:t>
            </w:r>
          </w:p>
        </w:tc>
      </w:tr>
      <w:tr w:rsidR="00BF050C" w:rsidRPr="00BF050C" w14:paraId="3CD142C4" w14:textId="77777777">
        <w:trPr>
          <w:cantSplit/>
        </w:trPr>
        <w:tc>
          <w:tcPr>
            <w:tcW w:w="806" w:type="dxa"/>
            <w:tcBorders>
              <w:top w:val="single" w:sz="8" w:space="0" w:color="152935"/>
              <w:left w:val="nil"/>
              <w:bottom w:val="single" w:sz="8" w:space="0" w:color="152935"/>
              <w:right w:val="nil"/>
            </w:tcBorders>
            <w:shd w:val="clear" w:color="auto" w:fill="E0E0E0"/>
          </w:tcPr>
          <w:p w14:paraId="66520A30"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CAP</w:t>
            </w:r>
          </w:p>
        </w:tc>
        <w:tc>
          <w:tcPr>
            <w:tcW w:w="1126" w:type="dxa"/>
            <w:tcBorders>
              <w:top w:val="single" w:sz="8" w:space="0" w:color="152935"/>
              <w:left w:val="nil"/>
              <w:bottom w:val="single" w:sz="8" w:space="0" w:color="152935"/>
              <w:right w:val="single" w:sz="8" w:space="0" w:color="E0E0E0"/>
            </w:tcBorders>
            <w:shd w:val="clear" w:color="auto" w:fill="FFFFFF"/>
          </w:tcPr>
          <w:p w14:paraId="745DC63A"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.107</w:t>
            </w:r>
          </w:p>
        </w:tc>
        <w:tc>
          <w:tcPr>
            <w:tcW w:w="1126" w:type="dxa"/>
            <w:tcBorders>
              <w:top w:val="single" w:sz="8" w:space="0" w:color="152935"/>
              <w:left w:val="single" w:sz="8" w:space="0" w:color="E0E0E0"/>
              <w:bottom w:val="single" w:sz="8" w:space="0" w:color="152935"/>
              <w:right w:val="single" w:sz="8" w:space="0" w:color="E0E0E0"/>
            </w:tcBorders>
            <w:shd w:val="clear" w:color="auto" w:fill="FFFFFF"/>
          </w:tcPr>
          <w:p w14:paraId="4C8A8366"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61</w:t>
            </w:r>
          </w:p>
        </w:tc>
        <w:tc>
          <w:tcPr>
            <w:tcW w:w="1126" w:type="dxa"/>
            <w:tcBorders>
              <w:top w:val="single" w:sz="8" w:space="0" w:color="152935"/>
              <w:left w:val="single" w:sz="8" w:space="0" w:color="E0E0E0"/>
              <w:bottom w:val="single" w:sz="8" w:space="0" w:color="152935"/>
              <w:right w:val="nil"/>
            </w:tcBorders>
            <w:shd w:val="clear" w:color="auto" w:fill="FFFFFF"/>
          </w:tcPr>
          <w:p w14:paraId="78DFC248"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.081</w:t>
            </w:r>
          </w:p>
        </w:tc>
        <w:tc>
          <w:tcPr>
            <w:tcW w:w="1126" w:type="dxa"/>
            <w:tcBorders>
              <w:top w:val="single" w:sz="8" w:space="0" w:color="152935"/>
              <w:left w:val="single" w:sz="8" w:space="0" w:color="E0E0E0"/>
              <w:bottom w:val="single" w:sz="8" w:space="0" w:color="152935"/>
              <w:right w:val="single" w:sz="8" w:space="0" w:color="E0E0E0"/>
            </w:tcBorders>
            <w:shd w:val="clear" w:color="auto" w:fill="FFFFFF"/>
          </w:tcPr>
          <w:p w14:paraId="3B2D4961"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.949</w:t>
            </w:r>
          </w:p>
        </w:tc>
        <w:tc>
          <w:tcPr>
            <w:tcW w:w="1126" w:type="dxa"/>
            <w:tcBorders>
              <w:top w:val="single" w:sz="8" w:space="0" w:color="152935"/>
              <w:left w:val="single" w:sz="8" w:space="0" w:color="E0E0E0"/>
              <w:bottom w:val="single" w:sz="8" w:space="0" w:color="152935"/>
              <w:right w:val="single" w:sz="8" w:space="0" w:color="E0E0E0"/>
            </w:tcBorders>
            <w:shd w:val="clear" w:color="auto" w:fill="FFFFFF"/>
          </w:tcPr>
          <w:p w14:paraId="5364E694"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61</w:t>
            </w:r>
          </w:p>
        </w:tc>
        <w:tc>
          <w:tcPr>
            <w:tcW w:w="1126" w:type="dxa"/>
            <w:tcBorders>
              <w:top w:val="single" w:sz="8" w:space="0" w:color="152935"/>
              <w:left w:val="single" w:sz="8" w:space="0" w:color="E0E0E0"/>
              <w:bottom w:val="single" w:sz="8" w:space="0" w:color="152935"/>
              <w:right w:val="nil"/>
            </w:tcBorders>
            <w:shd w:val="clear" w:color="auto" w:fill="FFFFFF"/>
          </w:tcPr>
          <w:p w14:paraId="60EE9B86"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.012</w:t>
            </w:r>
          </w:p>
        </w:tc>
      </w:tr>
      <w:tr w:rsidR="00BF050C" w:rsidRPr="00BF050C" w14:paraId="3704FFA6" w14:textId="77777777">
        <w:trPr>
          <w:cantSplit/>
        </w:trPr>
        <w:tc>
          <w:tcPr>
            <w:tcW w:w="7562" w:type="dxa"/>
            <w:gridSpan w:val="7"/>
            <w:tcBorders>
              <w:top w:val="nil"/>
              <w:left w:val="nil"/>
              <w:bottom w:val="nil"/>
              <w:right w:val="nil"/>
            </w:tcBorders>
            <w:shd w:val="clear" w:color="auto" w:fill="FFFFFF"/>
          </w:tcPr>
          <w:p w14:paraId="42FB1FF0"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a. Lilliefors Significance Correction</w:t>
            </w:r>
          </w:p>
        </w:tc>
      </w:tr>
    </w:tbl>
    <w:p w14:paraId="55D04564"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3202EF1C"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359BE096"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b/>
          <w:bCs/>
          <w:color w:val="000000"/>
          <w:sz w:val="26"/>
          <w:szCs w:val="26"/>
        </w:rPr>
      </w:pPr>
    </w:p>
    <w:p w14:paraId="3803A50C"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b/>
          <w:bCs/>
          <w:color w:val="000000"/>
          <w:sz w:val="26"/>
          <w:szCs w:val="26"/>
        </w:rPr>
      </w:pPr>
      <w:r w:rsidRPr="00BF050C">
        <w:rPr>
          <w:rFonts w:ascii="Arial" w:eastAsia="SimSun" w:hAnsi="Arial" w:cs="Arial"/>
          <w:b/>
          <w:bCs/>
          <w:color w:val="000000"/>
          <w:sz w:val="26"/>
          <w:szCs w:val="26"/>
        </w:rPr>
        <w:t>CAP</w:t>
      </w:r>
    </w:p>
    <w:p w14:paraId="7EDF8CEE"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00000"/>
          <w:sz w:val="26"/>
          <w:szCs w:val="26"/>
        </w:rPr>
      </w:pPr>
    </w:p>
    <w:p w14:paraId="612E82EA"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50613FF8" w14:textId="3097DE7F"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r w:rsidRPr="00BF050C">
        <w:rPr>
          <w:rFonts w:ascii="Times New Roman" w:eastAsia="SimSun" w:hAnsi="Times New Roman"/>
          <w:noProof/>
          <w:sz w:val="24"/>
          <w:szCs w:val="24"/>
        </w:rPr>
        <w:drawing>
          <wp:inline distT="0" distB="0" distL="0" distR="0" wp14:anchorId="1F56181B" wp14:editId="59ABD85A">
            <wp:extent cx="5943600" cy="3500120"/>
            <wp:effectExtent l="0" t="0" r="0" b="508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943600" cy="3500120"/>
                    </a:xfrm>
                    <a:prstGeom prst="rect">
                      <a:avLst/>
                    </a:prstGeom>
                    <a:noFill/>
                    <a:ln>
                      <a:noFill/>
                    </a:ln>
                  </pic:spPr>
                </pic:pic>
              </a:graphicData>
            </a:graphic>
          </wp:inline>
        </w:drawing>
      </w:r>
    </w:p>
    <w:p w14:paraId="3DDFFBB0"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p w14:paraId="54C76CAC"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01A0E53E" w14:textId="200DC414"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r w:rsidRPr="00BF050C">
        <w:rPr>
          <w:rFonts w:ascii="Times New Roman" w:eastAsia="SimSun" w:hAnsi="Times New Roman"/>
          <w:noProof/>
          <w:sz w:val="24"/>
          <w:szCs w:val="24"/>
        </w:rPr>
        <w:drawing>
          <wp:inline distT="0" distB="0" distL="0" distR="0" wp14:anchorId="44E787EB" wp14:editId="0C3D2053">
            <wp:extent cx="5943600" cy="3500120"/>
            <wp:effectExtent l="0" t="0" r="0" b="508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943600" cy="3500120"/>
                    </a:xfrm>
                    <a:prstGeom prst="rect">
                      <a:avLst/>
                    </a:prstGeom>
                    <a:noFill/>
                    <a:ln>
                      <a:noFill/>
                    </a:ln>
                  </pic:spPr>
                </pic:pic>
              </a:graphicData>
            </a:graphic>
          </wp:inline>
        </w:drawing>
      </w:r>
    </w:p>
    <w:p w14:paraId="14873E70"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p w14:paraId="23730A09"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0F54B4DB"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3FAAEC85"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b/>
          <w:bCs/>
          <w:color w:val="000000"/>
          <w:sz w:val="26"/>
          <w:szCs w:val="26"/>
        </w:rPr>
      </w:pPr>
    </w:p>
    <w:p w14:paraId="1B4079EE"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b/>
          <w:bCs/>
          <w:color w:val="000000"/>
          <w:sz w:val="26"/>
          <w:szCs w:val="26"/>
        </w:rPr>
      </w:pPr>
      <w:r w:rsidRPr="00BF050C">
        <w:rPr>
          <w:rFonts w:ascii="Arial" w:eastAsia="SimSun" w:hAnsi="Arial" w:cs="Arial"/>
          <w:b/>
          <w:bCs/>
          <w:color w:val="000000"/>
          <w:sz w:val="26"/>
          <w:szCs w:val="26"/>
        </w:rPr>
        <w:t>Explore</w:t>
      </w:r>
    </w:p>
    <w:p w14:paraId="139265E6"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00000"/>
          <w:sz w:val="26"/>
          <w:szCs w:val="26"/>
        </w:rPr>
      </w:pPr>
    </w:p>
    <w:p w14:paraId="725BD223"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479981A6"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tbl>
      <w:tblPr>
        <w:tblW w:w="8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30"/>
        <w:gridCol w:w="2718"/>
        <w:gridCol w:w="2752"/>
      </w:tblGrid>
      <w:tr w:rsidR="00BF050C" w:rsidRPr="00BF050C" w14:paraId="5D232CBB" w14:textId="77777777">
        <w:trPr>
          <w:cantSplit/>
        </w:trPr>
        <w:tc>
          <w:tcPr>
            <w:tcW w:w="7998" w:type="dxa"/>
            <w:gridSpan w:val="3"/>
            <w:tcBorders>
              <w:top w:val="nil"/>
              <w:left w:val="nil"/>
              <w:bottom w:val="nil"/>
              <w:right w:val="nil"/>
            </w:tcBorders>
            <w:shd w:val="clear" w:color="auto" w:fill="FFFFFF"/>
            <w:vAlign w:val="center"/>
          </w:tcPr>
          <w:p w14:paraId="670F9DBC"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010205"/>
              </w:rPr>
            </w:pPr>
            <w:r w:rsidRPr="00BF050C">
              <w:rPr>
                <w:rFonts w:ascii="Arial" w:eastAsia="SimSun" w:hAnsi="Arial" w:cs="Arial"/>
                <w:b/>
                <w:bCs/>
                <w:color w:val="010205"/>
              </w:rPr>
              <w:t>Notes</w:t>
            </w:r>
          </w:p>
        </w:tc>
      </w:tr>
      <w:tr w:rsidR="00BF050C" w:rsidRPr="00BF050C" w14:paraId="40489F60" w14:textId="77777777">
        <w:trPr>
          <w:cantSplit/>
        </w:trPr>
        <w:tc>
          <w:tcPr>
            <w:tcW w:w="5247" w:type="dxa"/>
            <w:gridSpan w:val="2"/>
            <w:tcBorders>
              <w:top w:val="nil"/>
              <w:left w:val="nil"/>
              <w:bottom w:val="single" w:sz="8" w:space="0" w:color="AEAEAE"/>
              <w:right w:val="nil"/>
            </w:tcBorders>
            <w:shd w:val="clear" w:color="auto" w:fill="E0E0E0"/>
          </w:tcPr>
          <w:p w14:paraId="2977F04E"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Output Created</w:t>
            </w:r>
          </w:p>
        </w:tc>
        <w:tc>
          <w:tcPr>
            <w:tcW w:w="2751" w:type="dxa"/>
            <w:tcBorders>
              <w:top w:val="nil"/>
              <w:left w:val="nil"/>
              <w:bottom w:val="single" w:sz="8" w:space="0" w:color="AEAEAE"/>
              <w:right w:val="nil"/>
            </w:tcBorders>
            <w:shd w:val="clear" w:color="auto" w:fill="FFFFFF"/>
          </w:tcPr>
          <w:p w14:paraId="794AA92A"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10-JUL-2023 15:20:33</w:t>
            </w:r>
          </w:p>
        </w:tc>
      </w:tr>
      <w:tr w:rsidR="00BF050C" w:rsidRPr="00BF050C" w14:paraId="5905D990" w14:textId="77777777">
        <w:trPr>
          <w:cantSplit/>
        </w:trPr>
        <w:tc>
          <w:tcPr>
            <w:tcW w:w="5247" w:type="dxa"/>
            <w:gridSpan w:val="2"/>
            <w:tcBorders>
              <w:top w:val="single" w:sz="8" w:space="0" w:color="AEAEAE"/>
              <w:left w:val="nil"/>
              <w:bottom w:val="single" w:sz="8" w:space="0" w:color="AEAEAE"/>
              <w:right w:val="nil"/>
            </w:tcBorders>
            <w:shd w:val="clear" w:color="auto" w:fill="E0E0E0"/>
          </w:tcPr>
          <w:p w14:paraId="3D170E1A"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Comments</w:t>
            </w:r>
          </w:p>
        </w:tc>
        <w:tc>
          <w:tcPr>
            <w:tcW w:w="2751" w:type="dxa"/>
            <w:tcBorders>
              <w:top w:val="single" w:sz="8" w:space="0" w:color="AEAEAE"/>
              <w:left w:val="nil"/>
              <w:bottom w:val="single" w:sz="8" w:space="0" w:color="AEAEAE"/>
              <w:right w:val="nil"/>
            </w:tcBorders>
            <w:shd w:val="clear" w:color="auto" w:fill="FFFFFF"/>
          </w:tcPr>
          <w:p w14:paraId="3884C853"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5079CEC6" w14:textId="77777777">
        <w:trPr>
          <w:cantSplit/>
        </w:trPr>
        <w:tc>
          <w:tcPr>
            <w:tcW w:w="2530" w:type="dxa"/>
            <w:vMerge w:val="restart"/>
            <w:tcBorders>
              <w:top w:val="single" w:sz="8" w:space="0" w:color="AEAEAE"/>
              <w:left w:val="nil"/>
              <w:bottom w:val="single" w:sz="8" w:space="0" w:color="AEAEAE"/>
              <w:right w:val="nil"/>
            </w:tcBorders>
            <w:shd w:val="clear" w:color="auto" w:fill="E0E0E0"/>
          </w:tcPr>
          <w:p w14:paraId="5078591B"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Input</w:t>
            </w:r>
          </w:p>
        </w:tc>
        <w:tc>
          <w:tcPr>
            <w:tcW w:w="2717" w:type="dxa"/>
            <w:tcBorders>
              <w:top w:val="single" w:sz="8" w:space="0" w:color="AEAEAE"/>
              <w:left w:val="nil"/>
              <w:bottom w:val="single" w:sz="8" w:space="0" w:color="AEAEAE"/>
              <w:right w:val="nil"/>
            </w:tcBorders>
            <w:shd w:val="clear" w:color="auto" w:fill="E0E0E0"/>
          </w:tcPr>
          <w:p w14:paraId="33FF3AF3"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Data</w:t>
            </w:r>
          </w:p>
        </w:tc>
        <w:tc>
          <w:tcPr>
            <w:tcW w:w="2751" w:type="dxa"/>
            <w:tcBorders>
              <w:top w:val="single" w:sz="8" w:space="0" w:color="AEAEAE"/>
              <w:left w:val="nil"/>
              <w:bottom w:val="single" w:sz="8" w:space="0" w:color="AEAEAE"/>
              <w:right w:val="nil"/>
            </w:tcBorders>
            <w:shd w:val="clear" w:color="auto" w:fill="FFFFFF"/>
          </w:tcPr>
          <w:p w14:paraId="61854375"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D:\OGUNTUASEPhD DataLatest.sav</w:t>
            </w:r>
          </w:p>
        </w:tc>
      </w:tr>
      <w:tr w:rsidR="00BF050C" w:rsidRPr="00BF050C" w14:paraId="4BFA82F2" w14:textId="77777777">
        <w:trPr>
          <w:cantSplit/>
        </w:trPr>
        <w:tc>
          <w:tcPr>
            <w:tcW w:w="2530" w:type="dxa"/>
            <w:vMerge/>
            <w:tcBorders>
              <w:top w:val="single" w:sz="8" w:space="0" w:color="AEAEAE"/>
              <w:left w:val="nil"/>
              <w:bottom w:val="single" w:sz="8" w:space="0" w:color="AEAEAE"/>
              <w:right w:val="nil"/>
            </w:tcBorders>
            <w:shd w:val="clear" w:color="auto" w:fill="E0E0E0"/>
          </w:tcPr>
          <w:p w14:paraId="6BFE51A7"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168F57B3"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Active Dataset</w:t>
            </w:r>
          </w:p>
        </w:tc>
        <w:tc>
          <w:tcPr>
            <w:tcW w:w="2751" w:type="dxa"/>
            <w:tcBorders>
              <w:top w:val="single" w:sz="8" w:space="0" w:color="AEAEAE"/>
              <w:left w:val="nil"/>
              <w:bottom w:val="single" w:sz="8" w:space="0" w:color="AEAEAE"/>
              <w:right w:val="nil"/>
            </w:tcBorders>
            <w:shd w:val="clear" w:color="auto" w:fill="FFFFFF"/>
          </w:tcPr>
          <w:p w14:paraId="14243463"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DataSet2</w:t>
            </w:r>
          </w:p>
        </w:tc>
      </w:tr>
      <w:tr w:rsidR="00BF050C" w:rsidRPr="00BF050C" w14:paraId="56C191DA" w14:textId="77777777">
        <w:trPr>
          <w:cantSplit/>
        </w:trPr>
        <w:tc>
          <w:tcPr>
            <w:tcW w:w="2530" w:type="dxa"/>
            <w:vMerge/>
            <w:tcBorders>
              <w:top w:val="single" w:sz="8" w:space="0" w:color="AEAEAE"/>
              <w:left w:val="nil"/>
              <w:bottom w:val="single" w:sz="8" w:space="0" w:color="AEAEAE"/>
              <w:right w:val="nil"/>
            </w:tcBorders>
            <w:shd w:val="clear" w:color="auto" w:fill="E0E0E0"/>
          </w:tcPr>
          <w:p w14:paraId="647E549B"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5D809E37"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Filter</w:t>
            </w:r>
          </w:p>
        </w:tc>
        <w:tc>
          <w:tcPr>
            <w:tcW w:w="2751" w:type="dxa"/>
            <w:tcBorders>
              <w:top w:val="single" w:sz="8" w:space="0" w:color="AEAEAE"/>
              <w:left w:val="nil"/>
              <w:bottom w:val="single" w:sz="8" w:space="0" w:color="AEAEAE"/>
              <w:right w:val="nil"/>
            </w:tcBorders>
            <w:shd w:val="clear" w:color="auto" w:fill="FFFFFF"/>
          </w:tcPr>
          <w:p w14:paraId="2A429101"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&lt;none&gt;</w:t>
            </w:r>
          </w:p>
        </w:tc>
      </w:tr>
      <w:tr w:rsidR="00BF050C" w:rsidRPr="00BF050C" w14:paraId="0E4F908C" w14:textId="77777777">
        <w:trPr>
          <w:cantSplit/>
        </w:trPr>
        <w:tc>
          <w:tcPr>
            <w:tcW w:w="2530" w:type="dxa"/>
            <w:vMerge/>
            <w:tcBorders>
              <w:top w:val="single" w:sz="8" w:space="0" w:color="AEAEAE"/>
              <w:left w:val="nil"/>
              <w:bottom w:val="single" w:sz="8" w:space="0" w:color="AEAEAE"/>
              <w:right w:val="nil"/>
            </w:tcBorders>
            <w:shd w:val="clear" w:color="auto" w:fill="E0E0E0"/>
          </w:tcPr>
          <w:p w14:paraId="5B0544C4"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742BF49B"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Weight</w:t>
            </w:r>
          </w:p>
        </w:tc>
        <w:tc>
          <w:tcPr>
            <w:tcW w:w="2751" w:type="dxa"/>
            <w:tcBorders>
              <w:top w:val="single" w:sz="8" w:space="0" w:color="AEAEAE"/>
              <w:left w:val="nil"/>
              <w:bottom w:val="single" w:sz="8" w:space="0" w:color="AEAEAE"/>
              <w:right w:val="nil"/>
            </w:tcBorders>
            <w:shd w:val="clear" w:color="auto" w:fill="FFFFFF"/>
          </w:tcPr>
          <w:p w14:paraId="5553E39B"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&lt;none&gt;</w:t>
            </w:r>
          </w:p>
        </w:tc>
      </w:tr>
      <w:tr w:rsidR="00BF050C" w:rsidRPr="00BF050C" w14:paraId="353DC54A" w14:textId="77777777">
        <w:trPr>
          <w:cantSplit/>
        </w:trPr>
        <w:tc>
          <w:tcPr>
            <w:tcW w:w="2530" w:type="dxa"/>
            <w:vMerge/>
            <w:tcBorders>
              <w:top w:val="single" w:sz="8" w:space="0" w:color="AEAEAE"/>
              <w:left w:val="nil"/>
              <w:bottom w:val="single" w:sz="8" w:space="0" w:color="AEAEAE"/>
              <w:right w:val="nil"/>
            </w:tcBorders>
            <w:shd w:val="clear" w:color="auto" w:fill="E0E0E0"/>
          </w:tcPr>
          <w:p w14:paraId="1D68F92B"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5F2BA3D6"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Split File</w:t>
            </w:r>
          </w:p>
        </w:tc>
        <w:tc>
          <w:tcPr>
            <w:tcW w:w="2751" w:type="dxa"/>
            <w:tcBorders>
              <w:top w:val="single" w:sz="8" w:space="0" w:color="AEAEAE"/>
              <w:left w:val="nil"/>
              <w:bottom w:val="single" w:sz="8" w:space="0" w:color="AEAEAE"/>
              <w:right w:val="nil"/>
            </w:tcBorders>
            <w:shd w:val="clear" w:color="auto" w:fill="FFFFFF"/>
          </w:tcPr>
          <w:p w14:paraId="283931F1"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&lt;none&gt;</w:t>
            </w:r>
          </w:p>
        </w:tc>
      </w:tr>
      <w:tr w:rsidR="00BF050C" w:rsidRPr="00BF050C" w14:paraId="5FCFF8C4" w14:textId="77777777">
        <w:trPr>
          <w:cantSplit/>
        </w:trPr>
        <w:tc>
          <w:tcPr>
            <w:tcW w:w="2530" w:type="dxa"/>
            <w:vMerge/>
            <w:tcBorders>
              <w:top w:val="single" w:sz="8" w:space="0" w:color="AEAEAE"/>
              <w:left w:val="nil"/>
              <w:bottom w:val="single" w:sz="8" w:space="0" w:color="AEAEAE"/>
              <w:right w:val="nil"/>
            </w:tcBorders>
            <w:shd w:val="clear" w:color="auto" w:fill="E0E0E0"/>
          </w:tcPr>
          <w:p w14:paraId="1DC68073"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633A8A13"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N of Rows in Working Data File</w:t>
            </w:r>
          </w:p>
        </w:tc>
        <w:tc>
          <w:tcPr>
            <w:tcW w:w="2751" w:type="dxa"/>
            <w:tcBorders>
              <w:top w:val="single" w:sz="8" w:space="0" w:color="AEAEAE"/>
              <w:left w:val="nil"/>
              <w:bottom w:val="single" w:sz="8" w:space="0" w:color="AEAEAE"/>
              <w:right w:val="nil"/>
            </w:tcBorders>
            <w:shd w:val="clear" w:color="auto" w:fill="FFFFFF"/>
          </w:tcPr>
          <w:p w14:paraId="57CFF3FC"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364</w:t>
            </w:r>
          </w:p>
        </w:tc>
      </w:tr>
      <w:tr w:rsidR="00BF050C" w:rsidRPr="00BF050C" w14:paraId="0EB66CE4" w14:textId="77777777">
        <w:trPr>
          <w:cantSplit/>
        </w:trPr>
        <w:tc>
          <w:tcPr>
            <w:tcW w:w="2530" w:type="dxa"/>
            <w:vMerge w:val="restart"/>
            <w:tcBorders>
              <w:top w:val="single" w:sz="8" w:space="0" w:color="AEAEAE"/>
              <w:left w:val="nil"/>
              <w:bottom w:val="single" w:sz="8" w:space="0" w:color="AEAEAE"/>
              <w:right w:val="nil"/>
            </w:tcBorders>
            <w:shd w:val="clear" w:color="auto" w:fill="E0E0E0"/>
          </w:tcPr>
          <w:p w14:paraId="48875876"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Missing Value Handling</w:t>
            </w:r>
          </w:p>
        </w:tc>
        <w:tc>
          <w:tcPr>
            <w:tcW w:w="2717" w:type="dxa"/>
            <w:tcBorders>
              <w:top w:val="single" w:sz="8" w:space="0" w:color="AEAEAE"/>
              <w:left w:val="nil"/>
              <w:bottom w:val="single" w:sz="8" w:space="0" w:color="AEAEAE"/>
              <w:right w:val="nil"/>
            </w:tcBorders>
            <w:shd w:val="clear" w:color="auto" w:fill="E0E0E0"/>
          </w:tcPr>
          <w:p w14:paraId="0B5977DE"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Definition of Missing</w:t>
            </w:r>
          </w:p>
        </w:tc>
        <w:tc>
          <w:tcPr>
            <w:tcW w:w="2751" w:type="dxa"/>
            <w:tcBorders>
              <w:top w:val="single" w:sz="8" w:space="0" w:color="AEAEAE"/>
              <w:left w:val="nil"/>
              <w:bottom w:val="single" w:sz="8" w:space="0" w:color="AEAEAE"/>
              <w:right w:val="nil"/>
            </w:tcBorders>
            <w:shd w:val="clear" w:color="auto" w:fill="FFFFFF"/>
          </w:tcPr>
          <w:p w14:paraId="025840B1"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User-defined missing values for dependent variables are treated as missing.</w:t>
            </w:r>
          </w:p>
        </w:tc>
      </w:tr>
      <w:tr w:rsidR="00BF050C" w:rsidRPr="00BF050C" w14:paraId="1D0D1422" w14:textId="77777777">
        <w:trPr>
          <w:cantSplit/>
        </w:trPr>
        <w:tc>
          <w:tcPr>
            <w:tcW w:w="2530" w:type="dxa"/>
            <w:vMerge/>
            <w:tcBorders>
              <w:top w:val="single" w:sz="8" w:space="0" w:color="AEAEAE"/>
              <w:left w:val="nil"/>
              <w:bottom w:val="single" w:sz="8" w:space="0" w:color="AEAEAE"/>
              <w:right w:val="nil"/>
            </w:tcBorders>
            <w:shd w:val="clear" w:color="auto" w:fill="E0E0E0"/>
          </w:tcPr>
          <w:p w14:paraId="077C2F37"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422C06EE"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Cases Used</w:t>
            </w:r>
          </w:p>
        </w:tc>
        <w:tc>
          <w:tcPr>
            <w:tcW w:w="2751" w:type="dxa"/>
            <w:tcBorders>
              <w:top w:val="single" w:sz="8" w:space="0" w:color="AEAEAE"/>
              <w:left w:val="nil"/>
              <w:bottom w:val="single" w:sz="8" w:space="0" w:color="AEAEAE"/>
              <w:right w:val="nil"/>
            </w:tcBorders>
            <w:shd w:val="clear" w:color="auto" w:fill="FFFFFF"/>
          </w:tcPr>
          <w:p w14:paraId="2E12A9E9"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Statistics are based on cases with no missing values for any dependent variable or factor used.</w:t>
            </w:r>
          </w:p>
        </w:tc>
      </w:tr>
      <w:tr w:rsidR="00BF050C" w:rsidRPr="00BF050C" w14:paraId="25A389F0" w14:textId="77777777">
        <w:trPr>
          <w:cantSplit/>
        </w:trPr>
        <w:tc>
          <w:tcPr>
            <w:tcW w:w="5247" w:type="dxa"/>
            <w:gridSpan w:val="2"/>
            <w:tcBorders>
              <w:top w:val="single" w:sz="8" w:space="0" w:color="AEAEAE"/>
              <w:left w:val="nil"/>
              <w:bottom w:val="single" w:sz="8" w:space="0" w:color="AEAEAE"/>
              <w:right w:val="nil"/>
            </w:tcBorders>
            <w:shd w:val="clear" w:color="auto" w:fill="E0E0E0"/>
          </w:tcPr>
          <w:p w14:paraId="19CA1094"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Syntax</w:t>
            </w:r>
          </w:p>
        </w:tc>
        <w:tc>
          <w:tcPr>
            <w:tcW w:w="2751" w:type="dxa"/>
            <w:tcBorders>
              <w:top w:val="single" w:sz="8" w:space="0" w:color="AEAEAE"/>
              <w:left w:val="nil"/>
              <w:bottom w:val="single" w:sz="8" w:space="0" w:color="AEAEAE"/>
              <w:right w:val="nil"/>
            </w:tcBorders>
            <w:shd w:val="clear" w:color="auto" w:fill="FFFFFF"/>
          </w:tcPr>
          <w:p w14:paraId="77EAC864"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EXAMINE VARIABLES=VMP</w:t>
            </w:r>
          </w:p>
          <w:p w14:paraId="0516A13D"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/PLOT HISTOGRAM NPPLOT</w:t>
            </w:r>
          </w:p>
          <w:p w14:paraId="50344CD8"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/STATISTICS DESCRIPTIVES</w:t>
            </w:r>
          </w:p>
          <w:p w14:paraId="0174D057"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/CINTERVAL 95</w:t>
            </w:r>
          </w:p>
          <w:p w14:paraId="79695339"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/MISSING LISTWISE</w:t>
            </w:r>
          </w:p>
          <w:p w14:paraId="58AAA5B2"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/NOTOTAL.</w:t>
            </w:r>
          </w:p>
        </w:tc>
      </w:tr>
      <w:tr w:rsidR="00BF050C" w:rsidRPr="00BF050C" w14:paraId="470CBAC9" w14:textId="77777777">
        <w:trPr>
          <w:cantSplit/>
        </w:trPr>
        <w:tc>
          <w:tcPr>
            <w:tcW w:w="2530" w:type="dxa"/>
            <w:vMerge w:val="restart"/>
            <w:tcBorders>
              <w:top w:val="single" w:sz="8" w:space="0" w:color="AEAEAE"/>
              <w:left w:val="nil"/>
              <w:bottom w:val="single" w:sz="8" w:space="0" w:color="152935"/>
              <w:right w:val="nil"/>
            </w:tcBorders>
            <w:shd w:val="clear" w:color="auto" w:fill="E0E0E0"/>
          </w:tcPr>
          <w:p w14:paraId="0DEF81B9"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Resources</w:t>
            </w:r>
          </w:p>
        </w:tc>
        <w:tc>
          <w:tcPr>
            <w:tcW w:w="2717" w:type="dxa"/>
            <w:tcBorders>
              <w:top w:val="single" w:sz="8" w:space="0" w:color="AEAEAE"/>
              <w:left w:val="nil"/>
              <w:bottom w:val="single" w:sz="8" w:space="0" w:color="AEAEAE"/>
              <w:right w:val="nil"/>
            </w:tcBorders>
            <w:shd w:val="clear" w:color="auto" w:fill="E0E0E0"/>
          </w:tcPr>
          <w:p w14:paraId="38505F43"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Processor Time</w:t>
            </w:r>
          </w:p>
        </w:tc>
        <w:tc>
          <w:tcPr>
            <w:tcW w:w="2751" w:type="dxa"/>
            <w:tcBorders>
              <w:top w:val="single" w:sz="8" w:space="0" w:color="AEAEAE"/>
              <w:left w:val="nil"/>
              <w:bottom w:val="single" w:sz="8" w:space="0" w:color="AEAEAE"/>
              <w:right w:val="nil"/>
            </w:tcBorders>
            <w:shd w:val="clear" w:color="auto" w:fill="FFFFFF"/>
          </w:tcPr>
          <w:p w14:paraId="7E636AFF"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00:00:01.76</w:t>
            </w:r>
          </w:p>
        </w:tc>
      </w:tr>
      <w:tr w:rsidR="00BF050C" w:rsidRPr="00BF050C" w14:paraId="1E17E706" w14:textId="77777777">
        <w:trPr>
          <w:cantSplit/>
        </w:trPr>
        <w:tc>
          <w:tcPr>
            <w:tcW w:w="2530" w:type="dxa"/>
            <w:vMerge/>
            <w:tcBorders>
              <w:top w:val="single" w:sz="8" w:space="0" w:color="AEAEAE"/>
              <w:left w:val="nil"/>
              <w:bottom w:val="single" w:sz="8" w:space="0" w:color="152935"/>
              <w:right w:val="nil"/>
            </w:tcBorders>
            <w:shd w:val="clear" w:color="auto" w:fill="E0E0E0"/>
          </w:tcPr>
          <w:p w14:paraId="4E669E7D"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152935"/>
              <w:right w:val="nil"/>
            </w:tcBorders>
            <w:shd w:val="clear" w:color="auto" w:fill="E0E0E0"/>
          </w:tcPr>
          <w:p w14:paraId="51DB09B6"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Elapsed Time</w:t>
            </w:r>
          </w:p>
        </w:tc>
        <w:tc>
          <w:tcPr>
            <w:tcW w:w="2751" w:type="dxa"/>
            <w:tcBorders>
              <w:top w:val="single" w:sz="8" w:space="0" w:color="AEAEAE"/>
              <w:left w:val="nil"/>
              <w:bottom w:val="single" w:sz="8" w:space="0" w:color="152935"/>
              <w:right w:val="nil"/>
            </w:tcBorders>
            <w:shd w:val="clear" w:color="auto" w:fill="FFFFFF"/>
          </w:tcPr>
          <w:p w14:paraId="5B105EF6"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00:00:01.06</w:t>
            </w:r>
          </w:p>
        </w:tc>
      </w:tr>
    </w:tbl>
    <w:p w14:paraId="16069AFD"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16748C2B"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tbl>
      <w:tblPr>
        <w:tblW w:w="73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07"/>
        <w:gridCol w:w="2690"/>
        <w:gridCol w:w="1546"/>
        <w:gridCol w:w="1126"/>
        <w:gridCol w:w="1176"/>
      </w:tblGrid>
      <w:tr w:rsidR="00BF050C" w:rsidRPr="00BF050C" w14:paraId="693E6F4E" w14:textId="77777777">
        <w:trPr>
          <w:cantSplit/>
        </w:trPr>
        <w:tc>
          <w:tcPr>
            <w:tcW w:w="7343" w:type="dxa"/>
            <w:gridSpan w:val="5"/>
            <w:tcBorders>
              <w:top w:val="nil"/>
              <w:left w:val="nil"/>
              <w:bottom w:val="nil"/>
              <w:right w:val="nil"/>
            </w:tcBorders>
            <w:shd w:val="clear" w:color="auto" w:fill="FFFFFF"/>
            <w:vAlign w:val="center"/>
          </w:tcPr>
          <w:p w14:paraId="10320033" w14:textId="12C3D5AA"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010205"/>
              </w:rPr>
            </w:pPr>
            <w:r w:rsidRPr="00BF050C">
              <w:rPr>
                <w:rFonts w:ascii="Arial" w:eastAsia="SimSun" w:hAnsi="Arial" w:cs="Arial"/>
                <w:b/>
                <w:bCs/>
                <w:color w:val="010205"/>
              </w:rPr>
              <w:t>Descriptive</w:t>
            </w:r>
          </w:p>
        </w:tc>
      </w:tr>
      <w:tr w:rsidR="00BF050C" w:rsidRPr="00BF050C" w14:paraId="47A83246" w14:textId="77777777">
        <w:trPr>
          <w:cantSplit/>
        </w:trPr>
        <w:tc>
          <w:tcPr>
            <w:tcW w:w="5041" w:type="dxa"/>
            <w:gridSpan w:val="3"/>
            <w:tcBorders>
              <w:top w:val="nil"/>
              <w:left w:val="nil"/>
              <w:bottom w:val="single" w:sz="8" w:space="0" w:color="152935"/>
              <w:right w:val="nil"/>
            </w:tcBorders>
            <w:shd w:val="clear" w:color="auto" w:fill="FFFFFF"/>
            <w:vAlign w:val="bottom"/>
          </w:tcPr>
          <w:p w14:paraId="1B40E7D1"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1126" w:type="dxa"/>
            <w:tcBorders>
              <w:top w:val="nil"/>
              <w:left w:val="nil"/>
              <w:bottom w:val="single" w:sz="8" w:space="0" w:color="152935"/>
              <w:right w:val="nil"/>
            </w:tcBorders>
            <w:shd w:val="clear" w:color="auto" w:fill="FFFFFF"/>
            <w:vAlign w:val="bottom"/>
          </w:tcPr>
          <w:p w14:paraId="240A06A8"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Statistic</w:t>
            </w:r>
          </w:p>
        </w:tc>
        <w:tc>
          <w:tcPr>
            <w:tcW w:w="1176" w:type="dxa"/>
            <w:tcBorders>
              <w:top w:val="nil"/>
              <w:left w:val="single" w:sz="8" w:space="0" w:color="E0E0E0"/>
              <w:bottom w:val="single" w:sz="8" w:space="0" w:color="152935"/>
              <w:right w:val="nil"/>
            </w:tcBorders>
            <w:shd w:val="clear" w:color="auto" w:fill="FFFFFF"/>
            <w:vAlign w:val="bottom"/>
          </w:tcPr>
          <w:p w14:paraId="2FAE2AAE"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Std. Error</w:t>
            </w:r>
          </w:p>
        </w:tc>
      </w:tr>
      <w:tr w:rsidR="00BF050C" w:rsidRPr="00BF050C" w14:paraId="27A04D05" w14:textId="77777777">
        <w:trPr>
          <w:cantSplit/>
        </w:trPr>
        <w:tc>
          <w:tcPr>
            <w:tcW w:w="806" w:type="dxa"/>
            <w:vMerge w:val="restart"/>
            <w:tcBorders>
              <w:top w:val="single" w:sz="8" w:space="0" w:color="152935"/>
              <w:left w:val="nil"/>
              <w:bottom w:val="single" w:sz="8" w:space="0" w:color="152935"/>
              <w:right w:val="nil"/>
            </w:tcBorders>
            <w:shd w:val="clear" w:color="auto" w:fill="E0E0E0"/>
          </w:tcPr>
          <w:p w14:paraId="1A9D71D6"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VMP</w:t>
            </w:r>
          </w:p>
        </w:tc>
        <w:tc>
          <w:tcPr>
            <w:tcW w:w="4235" w:type="dxa"/>
            <w:gridSpan w:val="2"/>
            <w:tcBorders>
              <w:top w:val="single" w:sz="8" w:space="0" w:color="152935"/>
              <w:left w:val="nil"/>
              <w:bottom w:val="nil"/>
              <w:right w:val="nil"/>
            </w:tcBorders>
            <w:shd w:val="clear" w:color="auto" w:fill="E0E0E0"/>
          </w:tcPr>
          <w:p w14:paraId="2524E062"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Mean</w:t>
            </w:r>
          </w:p>
        </w:tc>
        <w:tc>
          <w:tcPr>
            <w:tcW w:w="1126" w:type="dxa"/>
            <w:tcBorders>
              <w:top w:val="single" w:sz="8" w:space="0" w:color="152935"/>
              <w:left w:val="nil"/>
              <w:bottom w:val="nil"/>
              <w:right w:val="nil"/>
            </w:tcBorders>
            <w:shd w:val="clear" w:color="auto" w:fill="FFFFFF"/>
          </w:tcPr>
          <w:p w14:paraId="12C0C793"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1.4799</w:t>
            </w:r>
          </w:p>
        </w:tc>
        <w:tc>
          <w:tcPr>
            <w:tcW w:w="1176" w:type="dxa"/>
            <w:tcBorders>
              <w:top w:val="single" w:sz="8" w:space="0" w:color="152935"/>
              <w:left w:val="single" w:sz="8" w:space="0" w:color="E0E0E0"/>
              <w:bottom w:val="nil"/>
              <w:right w:val="nil"/>
            </w:tcBorders>
            <w:shd w:val="clear" w:color="auto" w:fill="FFFFFF"/>
          </w:tcPr>
          <w:p w14:paraId="08B5202E"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.01351</w:t>
            </w:r>
          </w:p>
        </w:tc>
      </w:tr>
      <w:tr w:rsidR="00BF050C" w:rsidRPr="00BF050C" w14:paraId="519B0FBE" w14:textId="77777777">
        <w:trPr>
          <w:cantSplit/>
        </w:trPr>
        <w:tc>
          <w:tcPr>
            <w:tcW w:w="806" w:type="dxa"/>
            <w:vMerge/>
            <w:tcBorders>
              <w:top w:val="single" w:sz="8" w:space="0" w:color="152935"/>
              <w:left w:val="nil"/>
              <w:bottom w:val="single" w:sz="8" w:space="0" w:color="152935"/>
              <w:right w:val="nil"/>
            </w:tcBorders>
            <w:shd w:val="clear" w:color="auto" w:fill="E0E0E0"/>
          </w:tcPr>
          <w:p w14:paraId="4BB77728"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689" w:type="dxa"/>
            <w:vMerge w:val="restart"/>
            <w:tcBorders>
              <w:top w:val="single" w:sz="8" w:space="0" w:color="AEAEAE"/>
              <w:left w:val="nil"/>
              <w:bottom w:val="nil"/>
              <w:right w:val="nil"/>
            </w:tcBorders>
            <w:shd w:val="clear" w:color="auto" w:fill="E0E0E0"/>
          </w:tcPr>
          <w:p w14:paraId="5863182A"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95% Confidence Interval for Mean</w:t>
            </w:r>
          </w:p>
        </w:tc>
        <w:tc>
          <w:tcPr>
            <w:tcW w:w="1546" w:type="dxa"/>
            <w:tcBorders>
              <w:top w:val="single" w:sz="8" w:space="0" w:color="AEAEAE"/>
              <w:left w:val="nil"/>
              <w:bottom w:val="single" w:sz="8" w:space="0" w:color="AEAEAE"/>
              <w:right w:val="nil"/>
            </w:tcBorders>
            <w:shd w:val="clear" w:color="auto" w:fill="E0E0E0"/>
          </w:tcPr>
          <w:p w14:paraId="6CA2ECE8"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Lower Bound</w:t>
            </w:r>
          </w:p>
        </w:tc>
        <w:tc>
          <w:tcPr>
            <w:tcW w:w="1126" w:type="dxa"/>
            <w:tcBorders>
              <w:top w:val="single" w:sz="8" w:space="0" w:color="AEAEAE"/>
              <w:left w:val="nil"/>
              <w:bottom w:val="single" w:sz="8" w:space="0" w:color="AEAEAE"/>
              <w:right w:val="nil"/>
            </w:tcBorders>
            <w:shd w:val="clear" w:color="auto" w:fill="FFFFFF"/>
          </w:tcPr>
          <w:p w14:paraId="41675E77"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1.4529</w:t>
            </w:r>
          </w:p>
        </w:tc>
        <w:tc>
          <w:tcPr>
            <w:tcW w:w="1176" w:type="dxa"/>
            <w:tcBorders>
              <w:top w:val="single" w:sz="8" w:space="0" w:color="AEAEAE"/>
              <w:left w:val="single" w:sz="8" w:space="0" w:color="E0E0E0"/>
              <w:bottom w:val="single" w:sz="8" w:space="0" w:color="AEAEAE"/>
              <w:right w:val="nil"/>
            </w:tcBorders>
            <w:shd w:val="clear" w:color="auto" w:fill="FFFFFF"/>
            <w:vAlign w:val="center"/>
          </w:tcPr>
          <w:p w14:paraId="359FE182"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29F7571F" w14:textId="77777777">
        <w:trPr>
          <w:cantSplit/>
        </w:trPr>
        <w:tc>
          <w:tcPr>
            <w:tcW w:w="806" w:type="dxa"/>
            <w:vMerge/>
            <w:tcBorders>
              <w:top w:val="single" w:sz="8" w:space="0" w:color="152935"/>
              <w:left w:val="nil"/>
              <w:bottom w:val="single" w:sz="8" w:space="0" w:color="152935"/>
              <w:right w:val="nil"/>
            </w:tcBorders>
            <w:shd w:val="clear" w:color="auto" w:fill="E0E0E0"/>
          </w:tcPr>
          <w:p w14:paraId="44B7CBDB"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2689" w:type="dxa"/>
            <w:vMerge/>
            <w:tcBorders>
              <w:top w:val="single" w:sz="8" w:space="0" w:color="AEAEAE"/>
              <w:left w:val="nil"/>
              <w:bottom w:val="nil"/>
              <w:right w:val="nil"/>
            </w:tcBorders>
            <w:shd w:val="clear" w:color="auto" w:fill="E0E0E0"/>
          </w:tcPr>
          <w:p w14:paraId="5A14769C"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1546" w:type="dxa"/>
            <w:tcBorders>
              <w:top w:val="single" w:sz="8" w:space="0" w:color="AEAEAE"/>
              <w:left w:val="nil"/>
              <w:bottom w:val="nil"/>
              <w:right w:val="nil"/>
            </w:tcBorders>
            <w:shd w:val="clear" w:color="auto" w:fill="E0E0E0"/>
          </w:tcPr>
          <w:p w14:paraId="5E1727A5"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Upper Bound</w:t>
            </w:r>
          </w:p>
        </w:tc>
        <w:tc>
          <w:tcPr>
            <w:tcW w:w="1126" w:type="dxa"/>
            <w:tcBorders>
              <w:top w:val="single" w:sz="8" w:space="0" w:color="AEAEAE"/>
              <w:left w:val="nil"/>
              <w:bottom w:val="nil"/>
              <w:right w:val="nil"/>
            </w:tcBorders>
            <w:shd w:val="clear" w:color="auto" w:fill="FFFFFF"/>
          </w:tcPr>
          <w:p w14:paraId="3958D123"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1.5069</w:t>
            </w:r>
          </w:p>
        </w:tc>
        <w:tc>
          <w:tcPr>
            <w:tcW w:w="1176" w:type="dxa"/>
            <w:tcBorders>
              <w:top w:val="single" w:sz="8" w:space="0" w:color="AEAEAE"/>
              <w:left w:val="single" w:sz="8" w:space="0" w:color="E0E0E0"/>
              <w:bottom w:val="nil"/>
              <w:right w:val="nil"/>
            </w:tcBorders>
            <w:shd w:val="clear" w:color="auto" w:fill="FFFFFF"/>
            <w:vAlign w:val="center"/>
          </w:tcPr>
          <w:p w14:paraId="1F5C10A5"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331AE9D8" w14:textId="77777777">
        <w:trPr>
          <w:cantSplit/>
        </w:trPr>
        <w:tc>
          <w:tcPr>
            <w:tcW w:w="806" w:type="dxa"/>
            <w:vMerge/>
            <w:tcBorders>
              <w:top w:val="single" w:sz="8" w:space="0" w:color="152935"/>
              <w:left w:val="nil"/>
              <w:bottom w:val="single" w:sz="8" w:space="0" w:color="152935"/>
              <w:right w:val="nil"/>
            </w:tcBorders>
            <w:shd w:val="clear" w:color="auto" w:fill="E0E0E0"/>
          </w:tcPr>
          <w:p w14:paraId="10D5F730"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7B78A561"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5% Trimmed Mean</w:t>
            </w:r>
          </w:p>
        </w:tc>
        <w:tc>
          <w:tcPr>
            <w:tcW w:w="1126" w:type="dxa"/>
            <w:tcBorders>
              <w:top w:val="single" w:sz="8" w:space="0" w:color="AEAEAE"/>
              <w:left w:val="nil"/>
              <w:bottom w:val="nil"/>
              <w:right w:val="nil"/>
            </w:tcBorders>
            <w:shd w:val="clear" w:color="auto" w:fill="FFFFFF"/>
          </w:tcPr>
          <w:p w14:paraId="5E6D7C3D"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1.4836</w:t>
            </w:r>
          </w:p>
        </w:tc>
        <w:tc>
          <w:tcPr>
            <w:tcW w:w="1176" w:type="dxa"/>
            <w:tcBorders>
              <w:top w:val="single" w:sz="8" w:space="0" w:color="AEAEAE"/>
              <w:left w:val="single" w:sz="8" w:space="0" w:color="E0E0E0"/>
              <w:bottom w:val="nil"/>
              <w:right w:val="nil"/>
            </w:tcBorders>
            <w:shd w:val="clear" w:color="auto" w:fill="FFFFFF"/>
            <w:vAlign w:val="center"/>
          </w:tcPr>
          <w:p w14:paraId="29440FB2"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37C10DFC" w14:textId="77777777">
        <w:trPr>
          <w:cantSplit/>
        </w:trPr>
        <w:tc>
          <w:tcPr>
            <w:tcW w:w="806" w:type="dxa"/>
            <w:vMerge/>
            <w:tcBorders>
              <w:top w:val="single" w:sz="8" w:space="0" w:color="152935"/>
              <w:left w:val="nil"/>
              <w:bottom w:val="single" w:sz="8" w:space="0" w:color="152935"/>
              <w:right w:val="nil"/>
            </w:tcBorders>
            <w:shd w:val="clear" w:color="auto" w:fill="E0E0E0"/>
          </w:tcPr>
          <w:p w14:paraId="2A89D691"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04F93D04"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Median</w:t>
            </w:r>
          </w:p>
        </w:tc>
        <w:tc>
          <w:tcPr>
            <w:tcW w:w="1126" w:type="dxa"/>
            <w:tcBorders>
              <w:top w:val="single" w:sz="8" w:space="0" w:color="AEAEAE"/>
              <w:left w:val="nil"/>
              <w:bottom w:val="nil"/>
              <w:right w:val="nil"/>
            </w:tcBorders>
            <w:shd w:val="clear" w:color="auto" w:fill="FFFFFF"/>
          </w:tcPr>
          <w:p w14:paraId="68A668BD"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1.5051</w:t>
            </w:r>
          </w:p>
        </w:tc>
        <w:tc>
          <w:tcPr>
            <w:tcW w:w="1176" w:type="dxa"/>
            <w:tcBorders>
              <w:top w:val="single" w:sz="8" w:space="0" w:color="AEAEAE"/>
              <w:left w:val="single" w:sz="8" w:space="0" w:color="E0E0E0"/>
              <w:bottom w:val="nil"/>
              <w:right w:val="nil"/>
            </w:tcBorders>
            <w:shd w:val="clear" w:color="auto" w:fill="FFFFFF"/>
            <w:vAlign w:val="center"/>
          </w:tcPr>
          <w:p w14:paraId="530D13E5"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483B2934" w14:textId="77777777">
        <w:trPr>
          <w:cantSplit/>
        </w:trPr>
        <w:tc>
          <w:tcPr>
            <w:tcW w:w="806" w:type="dxa"/>
            <w:vMerge/>
            <w:tcBorders>
              <w:top w:val="single" w:sz="8" w:space="0" w:color="152935"/>
              <w:left w:val="nil"/>
              <w:bottom w:val="single" w:sz="8" w:space="0" w:color="152935"/>
              <w:right w:val="nil"/>
            </w:tcBorders>
            <w:shd w:val="clear" w:color="auto" w:fill="E0E0E0"/>
          </w:tcPr>
          <w:p w14:paraId="04425591"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7FD9470E"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Variance</w:t>
            </w:r>
          </w:p>
        </w:tc>
        <w:tc>
          <w:tcPr>
            <w:tcW w:w="1126" w:type="dxa"/>
            <w:tcBorders>
              <w:top w:val="single" w:sz="8" w:space="0" w:color="AEAEAE"/>
              <w:left w:val="nil"/>
              <w:bottom w:val="nil"/>
              <w:right w:val="nil"/>
            </w:tcBorders>
            <w:shd w:val="clear" w:color="auto" w:fill="FFFFFF"/>
          </w:tcPr>
          <w:p w14:paraId="4D87EACE"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.011</w:t>
            </w:r>
          </w:p>
        </w:tc>
        <w:tc>
          <w:tcPr>
            <w:tcW w:w="1176" w:type="dxa"/>
            <w:tcBorders>
              <w:top w:val="single" w:sz="8" w:space="0" w:color="AEAEAE"/>
              <w:left w:val="single" w:sz="8" w:space="0" w:color="E0E0E0"/>
              <w:bottom w:val="nil"/>
              <w:right w:val="nil"/>
            </w:tcBorders>
            <w:shd w:val="clear" w:color="auto" w:fill="FFFFFF"/>
            <w:vAlign w:val="center"/>
          </w:tcPr>
          <w:p w14:paraId="7247D173"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2A4A90B5" w14:textId="77777777">
        <w:trPr>
          <w:cantSplit/>
        </w:trPr>
        <w:tc>
          <w:tcPr>
            <w:tcW w:w="806" w:type="dxa"/>
            <w:vMerge/>
            <w:tcBorders>
              <w:top w:val="single" w:sz="8" w:space="0" w:color="152935"/>
              <w:left w:val="nil"/>
              <w:bottom w:val="single" w:sz="8" w:space="0" w:color="152935"/>
              <w:right w:val="nil"/>
            </w:tcBorders>
            <w:shd w:val="clear" w:color="auto" w:fill="E0E0E0"/>
          </w:tcPr>
          <w:p w14:paraId="20A8969F"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7EA7065C"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Std. Deviation</w:t>
            </w:r>
          </w:p>
        </w:tc>
        <w:tc>
          <w:tcPr>
            <w:tcW w:w="1126" w:type="dxa"/>
            <w:tcBorders>
              <w:top w:val="single" w:sz="8" w:space="0" w:color="AEAEAE"/>
              <w:left w:val="nil"/>
              <w:bottom w:val="nil"/>
              <w:right w:val="nil"/>
            </w:tcBorders>
            <w:shd w:val="clear" w:color="auto" w:fill="FFFFFF"/>
          </w:tcPr>
          <w:p w14:paraId="68ABE4E4"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.10553</w:t>
            </w:r>
          </w:p>
        </w:tc>
        <w:tc>
          <w:tcPr>
            <w:tcW w:w="1176" w:type="dxa"/>
            <w:tcBorders>
              <w:top w:val="single" w:sz="8" w:space="0" w:color="AEAEAE"/>
              <w:left w:val="single" w:sz="8" w:space="0" w:color="E0E0E0"/>
              <w:bottom w:val="nil"/>
              <w:right w:val="nil"/>
            </w:tcBorders>
            <w:shd w:val="clear" w:color="auto" w:fill="FFFFFF"/>
            <w:vAlign w:val="center"/>
          </w:tcPr>
          <w:p w14:paraId="2578E735"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1F3BBEE9" w14:textId="77777777">
        <w:trPr>
          <w:cantSplit/>
        </w:trPr>
        <w:tc>
          <w:tcPr>
            <w:tcW w:w="806" w:type="dxa"/>
            <w:vMerge/>
            <w:tcBorders>
              <w:top w:val="single" w:sz="8" w:space="0" w:color="152935"/>
              <w:left w:val="nil"/>
              <w:bottom w:val="single" w:sz="8" w:space="0" w:color="152935"/>
              <w:right w:val="nil"/>
            </w:tcBorders>
            <w:shd w:val="clear" w:color="auto" w:fill="E0E0E0"/>
          </w:tcPr>
          <w:p w14:paraId="099E28EE"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1394D648"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Minimum</w:t>
            </w:r>
          </w:p>
        </w:tc>
        <w:tc>
          <w:tcPr>
            <w:tcW w:w="1126" w:type="dxa"/>
            <w:tcBorders>
              <w:top w:val="single" w:sz="8" w:space="0" w:color="AEAEAE"/>
              <w:left w:val="nil"/>
              <w:bottom w:val="nil"/>
              <w:right w:val="nil"/>
            </w:tcBorders>
            <w:shd w:val="clear" w:color="auto" w:fill="FFFFFF"/>
          </w:tcPr>
          <w:p w14:paraId="4FED34E3"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1.26</w:t>
            </w:r>
          </w:p>
        </w:tc>
        <w:tc>
          <w:tcPr>
            <w:tcW w:w="1176" w:type="dxa"/>
            <w:tcBorders>
              <w:top w:val="single" w:sz="8" w:space="0" w:color="AEAEAE"/>
              <w:left w:val="single" w:sz="8" w:space="0" w:color="E0E0E0"/>
              <w:bottom w:val="nil"/>
              <w:right w:val="nil"/>
            </w:tcBorders>
            <w:shd w:val="clear" w:color="auto" w:fill="FFFFFF"/>
            <w:vAlign w:val="center"/>
          </w:tcPr>
          <w:p w14:paraId="5A12D329"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7D4A449D" w14:textId="77777777">
        <w:trPr>
          <w:cantSplit/>
        </w:trPr>
        <w:tc>
          <w:tcPr>
            <w:tcW w:w="806" w:type="dxa"/>
            <w:vMerge/>
            <w:tcBorders>
              <w:top w:val="single" w:sz="8" w:space="0" w:color="152935"/>
              <w:left w:val="nil"/>
              <w:bottom w:val="single" w:sz="8" w:space="0" w:color="152935"/>
              <w:right w:val="nil"/>
            </w:tcBorders>
            <w:shd w:val="clear" w:color="auto" w:fill="E0E0E0"/>
          </w:tcPr>
          <w:p w14:paraId="5217C384"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74B474BE"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Maximum</w:t>
            </w:r>
          </w:p>
        </w:tc>
        <w:tc>
          <w:tcPr>
            <w:tcW w:w="1126" w:type="dxa"/>
            <w:tcBorders>
              <w:top w:val="single" w:sz="8" w:space="0" w:color="AEAEAE"/>
              <w:left w:val="nil"/>
              <w:bottom w:val="nil"/>
              <w:right w:val="nil"/>
            </w:tcBorders>
            <w:shd w:val="clear" w:color="auto" w:fill="FFFFFF"/>
          </w:tcPr>
          <w:p w14:paraId="49EF9C67"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1.65</w:t>
            </w:r>
          </w:p>
        </w:tc>
        <w:tc>
          <w:tcPr>
            <w:tcW w:w="1176" w:type="dxa"/>
            <w:tcBorders>
              <w:top w:val="single" w:sz="8" w:space="0" w:color="AEAEAE"/>
              <w:left w:val="single" w:sz="8" w:space="0" w:color="E0E0E0"/>
              <w:bottom w:val="nil"/>
              <w:right w:val="nil"/>
            </w:tcBorders>
            <w:shd w:val="clear" w:color="auto" w:fill="FFFFFF"/>
            <w:vAlign w:val="center"/>
          </w:tcPr>
          <w:p w14:paraId="084FED2B"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0CBCDB37" w14:textId="77777777">
        <w:trPr>
          <w:cantSplit/>
        </w:trPr>
        <w:tc>
          <w:tcPr>
            <w:tcW w:w="806" w:type="dxa"/>
            <w:vMerge/>
            <w:tcBorders>
              <w:top w:val="single" w:sz="8" w:space="0" w:color="152935"/>
              <w:left w:val="nil"/>
              <w:bottom w:val="single" w:sz="8" w:space="0" w:color="152935"/>
              <w:right w:val="nil"/>
            </w:tcBorders>
            <w:shd w:val="clear" w:color="auto" w:fill="E0E0E0"/>
          </w:tcPr>
          <w:p w14:paraId="25372B81"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508CC011"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Range</w:t>
            </w:r>
          </w:p>
        </w:tc>
        <w:tc>
          <w:tcPr>
            <w:tcW w:w="1126" w:type="dxa"/>
            <w:tcBorders>
              <w:top w:val="single" w:sz="8" w:space="0" w:color="AEAEAE"/>
              <w:left w:val="nil"/>
              <w:bottom w:val="nil"/>
              <w:right w:val="nil"/>
            </w:tcBorders>
            <w:shd w:val="clear" w:color="auto" w:fill="FFFFFF"/>
          </w:tcPr>
          <w:p w14:paraId="42B11B9A"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.40</w:t>
            </w:r>
          </w:p>
        </w:tc>
        <w:tc>
          <w:tcPr>
            <w:tcW w:w="1176" w:type="dxa"/>
            <w:tcBorders>
              <w:top w:val="single" w:sz="8" w:space="0" w:color="AEAEAE"/>
              <w:left w:val="single" w:sz="8" w:space="0" w:color="E0E0E0"/>
              <w:bottom w:val="nil"/>
              <w:right w:val="nil"/>
            </w:tcBorders>
            <w:shd w:val="clear" w:color="auto" w:fill="FFFFFF"/>
            <w:vAlign w:val="center"/>
          </w:tcPr>
          <w:p w14:paraId="1F7CAB1B"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61B0A36C" w14:textId="77777777">
        <w:trPr>
          <w:cantSplit/>
        </w:trPr>
        <w:tc>
          <w:tcPr>
            <w:tcW w:w="806" w:type="dxa"/>
            <w:vMerge/>
            <w:tcBorders>
              <w:top w:val="single" w:sz="8" w:space="0" w:color="152935"/>
              <w:left w:val="nil"/>
              <w:bottom w:val="single" w:sz="8" w:space="0" w:color="152935"/>
              <w:right w:val="nil"/>
            </w:tcBorders>
            <w:shd w:val="clear" w:color="auto" w:fill="E0E0E0"/>
          </w:tcPr>
          <w:p w14:paraId="44328D7E"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626B03AC"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Interquartile Range</w:t>
            </w:r>
          </w:p>
        </w:tc>
        <w:tc>
          <w:tcPr>
            <w:tcW w:w="1126" w:type="dxa"/>
            <w:tcBorders>
              <w:top w:val="single" w:sz="8" w:space="0" w:color="AEAEAE"/>
              <w:left w:val="nil"/>
              <w:bottom w:val="nil"/>
              <w:right w:val="nil"/>
            </w:tcBorders>
            <w:shd w:val="clear" w:color="auto" w:fill="FFFFFF"/>
          </w:tcPr>
          <w:p w14:paraId="3E78C2B7"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.18</w:t>
            </w:r>
          </w:p>
        </w:tc>
        <w:tc>
          <w:tcPr>
            <w:tcW w:w="1176" w:type="dxa"/>
            <w:tcBorders>
              <w:top w:val="single" w:sz="8" w:space="0" w:color="AEAEAE"/>
              <w:left w:val="single" w:sz="8" w:space="0" w:color="E0E0E0"/>
              <w:bottom w:val="nil"/>
              <w:right w:val="nil"/>
            </w:tcBorders>
            <w:shd w:val="clear" w:color="auto" w:fill="FFFFFF"/>
            <w:vAlign w:val="center"/>
          </w:tcPr>
          <w:p w14:paraId="39D2A92B"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403E4045" w14:textId="77777777">
        <w:trPr>
          <w:cantSplit/>
        </w:trPr>
        <w:tc>
          <w:tcPr>
            <w:tcW w:w="806" w:type="dxa"/>
            <w:vMerge/>
            <w:tcBorders>
              <w:top w:val="single" w:sz="8" w:space="0" w:color="152935"/>
              <w:left w:val="nil"/>
              <w:bottom w:val="single" w:sz="8" w:space="0" w:color="152935"/>
              <w:right w:val="nil"/>
            </w:tcBorders>
            <w:shd w:val="clear" w:color="auto" w:fill="E0E0E0"/>
          </w:tcPr>
          <w:p w14:paraId="507A470B"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7E043E8B"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Skewness</w:t>
            </w:r>
          </w:p>
        </w:tc>
        <w:tc>
          <w:tcPr>
            <w:tcW w:w="1126" w:type="dxa"/>
            <w:tcBorders>
              <w:top w:val="single" w:sz="8" w:space="0" w:color="AEAEAE"/>
              <w:left w:val="nil"/>
              <w:bottom w:val="nil"/>
              <w:right w:val="nil"/>
            </w:tcBorders>
            <w:shd w:val="clear" w:color="auto" w:fill="FFFFFF"/>
          </w:tcPr>
          <w:p w14:paraId="03E05AA1"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-.409</w:t>
            </w:r>
          </w:p>
        </w:tc>
        <w:tc>
          <w:tcPr>
            <w:tcW w:w="1176" w:type="dxa"/>
            <w:tcBorders>
              <w:top w:val="single" w:sz="8" w:space="0" w:color="AEAEAE"/>
              <w:left w:val="single" w:sz="8" w:space="0" w:color="E0E0E0"/>
              <w:bottom w:val="nil"/>
              <w:right w:val="nil"/>
            </w:tcBorders>
            <w:shd w:val="clear" w:color="auto" w:fill="FFFFFF"/>
          </w:tcPr>
          <w:p w14:paraId="510176FA"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.306</w:t>
            </w:r>
          </w:p>
        </w:tc>
      </w:tr>
      <w:tr w:rsidR="00BF050C" w:rsidRPr="00BF050C" w14:paraId="16EEAE7A" w14:textId="77777777">
        <w:trPr>
          <w:cantSplit/>
        </w:trPr>
        <w:tc>
          <w:tcPr>
            <w:tcW w:w="806" w:type="dxa"/>
            <w:vMerge/>
            <w:tcBorders>
              <w:top w:val="single" w:sz="8" w:space="0" w:color="152935"/>
              <w:left w:val="nil"/>
              <w:bottom w:val="single" w:sz="8" w:space="0" w:color="152935"/>
              <w:right w:val="nil"/>
            </w:tcBorders>
            <w:shd w:val="clear" w:color="auto" w:fill="E0E0E0"/>
          </w:tcPr>
          <w:p w14:paraId="2F345CAD"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4235" w:type="dxa"/>
            <w:gridSpan w:val="2"/>
            <w:tcBorders>
              <w:top w:val="single" w:sz="8" w:space="0" w:color="AEAEAE"/>
              <w:left w:val="nil"/>
              <w:bottom w:val="single" w:sz="8" w:space="0" w:color="152935"/>
              <w:right w:val="nil"/>
            </w:tcBorders>
            <w:shd w:val="clear" w:color="auto" w:fill="E0E0E0"/>
          </w:tcPr>
          <w:p w14:paraId="06D428E0"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Kurtosis</w:t>
            </w:r>
          </w:p>
        </w:tc>
        <w:tc>
          <w:tcPr>
            <w:tcW w:w="1126" w:type="dxa"/>
            <w:tcBorders>
              <w:top w:val="single" w:sz="8" w:space="0" w:color="AEAEAE"/>
              <w:left w:val="nil"/>
              <w:bottom w:val="single" w:sz="8" w:space="0" w:color="152935"/>
              <w:right w:val="nil"/>
            </w:tcBorders>
            <w:shd w:val="clear" w:color="auto" w:fill="FFFFFF"/>
          </w:tcPr>
          <w:p w14:paraId="1430CC8E"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-.843</w:t>
            </w:r>
          </w:p>
        </w:tc>
        <w:tc>
          <w:tcPr>
            <w:tcW w:w="1176" w:type="dxa"/>
            <w:tcBorders>
              <w:top w:val="single" w:sz="8" w:space="0" w:color="AEAEAE"/>
              <w:left w:val="single" w:sz="8" w:space="0" w:color="E0E0E0"/>
              <w:bottom w:val="single" w:sz="8" w:space="0" w:color="152935"/>
              <w:right w:val="nil"/>
            </w:tcBorders>
            <w:shd w:val="clear" w:color="auto" w:fill="FFFFFF"/>
          </w:tcPr>
          <w:p w14:paraId="2F241963"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.604</w:t>
            </w:r>
          </w:p>
        </w:tc>
      </w:tr>
    </w:tbl>
    <w:p w14:paraId="5DA84B0C"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1C53E533"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tbl>
      <w:tblPr>
        <w:tblW w:w="75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07"/>
        <w:gridCol w:w="1126"/>
        <w:gridCol w:w="1126"/>
        <w:gridCol w:w="1126"/>
        <w:gridCol w:w="1126"/>
        <w:gridCol w:w="1126"/>
        <w:gridCol w:w="1126"/>
      </w:tblGrid>
      <w:tr w:rsidR="00BF050C" w:rsidRPr="00BF050C" w14:paraId="03F728EC" w14:textId="77777777">
        <w:trPr>
          <w:cantSplit/>
        </w:trPr>
        <w:tc>
          <w:tcPr>
            <w:tcW w:w="7562" w:type="dxa"/>
            <w:gridSpan w:val="7"/>
            <w:tcBorders>
              <w:top w:val="nil"/>
              <w:left w:val="nil"/>
              <w:bottom w:val="nil"/>
              <w:right w:val="nil"/>
            </w:tcBorders>
            <w:shd w:val="clear" w:color="auto" w:fill="FFFFFF"/>
            <w:vAlign w:val="center"/>
          </w:tcPr>
          <w:p w14:paraId="598CA733"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010205"/>
              </w:rPr>
            </w:pPr>
            <w:r w:rsidRPr="00BF050C">
              <w:rPr>
                <w:rFonts w:ascii="Arial" w:eastAsia="SimSun" w:hAnsi="Arial" w:cs="Arial"/>
                <w:b/>
                <w:bCs/>
                <w:color w:val="010205"/>
              </w:rPr>
              <w:t>Tests of Normality</w:t>
            </w:r>
          </w:p>
        </w:tc>
      </w:tr>
      <w:tr w:rsidR="00BF050C" w:rsidRPr="00BF050C" w14:paraId="51BCDA3A" w14:textId="77777777">
        <w:trPr>
          <w:cantSplit/>
        </w:trPr>
        <w:tc>
          <w:tcPr>
            <w:tcW w:w="806" w:type="dxa"/>
            <w:vMerge w:val="restart"/>
            <w:tcBorders>
              <w:top w:val="nil"/>
              <w:left w:val="nil"/>
              <w:bottom w:val="nil"/>
              <w:right w:val="nil"/>
            </w:tcBorders>
            <w:shd w:val="clear" w:color="auto" w:fill="FFFFFF"/>
            <w:vAlign w:val="bottom"/>
          </w:tcPr>
          <w:p w14:paraId="3BE98D99"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3378" w:type="dxa"/>
            <w:gridSpan w:val="3"/>
            <w:tcBorders>
              <w:top w:val="nil"/>
              <w:left w:val="nil"/>
              <w:bottom w:val="nil"/>
              <w:right w:val="nil"/>
            </w:tcBorders>
            <w:shd w:val="clear" w:color="auto" w:fill="FFFFFF"/>
            <w:vAlign w:val="bottom"/>
          </w:tcPr>
          <w:p w14:paraId="09E9F257"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Kolmogorov-Smirnov</w:t>
            </w:r>
            <w:r w:rsidRPr="00BF050C">
              <w:rPr>
                <w:rFonts w:ascii="Arial" w:eastAsia="SimSun" w:hAnsi="Arial" w:cs="Arial"/>
                <w:color w:val="264A60"/>
                <w:sz w:val="18"/>
                <w:szCs w:val="18"/>
                <w:vertAlign w:val="superscript"/>
              </w:rPr>
              <w:t>a</w:t>
            </w:r>
          </w:p>
        </w:tc>
        <w:tc>
          <w:tcPr>
            <w:tcW w:w="3378" w:type="dxa"/>
            <w:gridSpan w:val="3"/>
            <w:tcBorders>
              <w:top w:val="nil"/>
              <w:left w:val="single" w:sz="8" w:space="0" w:color="E0E0E0"/>
              <w:bottom w:val="nil"/>
              <w:right w:val="nil"/>
            </w:tcBorders>
            <w:shd w:val="clear" w:color="auto" w:fill="FFFFFF"/>
            <w:vAlign w:val="bottom"/>
          </w:tcPr>
          <w:p w14:paraId="6F029938"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Shapiro-Wilk</w:t>
            </w:r>
          </w:p>
        </w:tc>
      </w:tr>
      <w:tr w:rsidR="00BF050C" w:rsidRPr="00BF050C" w14:paraId="017E4AE8" w14:textId="77777777">
        <w:trPr>
          <w:cantSplit/>
        </w:trPr>
        <w:tc>
          <w:tcPr>
            <w:tcW w:w="806" w:type="dxa"/>
            <w:vMerge/>
            <w:tcBorders>
              <w:top w:val="nil"/>
              <w:left w:val="nil"/>
              <w:bottom w:val="nil"/>
              <w:right w:val="nil"/>
            </w:tcBorders>
            <w:shd w:val="clear" w:color="auto" w:fill="FFFFFF"/>
            <w:vAlign w:val="bottom"/>
          </w:tcPr>
          <w:p w14:paraId="550CB7AA"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264A60"/>
                <w:sz w:val="18"/>
                <w:szCs w:val="18"/>
              </w:rPr>
            </w:pPr>
          </w:p>
        </w:tc>
        <w:tc>
          <w:tcPr>
            <w:tcW w:w="1126" w:type="dxa"/>
            <w:tcBorders>
              <w:top w:val="nil"/>
              <w:left w:val="nil"/>
              <w:bottom w:val="single" w:sz="8" w:space="0" w:color="152935"/>
              <w:right w:val="single" w:sz="8" w:space="0" w:color="E0E0E0"/>
            </w:tcBorders>
            <w:shd w:val="clear" w:color="auto" w:fill="FFFFFF"/>
            <w:vAlign w:val="bottom"/>
          </w:tcPr>
          <w:p w14:paraId="63EED15E"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Statistic</w:t>
            </w:r>
          </w:p>
        </w:tc>
        <w:tc>
          <w:tcPr>
            <w:tcW w:w="1126" w:type="dxa"/>
            <w:tcBorders>
              <w:top w:val="nil"/>
              <w:left w:val="single" w:sz="8" w:space="0" w:color="E0E0E0"/>
              <w:bottom w:val="single" w:sz="8" w:space="0" w:color="152935"/>
              <w:right w:val="single" w:sz="8" w:space="0" w:color="E0E0E0"/>
            </w:tcBorders>
            <w:shd w:val="clear" w:color="auto" w:fill="FFFFFF"/>
            <w:vAlign w:val="bottom"/>
          </w:tcPr>
          <w:p w14:paraId="5BE2F078"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df</w:t>
            </w:r>
          </w:p>
        </w:tc>
        <w:tc>
          <w:tcPr>
            <w:tcW w:w="1126" w:type="dxa"/>
            <w:tcBorders>
              <w:top w:val="nil"/>
              <w:left w:val="single" w:sz="8" w:space="0" w:color="E0E0E0"/>
              <w:bottom w:val="single" w:sz="8" w:space="0" w:color="152935"/>
              <w:right w:val="nil"/>
            </w:tcBorders>
            <w:shd w:val="clear" w:color="auto" w:fill="FFFFFF"/>
            <w:vAlign w:val="bottom"/>
          </w:tcPr>
          <w:p w14:paraId="2C3005F5"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Sig.</w:t>
            </w:r>
          </w:p>
        </w:tc>
        <w:tc>
          <w:tcPr>
            <w:tcW w:w="1126" w:type="dxa"/>
            <w:tcBorders>
              <w:top w:val="nil"/>
              <w:left w:val="single" w:sz="8" w:space="0" w:color="E0E0E0"/>
              <w:bottom w:val="single" w:sz="8" w:space="0" w:color="152935"/>
              <w:right w:val="single" w:sz="8" w:space="0" w:color="E0E0E0"/>
            </w:tcBorders>
            <w:shd w:val="clear" w:color="auto" w:fill="FFFFFF"/>
            <w:vAlign w:val="bottom"/>
          </w:tcPr>
          <w:p w14:paraId="49616417"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Statistic</w:t>
            </w:r>
          </w:p>
        </w:tc>
        <w:tc>
          <w:tcPr>
            <w:tcW w:w="1126" w:type="dxa"/>
            <w:tcBorders>
              <w:top w:val="nil"/>
              <w:left w:val="single" w:sz="8" w:space="0" w:color="E0E0E0"/>
              <w:bottom w:val="single" w:sz="8" w:space="0" w:color="152935"/>
              <w:right w:val="single" w:sz="8" w:space="0" w:color="E0E0E0"/>
            </w:tcBorders>
            <w:shd w:val="clear" w:color="auto" w:fill="FFFFFF"/>
            <w:vAlign w:val="bottom"/>
          </w:tcPr>
          <w:p w14:paraId="3849A943"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df</w:t>
            </w:r>
          </w:p>
        </w:tc>
        <w:tc>
          <w:tcPr>
            <w:tcW w:w="1126" w:type="dxa"/>
            <w:tcBorders>
              <w:top w:val="nil"/>
              <w:left w:val="single" w:sz="8" w:space="0" w:color="E0E0E0"/>
              <w:bottom w:val="single" w:sz="8" w:space="0" w:color="152935"/>
              <w:right w:val="nil"/>
            </w:tcBorders>
            <w:shd w:val="clear" w:color="auto" w:fill="FFFFFF"/>
            <w:vAlign w:val="bottom"/>
          </w:tcPr>
          <w:p w14:paraId="7CEF402F"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Sig.</w:t>
            </w:r>
          </w:p>
        </w:tc>
      </w:tr>
      <w:tr w:rsidR="00BF050C" w:rsidRPr="00BF050C" w14:paraId="1417DD9F" w14:textId="77777777">
        <w:trPr>
          <w:cantSplit/>
        </w:trPr>
        <w:tc>
          <w:tcPr>
            <w:tcW w:w="806" w:type="dxa"/>
            <w:tcBorders>
              <w:top w:val="single" w:sz="8" w:space="0" w:color="152935"/>
              <w:left w:val="nil"/>
              <w:bottom w:val="single" w:sz="8" w:space="0" w:color="152935"/>
              <w:right w:val="nil"/>
            </w:tcBorders>
            <w:shd w:val="clear" w:color="auto" w:fill="E0E0E0"/>
          </w:tcPr>
          <w:p w14:paraId="650C5542"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VMP</w:t>
            </w:r>
          </w:p>
        </w:tc>
        <w:tc>
          <w:tcPr>
            <w:tcW w:w="1126" w:type="dxa"/>
            <w:tcBorders>
              <w:top w:val="single" w:sz="8" w:space="0" w:color="152935"/>
              <w:left w:val="nil"/>
              <w:bottom w:val="single" w:sz="8" w:space="0" w:color="152935"/>
              <w:right w:val="single" w:sz="8" w:space="0" w:color="E0E0E0"/>
            </w:tcBorders>
            <w:shd w:val="clear" w:color="auto" w:fill="FFFFFF"/>
          </w:tcPr>
          <w:p w14:paraId="252FC0E9"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.103</w:t>
            </w:r>
          </w:p>
        </w:tc>
        <w:tc>
          <w:tcPr>
            <w:tcW w:w="1126" w:type="dxa"/>
            <w:tcBorders>
              <w:top w:val="single" w:sz="8" w:space="0" w:color="152935"/>
              <w:left w:val="single" w:sz="8" w:space="0" w:color="E0E0E0"/>
              <w:bottom w:val="single" w:sz="8" w:space="0" w:color="152935"/>
              <w:right w:val="single" w:sz="8" w:space="0" w:color="E0E0E0"/>
            </w:tcBorders>
            <w:shd w:val="clear" w:color="auto" w:fill="FFFFFF"/>
          </w:tcPr>
          <w:p w14:paraId="34087A38"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61</w:t>
            </w:r>
          </w:p>
        </w:tc>
        <w:tc>
          <w:tcPr>
            <w:tcW w:w="1126" w:type="dxa"/>
            <w:tcBorders>
              <w:top w:val="single" w:sz="8" w:space="0" w:color="152935"/>
              <w:left w:val="single" w:sz="8" w:space="0" w:color="E0E0E0"/>
              <w:bottom w:val="single" w:sz="8" w:space="0" w:color="152935"/>
              <w:right w:val="nil"/>
            </w:tcBorders>
            <w:shd w:val="clear" w:color="auto" w:fill="FFFFFF"/>
          </w:tcPr>
          <w:p w14:paraId="44458C70"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.175</w:t>
            </w:r>
          </w:p>
        </w:tc>
        <w:tc>
          <w:tcPr>
            <w:tcW w:w="1126" w:type="dxa"/>
            <w:tcBorders>
              <w:top w:val="single" w:sz="8" w:space="0" w:color="152935"/>
              <w:left w:val="single" w:sz="8" w:space="0" w:color="E0E0E0"/>
              <w:bottom w:val="single" w:sz="8" w:space="0" w:color="152935"/>
              <w:right w:val="single" w:sz="8" w:space="0" w:color="E0E0E0"/>
            </w:tcBorders>
            <w:shd w:val="clear" w:color="auto" w:fill="FFFFFF"/>
          </w:tcPr>
          <w:p w14:paraId="3B297337"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.951</w:t>
            </w:r>
          </w:p>
        </w:tc>
        <w:tc>
          <w:tcPr>
            <w:tcW w:w="1126" w:type="dxa"/>
            <w:tcBorders>
              <w:top w:val="single" w:sz="8" w:space="0" w:color="152935"/>
              <w:left w:val="single" w:sz="8" w:space="0" w:color="E0E0E0"/>
              <w:bottom w:val="single" w:sz="8" w:space="0" w:color="152935"/>
              <w:right w:val="single" w:sz="8" w:space="0" w:color="E0E0E0"/>
            </w:tcBorders>
            <w:shd w:val="clear" w:color="auto" w:fill="FFFFFF"/>
          </w:tcPr>
          <w:p w14:paraId="4035C63E"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61</w:t>
            </w:r>
          </w:p>
        </w:tc>
        <w:tc>
          <w:tcPr>
            <w:tcW w:w="1126" w:type="dxa"/>
            <w:tcBorders>
              <w:top w:val="single" w:sz="8" w:space="0" w:color="152935"/>
              <w:left w:val="single" w:sz="8" w:space="0" w:color="E0E0E0"/>
              <w:bottom w:val="single" w:sz="8" w:space="0" w:color="152935"/>
              <w:right w:val="nil"/>
            </w:tcBorders>
            <w:shd w:val="clear" w:color="auto" w:fill="FFFFFF"/>
          </w:tcPr>
          <w:p w14:paraId="6A031A61"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.016</w:t>
            </w:r>
          </w:p>
        </w:tc>
      </w:tr>
      <w:tr w:rsidR="00BF050C" w:rsidRPr="00BF050C" w14:paraId="2E21C51D" w14:textId="77777777">
        <w:trPr>
          <w:cantSplit/>
        </w:trPr>
        <w:tc>
          <w:tcPr>
            <w:tcW w:w="7562" w:type="dxa"/>
            <w:gridSpan w:val="7"/>
            <w:tcBorders>
              <w:top w:val="nil"/>
              <w:left w:val="nil"/>
              <w:bottom w:val="nil"/>
              <w:right w:val="nil"/>
            </w:tcBorders>
            <w:shd w:val="clear" w:color="auto" w:fill="FFFFFF"/>
          </w:tcPr>
          <w:p w14:paraId="729DE331"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a. Lilliefors Significance Correction</w:t>
            </w:r>
          </w:p>
        </w:tc>
      </w:tr>
    </w:tbl>
    <w:p w14:paraId="6093BC2E"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1EA717F7"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0B4F1DC0"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b/>
          <w:bCs/>
          <w:color w:val="000000"/>
          <w:sz w:val="26"/>
          <w:szCs w:val="26"/>
        </w:rPr>
      </w:pPr>
    </w:p>
    <w:p w14:paraId="7534F902"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b/>
          <w:bCs/>
          <w:color w:val="000000"/>
          <w:sz w:val="26"/>
          <w:szCs w:val="26"/>
        </w:rPr>
      </w:pPr>
      <w:r w:rsidRPr="00BF050C">
        <w:rPr>
          <w:rFonts w:ascii="Arial" w:eastAsia="SimSun" w:hAnsi="Arial" w:cs="Arial"/>
          <w:b/>
          <w:bCs/>
          <w:color w:val="000000"/>
          <w:sz w:val="26"/>
          <w:szCs w:val="26"/>
        </w:rPr>
        <w:t>VMP</w:t>
      </w:r>
    </w:p>
    <w:p w14:paraId="0C41ACA7"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00000"/>
          <w:sz w:val="26"/>
          <w:szCs w:val="26"/>
        </w:rPr>
      </w:pPr>
    </w:p>
    <w:p w14:paraId="4E893DF0"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0219EDAB" w14:textId="413D9DC2"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r w:rsidRPr="00BF050C">
        <w:rPr>
          <w:rFonts w:ascii="Times New Roman" w:eastAsia="SimSun" w:hAnsi="Times New Roman"/>
          <w:noProof/>
          <w:sz w:val="24"/>
          <w:szCs w:val="24"/>
        </w:rPr>
        <w:drawing>
          <wp:inline distT="0" distB="0" distL="0" distR="0" wp14:anchorId="0156207C" wp14:editId="37E4026B">
            <wp:extent cx="5943600" cy="3500120"/>
            <wp:effectExtent l="0" t="0" r="0" b="508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943600" cy="3500120"/>
                    </a:xfrm>
                    <a:prstGeom prst="rect">
                      <a:avLst/>
                    </a:prstGeom>
                    <a:noFill/>
                    <a:ln>
                      <a:noFill/>
                    </a:ln>
                  </pic:spPr>
                </pic:pic>
              </a:graphicData>
            </a:graphic>
          </wp:inline>
        </w:drawing>
      </w:r>
    </w:p>
    <w:p w14:paraId="37BF658E"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p w14:paraId="44A7C76A"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7399FB48" w14:textId="256B684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r w:rsidRPr="00BF050C">
        <w:rPr>
          <w:rFonts w:ascii="Times New Roman" w:eastAsia="SimSun" w:hAnsi="Times New Roman"/>
          <w:noProof/>
          <w:sz w:val="24"/>
          <w:szCs w:val="24"/>
        </w:rPr>
        <w:drawing>
          <wp:inline distT="0" distB="0" distL="0" distR="0" wp14:anchorId="6028EDEA" wp14:editId="0CB8B7AF">
            <wp:extent cx="5943600" cy="3500120"/>
            <wp:effectExtent l="0" t="0" r="0" b="508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943600" cy="3500120"/>
                    </a:xfrm>
                    <a:prstGeom prst="rect">
                      <a:avLst/>
                    </a:prstGeom>
                    <a:noFill/>
                    <a:ln>
                      <a:noFill/>
                    </a:ln>
                  </pic:spPr>
                </pic:pic>
              </a:graphicData>
            </a:graphic>
          </wp:inline>
        </w:drawing>
      </w:r>
    </w:p>
    <w:p w14:paraId="7549E7D3"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p w14:paraId="2F4F6E6F"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154C57A4"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2CCAF4B6"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b/>
          <w:bCs/>
          <w:color w:val="000000"/>
          <w:sz w:val="26"/>
          <w:szCs w:val="26"/>
        </w:rPr>
      </w:pPr>
    </w:p>
    <w:p w14:paraId="011AC48F"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b/>
          <w:bCs/>
          <w:color w:val="000000"/>
          <w:sz w:val="26"/>
          <w:szCs w:val="26"/>
        </w:rPr>
      </w:pPr>
      <w:r w:rsidRPr="00BF050C">
        <w:rPr>
          <w:rFonts w:ascii="Arial" w:eastAsia="SimSun" w:hAnsi="Arial" w:cs="Arial"/>
          <w:b/>
          <w:bCs/>
          <w:color w:val="000000"/>
          <w:sz w:val="26"/>
          <w:szCs w:val="26"/>
        </w:rPr>
        <w:t>Explore</w:t>
      </w:r>
    </w:p>
    <w:p w14:paraId="7AF35EA3"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00000"/>
          <w:sz w:val="26"/>
          <w:szCs w:val="26"/>
        </w:rPr>
      </w:pPr>
    </w:p>
    <w:p w14:paraId="6582985D"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5E1C049F"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tbl>
      <w:tblPr>
        <w:tblW w:w="8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30"/>
        <w:gridCol w:w="2718"/>
        <w:gridCol w:w="2752"/>
      </w:tblGrid>
      <w:tr w:rsidR="00BF050C" w:rsidRPr="00BF050C" w14:paraId="78657F1F" w14:textId="77777777">
        <w:trPr>
          <w:cantSplit/>
        </w:trPr>
        <w:tc>
          <w:tcPr>
            <w:tcW w:w="7998" w:type="dxa"/>
            <w:gridSpan w:val="3"/>
            <w:tcBorders>
              <w:top w:val="nil"/>
              <w:left w:val="nil"/>
              <w:bottom w:val="nil"/>
              <w:right w:val="nil"/>
            </w:tcBorders>
            <w:shd w:val="clear" w:color="auto" w:fill="FFFFFF"/>
            <w:vAlign w:val="center"/>
          </w:tcPr>
          <w:p w14:paraId="73EA239F"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010205"/>
              </w:rPr>
            </w:pPr>
            <w:r w:rsidRPr="00BF050C">
              <w:rPr>
                <w:rFonts w:ascii="Arial" w:eastAsia="SimSun" w:hAnsi="Arial" w:cs="Arial"/>
                <w:b/>
                <w:bCs/>
                <w:color w:val="010205"/>
              </w:rPr>
              <w:t>Notes</w:t>
            </w:r>
          </w:p>
        </w:tc>
      </w:tr>
      <w:tr w:rsidR="00BF050C" w:rsidRPr="00BF050C" w14:paraId="077EB427" w14:textId="77777777">
        <w:trPr>
          <w:cantSplit/>
        </w:trPr>
        <w:tc>
          <w:tcPr>
            <w:tcW w:w="5247" w:type="dxa"/>
            <w:gridSpan w:val="2"/>
            <w:tcBorders>
              <w:top w:val="nil"/>
              <w:left w:val="nil"/>
              <w:bottom w:val="single" w:sz="8" w:space="0" w:color="AEAEAE"/>
              <w:right w:val="nil"/>
            </w:tcBorders>
            <w:shd w:val="clear" w:color="auto" w:fill="E0E0E0"/>
          </w:tcPr>
          <w:p w14:paraId="68CACBE9"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Output Created</w:t>
            </w:r>
          </w:p>
        </w:tc>
        <w:tc>
          <w:tcPr>
            <w:tcW w:w="2751" w:type="dxa"/>
            <w:tcBorders>
              <w:top w:val="nil"/>
              <w:left w:val="nil"/>
              <w:bottom w:val="single" w:sz="8" w:space="0" w:color="AEAEAE"/>
              <w:right w:val="nil"/>
            </w:tcBorders>
            <w:shd w:val="clear" w:color="auto" w:fill="FFFFFF"/>
          </w:tcPr>
          <w:p w14:paraId="46FD8907"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10-JUL-2023 15:22:20</w:t>
            </w:r>
          </w:p>
        </w:tc>
      </w:tr>
      <w:tr w:rsidR="00BF050C" w:rsidRPr="00BF050C" w14:paraId="4D31CC3D" w14:textId="77777777">
        <w:trPr>
          <w:cantSplit/>
        </w:trPr>
        <w:tc>
          <w:tcPr>
            <w:tcW w:w="5247" w:type="dxa"/>
            <w:gridSpan w:val="2"/>
            <w:tcBorders>
              <w:top w:val="single" w:sz="8" w:space="0" w:color="AEAEAE"/>
              <w:left w:val="nil"/>
              <w:bottom w:val="single" w:sz="8" w:space="0" w:color="AEAEAE"/>
              <w:right w:val="nil"/>
            </w:tcBorders>
            <w:shd w:val="clear" w:color="auto" w:fill="E0E0E0"/>
          </w:tcPr>
          <w:p w14:paraId="22D1F125"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Comments</w:t>
            </w:r>
          </w:p>
        </w:tc>
        <w:tc>
          <w:tcPr>
            <w:tcW w:w="2751" w:type="dxa"/>
            <w:tcBorders>
              <w:top w:val="single" w:sz="8" w:space="0" w:color="AEAEAE"/>
              <w:left w:val="nil"/>
              <w:bottom w:val="single" w:sz="8" w:space="0" w:color="AEAEAE"/>
              <w:right w:val="nil"/>
            </w:tcBorders>
            <w:shd w:val="clear" w:color="auto" w:fill="FFFFFF"/>
          </w:tcPr>
          <w:p w14:paraId="6B1CDC06"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42ADD2A7" w14:textId="77777777">
        <w:trPr>
          <w:cantSplit/>
        </w:trPr>
        <w:tc>
          <w:tcPr>
            <w:tcW w:w="2530" w:type="dxa"/>
            <w:vMerge w:val="restart"/>
            <w:tcBorders>
              <w:top w:val="single" w:sz="8" w:space="0" w:color="AEAEAE"/>
              <w:left w:val="nil"/>
              <w:bottom w:val="single" w:sz="8" w:space="0" w:color="AEAEAE"/>
              <w:right w:val="nil"/>
            </w:tcBorders>
            <w:shd w:val="clear" w:color="auto" w:fill="E0E0E0"/>
          </w:tcPr>
          <w:p w14:paraId="0A7515F5"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Input</w:t>
            </w:r>
          </w:p>
        </w:tc>
        <w:tc>
          <w:tcPr>
            <w:tcW w:w="2717" w:type="dxa"/>
            <w:tcBorders>
              <w:top w:val="single" w:sz="8" w:space="0" w:color="AEAEAE"/>
              <w:left w:val="nil"/>
              <w:bottom w:val="single" w:sz="8" w:space="0" w:color="AEAEAE"/>
              <w:right w:val="nil"/>
            </w:tcBorders>
            <w:shd w:val="clear" w:color="auto" w:fill="E0E0E0"/>
          </w:tcPr>
          <w:p w14:paraId="48D80AA8"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Data</w:t>
            </w:r>
          </w:p>
        </w:tc>
        <w:tc>
          <w:tcPr>
            <w:tcW w:w="2751" w:type="dxa"/>
            <w:tcBorders>
              <w:top w:val="single" w:sz="8" w:space="0" w:color="AEAEAE"/>
              <w:left w:val="nil"/>
              <w:bottom w:val="single" w:sz="8" w:space="0" w:color="AEAEAE"/>
              <w:right w:val="nil"/>
            </w:tcBorders>
            <w:shd w:val="clear" w:color="auto" w:fill="FFFFFF"/>
          </w:tcPr>
          <w:p w14:paraId="231DA0C8"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D:\OGUNTUASEPhD DataLatest.sav</w:t>
            </w:r>
          </w:p>
        </w:tc>
      </w:tr>
      <w:tr w:rsidR="00BF050C" w:rsidRPr="00BF050C" w14:paraId="0342D5A3" w14:textId="77777777">
        <w:trPr>
          <w:cantSplit/>
        </w:trPr>
        <w:tc>
          <w:tcPr>
            <w:tcW w:w="2530" w:type="dxa"/>
            <w:vMerge/>
            <w:tcBorders>
              <w:top w:val="single" w:sz="8" w:space="0" w:color="AEAEAE"/>
              <w:left w:val="nil"/>
              <w:bottom w:val="single" w:sz="8" w:space="0" w:color="AEAEAE"/>
              <w:right w:val="nil"/>
            </w:tcBorders>
            <w:shd w:val="clear" w:color="auto" w:fill="E0E0E0"/>
          </w:tcPr>
          <w:p w14:paraId="21771AC6"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714AEA0E"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Active Dataset</w:t>
            </w:r>
          </w:p>
        </w:tc>
        <w:tc>
          <w:tcPr>
            <w:tcW w:w="2751" w:type="dxa"/>
            <w:tcBorders>
              <w:top w:val="single" w:sz="8" w:space="0" w:color="AEAEAE"/>
              <w:left w:val="nil"/>
              <w:bottom w:val="single" w:sz="8" w:space="0" w:color="AEAEAE"/>
              <w:right w:val="nil"/>
            </w:tcBorders>
            <w:shd w:val="clear" w:color="auto" w:fill="FFFFFF"/>
          </w:tcPr>
          <w:p w14:paraId="620209E7"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DataSet2</w:t>
            </w:r>
          </w:p>
        </w:tc>
      </w:tr>
      <w:tr w:rsidR="00BF050C" w:rsidRPr="00BF050C" w14:paraId="690C3DE2" w14:textId="77777777">
        <w:trPr>
          <w:cantSplit/>
        </w:trPr>
        <w:tc>
          <w:tcPr>
            <w:tcW w:w="2530" w:type="dxa"/>
            <w:vMerge/>
            <w:tcBorders>
              <w:top w:val="single" w:sz="8" w:space="0" w:color="AEAEAE"/>
              <w:left w:val="nil"/>
              <w:bottom w:val="single" w:sz="8" w:space="0" w:color="AEAEAE"/>
              <w:right w:val="nil"/>
            </w:tcBorders>
            <w:shd w:val="clear" w:color="auto" w:fill="E0E0E0"/>
          </w:tcPr>
          <w:p w14:paraId="360A8537"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4CA54EE5"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Filter</w:t>
            </w:r>
          </w:p>
        </w:tc>
        <w:tc>
          <w:tcPr>
            <w:tcW w:w="2751" w:type="dxa"/>
            <w:tcBorders>
              <w:top w:val="single" w:sz="8" w:space="0" w:color="AEAEAE"/>
              <w:left w:val="nil"/>
              <w:bottom w:val="single" w:sz="8" w:space="0" w:color="AEAEAE"/>
              <w:right w:val="nil"/>
            </w:tcBorders>
            <w:shd w:val="clear" w:color="auto" w:fill="FFFFFF"/>
          </w:tcPr>
          <w:p w14:paraId="7CD095B5"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&lt;none&gt;</w:t>
            </w:r>
          </w:p>
        </w:tc>
      </w:tr>
      <w:tr w:rsidR="00BF050C" w:rsidRPr="00BF050C" w14:paraId="596E0C11" w14:textId="77777777">
        <w:trPr>
          <w:cantSplit/>
        </w:trPr>
        <w:tc>
          <w:tcPr>
            <w:tcW w:w="2530" w:type="dxa"/>
            <w:vMerge/>
            <w:tcBorders>
              <w:top w:val="single" w:sz="8" w:space="0" w:color="AEAEAE"/>
              <w:left w:val="nil"/>
              <w:bottom w:val="single" w:sz="8" w:space="0" w:color="AEAEAE"/>
              <w:right w:val="nil"/>
            </w:tcBorders>
            <w:shd w:val="clear" w:color="auto" w:fill="E0E0E0"/>
          </w:tcPr>
          <w:p w14:paraId="15AEEE22"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72F23875"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Weight</w:t>
            </w:r>
          </w:p>
        </w:tc>
        <w:tc>
          <w:tcPr>
            <w:tcW w:w="2751" w:type="dxa"/>
            <w:tcBorders>
              <w:top w:val="single" w:sz="8" w:space="0" w:color="AEAEAE"/>
              <w:left w:val="nil"/>
              <w:bottom w:val="single" w:sz="8" w:space="0" w:color="AEAEAE"/>
              <w:right w:val="nil"/>
            </w:tcBorders>
            <w:shd w:val="clear" w:color="auto" w:fill="FFFFFF"/>
          </w:tcPr>
          <w:p w14:paraId="516CE3DA"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&lt;none&gt;</w:t>
            </w:r>
          </w:p>
        </w:tc>
      </w:tr>
      <w:tr w:rsidR="00BF050C" w:rsidRPr="00BF050C" w14:paraId="4B9D99E1" w14:textId="77777777">
        <w:trPr>
          <w:cantSplit/>
        </w:trPr>
        <w:tc>
          <w:tcPr>
            <w:tcW w:w="2530" w:type="dxa"/>
            <w:vMerge/>
            <w:tcBorders>
              <w:top w:val="single" w:sz="8" w:space="0" w:color="AEAEAE"/>
              <w:left w:val="nil"/>
              <w:bottom w:val="single" w:sz="8" w:space="0" w:color="AEAEAE"/>
              <w:right w:val="nil"/>
            </w:tcBorders>
            <w:shd w:val="clear" w:color="auto" w:fill="E0E0E0"/>
          </w:tcPr>
          <w:p w14:paraId="6DD1DB43"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26D5998B"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Split File</w:t>
            </w:r>
          </w:p>
        </w:tc>
        <w:tc>
          <w:tcPr>
            <w:tcW w:w="2751" w:type="dxa"/>
            <w:tcBorders>
              <w:top w:val="single" w:sz="8" w:space="0" w:color="AEAEAE"/>
              <w:left w:val="nil"/>
              <w:bottom w:val="single" w:sz="8" w:space="0" w:color="AEAEAE"/>
              <w:right w:val="nil"/>
            </w:tcBorders>
            <w:shd w:val="clear" w:color="auto" w:fill="FFFFFF"/>
          </w:tcPr>
          <w:p w14:paraId="6B703B3E"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&lt;none&gt;</w:t>
            </w:r>
          </w:p>
        </w:tc>
      </w:tr>
      <w:tr w:rsidR="00BF050C" w:rsidRPr="00BF050C" w14:paraId="5BAB99DF" w14:textId="77777777">
        <w:trPr>
          <w:cantSplit/>
        </w:trPr>
        <w:tc>
          <w:tcPr>
            <w:tcW w:w="2530" w:type="dxa"/>
            <w:vMerge/>
            <w:tcBorders>
              <w:top w:val="single" w:sz="8" w:space="0" w:color="AEAEAE"/>
              <w:left w:val="nil"/>
              <w:bottom w:val="single" w:sz="8" w:space="0" w:color="AEAEAE"/>
              <w:right w:val="nil"/>
            </w:tcBorders>
            <w:shd w:val="clear" w:color="auto" w:fill="E0E0E0"/>
          </w:tcPr>
          <w:p w14:paraId="78253D5A"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47AFA61F"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N of Rows in Working Data File</w:t>
            </w:r>
          </w:p>
        </w:tc>
        <w:tc>
          <w:tcPr>
            <w:tcW w:w="2751" w:type="dxa"/>
            <w:tcBorders>
              <w:top w:val="single" w:sz="8" w:space="0" w:color="AEAEAE"/>
              <w:left w:val="nil"/>
              <w:bottom w:val="single" w:sz="8" w:space="0" w:color="AEAEAE"/>
              <w:right w:val="nil"/>
            </w:tcBorders>
            <w:shd w:val="clear" w:color="auto" w:fill="FFFFFF"/>
          </w:tcPr>
          <w:p w14:paraId="3884D9FD"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364</w:t>
            </w:r>
          </w:p>
        </w:tc>
      </w:tr>
      <w:tr w:rsidR="00BF050C" w:rsidRPr="00BF050C" w14:paraId="5D4DE1FB" w14:textId="77777777">
        <w:trPr>
          <w:cantSplit/>
        </w:trPr>
        <w:tc>
          <w:tcPr>
            <w:tcW w:w="2530" w:type="dxa"/>
            <w:vMerge w:val="restart"/>
            <w:tcBorders>
              <w:top w:val="single" w:sz="8" w:space="0" w:color="AEAEAE"/>
              <w:left w:val="nil"/>
              <w:bottom w:val="single" w:sz="8" w:space="0" w:color="AEAEAE"/>
              <w:right w:val="nil"/>
            </w:tcBorders>
            <w:shd w:val="clear" w:color="auto" w:fill="E0E0E0"/>
          </w:tcPr>
          <w:p w14:paraId="613AED7B"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Missing Value Handling</w:t>
            </w:r>
          </w:p>
        </w:tc>
        <w:tc>
          <w:tcPr>
            <w:tcW w:w="2717" w:type="dxa"/>
            <w:tcBorders>
              <w:top w:val="single" w:sz="8" w:space="0" w:color="AEAEAE"/>
              <w:left w:val="nil"/>
              <w:bottom w:val="single" w:sz="8" w:space="0" w:color="AEAEAE"/>
              <w:right w:val="nil"/>
            </w:tcBorders>
            <w:shd w:val="clear" w:color="auto" w:fill="E0E0E0"/>
          </w:tcPr>
          <w:p w14:paraId="2CB56FFC"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Definition of Missing</w:t>
            </w:r>
          </w:p>
        </w:tc>
        <w:tc>
          <w:tcPr>
            <w:tcW w:w="2751" w:type="dxa"/>
            <w:tcBorders>
              <w:top w:val="single" w:sz="8" w:space="0" w:color="AEAEAE"/>
              <w:left w:val="nil"/>
              <w:bottom w:val="single" w:sz="8" w:space="0" w:color="AEAEAE"/>
              <w:right w:val="nil"/>
            </w:tcBorders>
            <w:shd w:val="clear" w:color="auto" w:fill="FFFFFF"/>
          </w:tcPr>
          <w:p w14:paraId="4795EA64"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User-defined missing values for dependent variables are treated as missing.</w:t>
            </w:r>
          </w:p>
        </w:tc>
      </w:tr>
      <w:tr w:rsidR="00BF050C" w:rsidRPr="00BF050C" w14:paraId="26094C25" w14:textId="77777777">
        <w:trPr>
          <w:cantSplit/>
        </w:trPr>
        <w:tc>
          <w:tcPr>
            <w:tcW w:w="2530" w:type="dxa"/>
            <w:vMerge/>
            <w:tcBorders>
              <w:top w:val="single" w:sz="8" w:space="0" w:color="AEAEAE"/>
              <w:left w:val="nil"/>
              <w:bottom w:val="single" w:sz="8" w:space="0" w:color="AEAEAE"/>
              <w:right w:val="nil"/>
            </w:tcBorders>
            <w:shd w:val="clear" w:color="auto" w:fill="E0E0E0"/>
          </w:tcPr>
          <w:p w14:paraId="0FE34A5B"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AEAEAE"/>
              <w:right w:val="nil"/>
            </w:tcBorders>
            <w:shd w:val="clear" w:color="auto" w:fill="E0E0E0"/>
          </w:tcPr>
          <w:p w14:paraId="1DA83551"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Cases Used</w:t>
            </w:r>
          </w:p>
        </w:tc>
        <w:tc>
          <w:tcPr>
            <w:tcW w:w="2751" w:type="dxa"/>
            <w:tcBorders>
              <w:top w:val="single" w:sz="8" w:space="0" w:color="AEAEAE"/>
              <w:left w:val="nil"/>
              <w:bottom w:val="single" w:sz="8" w:space="0" w:color="AEAEAE"/>
              <w:right w:val="nil"/>
            </w:tcBorders>
            <w:shd w:val="clear" w:color="auto" w:fill="FFFFFF"/>
          </w:tcPr>
          <w:p w14:paraId="59121700"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Statistics are based on cases with no missing values for any dependent variable or factor used.</w:t>
            </w:r>
          </w:p>
        </w:tc>
      </w:tr>
      <w:tr w:rsidR="00BF050C" w:rsidRPr="00BF050C" w14:paraId="1F0492C4" w14:textId="77777777">
        <w:trPr>
          <w:cantSplit/>
        </w:trPr>
        <w:tc>
          <w:tcPr>
            <w:tcW w:w="5247" w:type="dxa"/>
            <w:gridSpan w:val="2"/>
            <w:tcBorders>
              <w:top w:val="single" w:sz="8" w:space="0" w:color="AEAEAE"/>
              <w:left w:val="nil"/>
              <w:bottom w:val="single" w:sz="8" w:space="0" w:color="AEAEAE"/>
              <w:right w:val="nil"/>
            </w:tcBorders>
            <w:shd w:val="clear" w:color="auto" w:fill="E0E0E0"/>
          </w:tcPr>
          <w:p w14:paraId="4DBAE58E"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Syntax</w:t>
            </w:r>
          </w:p>
        </w:tc>
        <w:tc>
          <w:tcPr>
            <w:tcW w:w="2751" w:type="dxa"/>
            <w:tcBorders>
              <w:top w:val="single" w:sz="8" w:space="0" w:color="AEAEAE"/>
              <w:left w:val="nil"/>
              <w:bottom w:val="single" w:sz="8" w:space="0" w:color="AEAEAE"/>
              <w:right w:val="nil"/>
            </w:tcBorders>
            <w:shd w:val="clear" w:color="auto" w:fill="FFFFFF"/>
          </w:tcPr>
          <w:p w14:paraId="160568AE"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EXAMINE VARIABLES=FM</w:t>
            </w:r>
          </w:p>
          <w:p w14:paraId="688DAADC"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/PLOT HISTOGRAM NPPLOT</w:t>
            </w:r>
          </w:p>
          <w:p w14:paraId="1DE096FC"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/STATISTICS DESCRIPTIVES</w:t>
            </w:r>
          </w:p>
          <w:p w14:paraId="4C0D0BF3"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/CINTERVAL 95</w:t>
            </w:r>
          </w:p>
          <w:p w14:paraId="2B905148"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/MISSING LISTWISE</w:t>
            </w:r>
          </w:p>
          <w:p w14:paraId="5A8AEF20"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 xml:space="preserve">  /NOTOTAL.</w:t>
            </w:r>
          </w:p>
        </w:tc>
      </w:tr>
      <w:tr w:rsidR="00BF050C" w:rsidRPr="00BF050C" w14:paraId="4859D35E" w14:textId="77777777">
        <w:trPr>
          <w:cantSplit/>
        </w:trPr>
        <w:tc>
          <w:tcPr>
            <w:tcW w:w="2530" w:type="dxa"/>
            <w:vMerge w:val="restart"/>
            <w:tcBorders>
              <w:top w:val="single" w:sz="8" w:space="0" w:color="AEAEAE"/>
              <w:left w:val="nil"/>
              <w:bottom w:val="single" w:sz="8" w:space="0" w:color="152935"/>
              <w:right w:val="nil"/>
            </w:tcBorders>
            <w:shd w:val="clear" w:color="auto" w:fill="E0E0E0"/>
          </w:tcPr>
          <w:p w14:paraId="0D7F3183"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Resources</w:t>
            </w:r>
          </w:p>
        </w:tc>
        <w:tc>
          <w:tcPr>
            <w:tcW w:w="2717" w:type="dxa"/>
            <w:tcBorders>
              <w:top w:val="single" w:sz="8" w:space="0" w:color="AEAEAE"/>
              <w:left w:val="nil"/>
              <w:bottom w:val="single" w:sz="8" w:space="0" w:color="AEAEAE"/>
              <w:right w:val="nil"/>
            </w:tcBorders>
            <w:shd w:val="clear" w:color="auto" w:fill="E0E0E0"/>
          </w:tcPr>
          <w:p w14:paraId="639B2CEE"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Processor Time</w:t>
            </w:r>
          </w:p>
        </w:tc>
        <w:tc>
          <w:tcPr>
            <w:tcW w:w="2751" w:type="dxa"/>
            <w:tcBorders>
              <w:top w:val="single" w:sz="8" w:space="0" w:color="AEAEAE"/>
              <w:left w:val="nil"/>
              <w:bottom w:val="single" w:sz="8" w:space="0" w:color="AEAEAE"/>
              <w:right w:val="nil"/>
            </w:tcBorders>
            <w:shd w:val="clear" w:color="auto" w:fill="FFFFFF"/>
          </w:tcPr>
          <w:p w14:paraId="53178518"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00:00:01.22</w:t>
            </w:r>
          </w:p>
        </w:tc>
      </w:tr>
      <w:tr w:rsidR="00BF050C" w:rsidRPr="00BF050C" w14:paraId="673D024D" w14:textId="77777777">
        <w:trPr>
          <w:cantSplit/>
        </w:trPr>
        <w:tc>
          <w:tcPr>
            <w:tcW w:w="2530" w:type="dxa"/>
            <w:vMerge/>
            <w:tcBorders>
              <w:top w:val="single" w:sz="8" w:space="0" w:color="AEAEAE"/>
              <w:left w:val="nil"/>
              <w:bottom w:val="single" w:sz="8" w:space="0" w:color="152935"/>
              <w:right w:val="nil"/>
            </w:tcBorders>
            <w:shd w:val="clear" w:color="auto" w:fill="E0E0E0"/>
          </w:tcPr>
          <w:p w14:paraId="390E9B56"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717" w:type="dxa"/>
            <w:tcBorders>
              <w:top w:val="single" w:sz="8" w:space="0" w:color="AEAEAE"/>
              <w:left w:val="nil"/>
              <w:bottom w:val="single" w:sz="8" w:space="0" w:color="152935"/>
              <w:right w:val="nil"/>
            </w:tcBorders>
            <w:shd w:val="clear" w:color="auto" w:fill="E0E0E0"/>
          </w:tcPr>
          <w:p w14:paraId="0069F216"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Elapsed Time</w:t>
            </w:r>
          </w:p>
        </w:tc>
        <w:tc>
          <w:tcPr>
            <w:tcW w:w="2751" w:type="dxa"/>
            <w:tcBorders>
              <w:top w:val="single" w:sz="8" w:space="0" w:color="AEAEAE"/>
              <w:left w:val="nil"/>
              <w:bottom w:val="single" w:sz="8" w:space="0" w:color="152935"/>
              <w:right w:val="nil"/>
            </w:tcBorders>
            <w:shd w:val="clear" w:color="auto" w:fill="FFFFFF"/>
          </w:tcPr>
          <w:p w14:paraId="7B78E02C"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00:00:01.02</w:t>
            </w:r>
          </w:p>
        </w:tc>
      </w:tr>
    </w:tbl>
    <w:p w14:paraId="2A8E380A"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2D0898F9"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tbl>
      <w:tblPr>
        <w:tblW w:w="73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07"/>
        <w:gridCol w:w="2690"/>
        <w:gridCol w:w="1546"/>
        <w:gridCol w:w="1126"/>
        <w:gridCol w:w="1176"/>
      </w:tblGrid>
      <w:tr w:rsidR="00BF050C" w:rsidRPr="00BF050C" w14:paraId="0703F7A2" w14:textId="77777777">
        <w:trPr>
          <w:cantSplit/>
        </w:trPr>
        <w:tc>
          <w:tcPr>
            <w:tcW w:w="7343" w:type="dxa"/>
            <w:gridSpan w:val="5"/>
            <w:tcBorders>
              <w:top w:val="nil"/>
              <w:left w:val="nil"/>
              <w:bottom w:val="nil"/>
              <w:right w:val="nil"/>
            </w:tcBorders>
            <w:shd w:val="clear" w:color="auto" w:fill="FFFFFF"/>
            <w:vAlign w:val="center"/>
          </w:tcPr>
          <w:p w14:paraId="3DE14AEB" w14:textId="7DE8A768"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010205"/>
              </w:rPr>
            </w:pPr>
            <w:r w:rsidRPr="00BF050C">
              <w:rPr>
                <w:rFonts w:ascii="Arial" w:eastAsia="SimSun" w:hAnsi="Arial" w:cs="Arial"/>
                <w:b/>
                <w:bCs/>
                <w:color w:val="010205"/>
              </w:rPr>
              <w:t>Descriptive</w:t>
            </w:r>
          </w:p>
        </w:tc>
      </w:tr>
      <w:tr w:rsidR="00BF050C" w:rsidRPr="00BF050C" w14:paraId="0A3A3A8F" w14:textId="77777777">
        <w:trPr>
          <w:cantSplit/>
        </w:trPr>
        <w:tc>
          <w:tcPr>
            <w:tcW w:w="5041" w:type="dxa"/>
            <w:gridSpan w:val="3"/>
            <w:tcBorders>
              <w:top w:val="nil"/>
              <w:left w:val="nil"/>
              <w:bottom w:val="single" w:sz="8" w:space="0" w:color="152935"/>
              <w:right w:val="nil"/>
            </w:tcBorders>
            <w:shd w:val="clear" w:color="auto" w:fill="FFFFFF"/>
            <w:vAlign w:val="bottom"/>
          </w:tcPr>
          <w:p w14:paraId="3E3FC8A9"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1126" w:type="dxa"/>
            <w:tcBorders>
              <w:top w:val="nil"/>
              <w:left w:val="nil"/>
              <w:bottom w:val="single" w:sz="8" w:space="0" w:color="152935"/>
              <w:right w:val="nil"/>
            </w:tcBorders>
            <w:shd w:val="clear" w:color="auto" w:fill="FFFFFF"/>
            <w:vAlign w:val="bottom"/>
          </w:tcPr>
          <w:p w14:paraId="3001C7D3"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Statistic</w:t>
            </w:r>
          </w:p>
        </w:tc>
        <w:tc>
          <w:tcPr>
            <w:tcW w:w="1176" w:type="dxa"/>
            <w:tcBorders>
              <w:top w:val="nil"/>
              <w:left w:val="single" w:sz="8" w:space="0" w:color="E0E0E0"/>
              <w:bottom w:val="single" w:sz="8" w:space="0" w:color="152935"/>
              <w:right w:val="nil"/>
            </w:tcBorders>
            <w:shd w:val="clear" w:color="auto" w:fill="FFFFFF"/>
            <w:vAlign w:val="bottom"/>
          </w:tcPr>
          <w:p w14:paraId="4F5BA79E"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Std. Error</w:t>
            </w:r>
          </w:p>
        </w:tc>
      </w:tr>
      <w:tr w:rsidR="00BF050C" w:rsidRPr="00BF050C" w14:paraId="18EE4618" w14:textId="77777777">
        <w:trPr>
          <w:cantSplit/>
        </w:trPr>
        <w:tc>
          <w:tcPr>
            <w:tcW w:w="806" w:type="dxa"/>
            <w:vMerge w:val="restart"/>
            <w:tcBorders>
              <w:top w:val="single" w:sz="8" w:space="0" w:color="152935"/>
              <w:left w:val="nil"/>
              <w:bottom w:val="single" w:sz="8" w:space="0" w:color="152935"/>
              <w:right w:val="nil"/>
            </w:tcBorders>
            <w:shd w:val="clear" w:color="auto" w:fill="E0E0E0"/>
          </w:tcPr>
          <w:p w14:paraId="76E53179"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FM</w:t>
            </w:r>
          </w:p>
        </w:tc>
        <w:tc>
          <w:tcPr>
            <w:tcW w:w="4235" w:type="dxa"/>
            <w:gridSpan w:val="2"/>
            <w:tcBorders>
              <w:top w:val="single" w:sz="8" w:space="0" w:color="152935"/>
              <w:left w:val="nil"/>
              <w:bottom w:val="nil"/>
              <w:right w:val="nil"/>
            </w:tcBorders>
            <w:shd w:val="clear" w:color="auto" w:fill="E0E0E0"/>
          </w:tcPr>
          <w:p w14:paraId="51A7F1A2"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Mean</w:t>
            </w:r>
          </w:p>
        </w:tc>
        <w:tc>
          <w:tcPr>
            <w:tcW w:w="1126" w:type="dxa"/>
            <w:tcBorders>
              <w:top w:val="single" w:sz="8" w:space="0" w:color="152935"/>
              <w:left w:val="nil"/>
              <w:bottom w:val="nil"/>
              <w:right w:val="nil"/>
            </w:tcBorders>
            <w:shd w:val="clear" w:color="auto" w:fill="FFFFFF"/>
          </w:tcPr>
          <w:p w14:paraId="32EDA54D"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.4559</w:t>
            </w:r>
          </w:p>
        </w:tc>
        <w:tc>
          <w:tcPr>
            <w:tcW w:w="1176" w:type="dxa"/>
            <w:tcBorders>
              <w:top w:val="single" w:sz="8" w:space="0" w:color="152935"/>
              <w:left w:val="single" w:sz="8" w:space="0" w:color="E0E0E0"/>
              <w:bottom w:val="nil"/>
              <w:right w:val="nil"/>
            </w:tcBorders>
            <w:shd w:val="clear" w:color="auto" w:fill="FFFFFF"/>
          </w:tcPr>
          <w:p w14:paraId="61EB3F75"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.00294</w:t>
            </w:r>
          </w:p>
        </w:tc>
      </w:tr>
      <w:tr w:rsidR="00BF050C" w:rsidRPr="00BF050C" w14:paraId="28F6CF63" w14:textId="77777777">
        <w:trPr>
          <w:cantSplit/>
        </w:trPr>
        <w:tc>
          <w:tcPr>
            <w:tcW w:w="806" w:type="dxa"/>
            <w:vMerge/>
            <w:tcBorders>
              <w:top w:val="single" w:sz="8" w:space="0" w:color="152935"/>
              <w:left w:val="nil"/>
              <w:bottom w:val="single" w:sz="8" w:space="0" w:color="152935"/>
              <w:right w:val="nil"/>
            </w:tcBorders>
            <w:shd w:val="clear" w:color="auto" w:fill="E0E0E0"/>
          </w:tcPr>
          <w:p w14:paraId="0803D15A"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2689" w:type="dxa"/>
            <w:vMerge w:val="restart"/>
            <w:tcBorders>
              <w:top w:val="single" w:sz="8" w:space="0" w:color="AEAEAE"/>
              <w:left w:val="nil"/>
              <w:bottom w:val="nil"/>
              <w:right w:val="nil"/>
            </w:tcBorders>
            <w:shd w:val="clear" w:color="auto" w:fill="E0E0E0"/>
          </w:tcPr>
          <w:p w14:paraId="158319E1"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95% Confidence Interval for Mean</w:t>
            </w:r>
          </w:p>
        </w:tc>
        <w:tc>
          <w:tcPr>
            <w:tcW w:w="1546" w:type="dxa"/>
            <w:tcBorders>
              <w:top w:val="single" w:sz="8" w:space="0" w:color="AEAEAE"/>
              <w:left w:val="nil"/>
              <w:bottom w:val="single" w:sz="8" w:space="0" w:color="AEAEAE"/>
              <w:right w:val="nil"/>
            </w:tcBorders>
            <w:shd w:val="clear" w:color="auto" w:fill="E0E0E0"/>
          </w:tcPr>
          <w:p w14:paraId="61847858"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Lower Bound</w:t>
            </w:r>
          </w:p>
        </w:tc>
        <w:tc>
          <w:tcPr>
            <w:tcW w:w="1126" w:type="dxa"/>
            <w:tcBorders>
              <w:top w:val="single" w:sz="8" w:space="0" w:color="AEAEAE"/>
              <w:left w:val="nil"/>
              <w:bottom w:val="single" w:sz="8" w:space="0" w:color="AEAEAE"/>
              <w:right w:val="nil"/>
            </w:tcBorders>
            <w:shd w:val="clear" w:color="auto" w:fill="FFFFFF"/>
          </w:tcPr>
          <w:p w14:paraId="3209BD3C"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.4500</w:t>
            </w:r>
          </w:p>
        </w:tc>
        <w:tc>
          <w:tcPr>
            <w:tcW w:w="1176" w:type="dxa"/>
            <w:tcBorders>
              <w:top w:val="single" w:sz="8" w:space="0" w:color="AEAEAE"/>
              <w:left w:val="single" w:sz="8" w:space="0" w:color="E0E0E0"/>
              <w:bottom w:val="single" w:sz="8" w:space="0" w:color="AEAEAE"/>
              <w:right w:val="nil"/>
            </w:tcBorders>
            <w:shd w:val="clear" w:color="auto" w:fill="FFFFFF"/>
            <w:vAlign w:val="center"/>
          </w:tcPr>
          <w:p w14:paraId="3AAD648A"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2D67B99D" w14:textId="77777777">
        <w:trPr>
          <w:cantSplit/>
        </w:trPr>
        <w:tc>
          <w:tcPr>
            <w:tcW w:w="806" w:type="dxa"/>
            <w:vMerge/>
            <w:tcBorders>
              <w:top w:val="single" w:sz="8" w:space="0" w:color="152935"/>
              <w:left w:val="nil"/>
              <w:bottom w:val="single" w:sz="8" w:space="0" w:color="152935"/>
              <w:right w:val="nil"/>
            </w:tcBorders>
            <w:shd w:val="clear" w:color="auto" w:fill="E0E0E0"/>
          </w:tcPr>
          <w:p w14:paraId="1F7EC6DC"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2689" w:type="dxa"/>
            <w:vMerge/>
            <w:tcBorders>
              <w:top w:val="single" w:sz="8" w:space="0" w:color="AEAEAE"/>
              <w:left w:val="nil"/>
              <w:bottom w:val="nil"/>
              <w:right w:val="nil"/>
            </w:tcBorders>
            <w:shd w:val="clear" w:color="auto" w:fill="E0E0E0"/>
          </w:tcPr>
          <w:p w14:paraId="5D9F9ABF"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1546" w:type="dxa"/>
            <w:tcBorders>
              <w:top w:val="single" w:sz="8" w:space="0" w:color="AEAEAE"/>
              <w:left w:val="nil"/>
              <w:bottom w:val="nil"/>
              <w:right w:val="nil"/>
            </w:tcBorders>
            <w:shd w:val="clear" w:color="auto" w:fill="E0E0E0"/>
          </w:tcPr>
          <w:p w14:paraId="4F006D66"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Upper Bound</w:t>
            </w:r>
          </w:p>
        </w:tc>
        <w:tc>
          <w:tcPr>
            <w:tcW w:w="1126" w:type="dxa"/>
            <w:tcBorders>
              <w:top w:val="single" w:sz="8" w:space="0" w:color="AEAEAE"/>
              <w:left w:val="nil"/>
              <w:bottom w:val="nil"/>
              <w:right w:val="nil"/>
            </w:tcBorders>
            <w:shd w:val="clear" w:color="auto" w:fill="FFFFFF"/>
          </w:tcPr>
          <w:p w14:paraId="5E71BDFD"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.4618</w:t>
            </w:r>
          </w:p>
        </w:tc>
        <w:tc>
          <w:tcPr>
            <w:tcW w:w="1176" w:type="dxa"/>
            <w:tcBorders>
              <w:top w:val="single" w:sz="8" w:space="0" w:color="AEAEAE"/>
              <w:left w:val="single" w:sz="8" w:space="0" w:color="E0E0E0"/>
              <w:bottom w:val="nil"/>
              <w:right w:val="nil"/>
            </w:tcBorders>
            <w:shd w:val="clear" w:color="auto" w:fill="FFFFFF"/>
            <w:vAlign w:val="center"/>
          </w:tcPr>
          <w:p w14:paraId="4C928E3E"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75BD95ED" w14:textId="77777777">
        <w:trPr>
          <w:cantSplit/>
        </w:trPr>
        <w:tc>
          <w:tcPr>
            <w:tcW w:w="806" w:type="dxa"/>
            <w:vMerge/>
            <w:tcBorders>
              <w:top w:val="single" w:sz="8" w:space="0" w:color="152935"/>
              <w:left w:val="nil"/>
              <w:bottom w:val="single" w:sz="8" w:space="0" w:color="152935"/>
              <w:right w:val="nil"/>
            </w:tcBorders>
            <w:shd w:val="clear" w:color="auto" w:fill="E0E0E0"/>
          </w:tcPr>
          <w:p w14:paraId="7F4894BF"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1E7F65FD"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5% Trimmed Mean</w:t>
            </w:r>
          </w:p>
        </w:tc>
        <w:tc>
          <w:tcPr>
            <w:tcW w:w="1126" w:type="dxa"/>
            <w:tcBorders>
              <w:top w:val="single" w:sz="8" w:space="0" w:color="AEAEAE"/>
              <w:left w:val="nil"/>
              <w:bottom w:val="nil"/>
              <w:right w:val="nil"/>
            </w:tcBorders>
            <w:shd w:val="clear" w:color="auto" w:fill="FFFFFF"/>
          </w:tcPr>
          <w:p w14:paraId="18786577"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.4569</w:t>
            </w:r>
          </w:p>
        </w:tc>
        <w:tc>
          <w:tcPr>
            <w:tcW w:w="1176" w:type="dxa"/>
            <w:tcBorders>
              <w:top w:val="single" w:sz="8" w:space="0" w:color="AEAEAE"/>
              <w:left w:val="single" w:sz="8" w:space="0" w:color="E0E0E0"/>
              <w:bottom w:val="nil"/>
              <w:right w:val="nil"/>
            </w:tcBorders>
            <w:shd w:val="clear" w:color="auto" w:fill="FFFFFF"/>
            <w:vAlign w:val="center"/>
          </w:tcPr>
          <w:p w14:paraId="5DD955CE"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575B34D7" w14:textId="77777777">
        <w:trPr>
          <w:cantSplit/>
        </w:trPr>
        <w:tc>
          <w:tcPr>
            <w:tcW w:w="806" w:type="dxa"/>
            <w:vMerge/>
            <w:tcBorders>
              <w:top w:val="single" w:sz="8" w:space="0" w:color="152935"/>
              <w:left w:val="nil"/>
              <w:bottom w:val="single" w:sz="8" w:space="0" w:color="152935"/>
              <w:right w:val="nil"/>
            </w:tcBorders>
            <w:shd w:val="clear" w:color="auto" w:fill="E0E0E0"/>
          </w:tcPr>
          <w:p w14:paraId="052D99FD"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4179402C"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Median</w:t>
            </w:r>
          </w:p>
        </w:tc>
        <w:tc>
          <w:tcPr>
            <w:tcW w:w="1126" w:type="dxa"/>
            <w:tcBorders>
              <w:top w:val="single" w:sz="8" w:space="0" w:color="AEAEAE"/>
              <w:left w:val="nil"/>
              <w:bottom w:val="nil"/>
              <w:right w:val="nil"/>
            </w:tcBorders>
            <w:shd w:val="clear" w:color="auto" w:fill="FFFFFF"/>
          </w:tcPr>
          <w:p w14:paraId="639FB9D7"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.4621</w:t>
            </w:r>
          </w:p>
        </w:tc>
        <w:tc>
          <w:tcPr>
            <w:tcW w:w="1176" w:type="dxa"/>
            <w:tcBorders>
              <w:top w:val="single" w:sz="8" w:space="0" w:color="AEAEAE"/>
              <w:left w:val="single" w:sz="8" w:space="0" w:color="E0E0E0"/>
              <w:bottom w:val="nil"/>
              <w:right w:val="nil"/>
            </w:tcBorders>
            <w:shd w:val="clear" w:color="auto" w:fill="FFFFFF"/>
            <w:vAlign w:val="center"/>
          </w:tcPr>
          <w:p w14:paraId="01A94F7E"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5A931682" w14:textId="77777777">
        <w:trPr>
          <w:cantSplit/>
        </w:trPr>
        <w:tc>
          <w:tcPr>
            <w:tcW w:w="806" w:type="dxa"/>
            <w:vMerge/>
            <w:tcBorders>
              <w:top w:val="single" w:sz="8" w:space="0" w:color="152935"/>
              <w:left w:val="nil"/>
              <w:bottom w:val="single" w:sz="8" w:space="0" w:color="152935"/>
              <w:right w:val="nil"/>
            </w:tcBorders>
            <w:shd w:val="clear" w:color="auto" w:fill="E0E0E0"/>
          </w:tcPr>
          <w:p w14:paraId="6107126B"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675A70E7"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Variance</w:t>
            </w:r>
          </w:p>
        </w:tc>
        <w:tc>
          <w:tcPr>
            <w:tcW w:w="1126" w:type="dxa"/>
            <w:tcBorders>
              <w:top w:val="single" w:sz="8" w:space="0" w:color="AEAEAE"/>
              <w:left w:val="nil"/>
              <w:bottom w:val="nil"/>
              <w:right w:val="nil"/>
            </w:tcBorders>
            <w:shd w:val="clear" w:color="auto" w:fill="FFFFFF"/>
          </w:tcPr>
          <w:p w14:paraId="13AA4C8D"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.001</w:t>
            </w:r>
          </w:p>
        </w:tc>
        <w:tc>
          <w:tcPr>
            <w:tcW w:w="1176" w:type="dxa"/>
            <w:tcBorders>
              <w:top w:val="single" w:sz="8" w:space="0" w:color="AEAEAE"/>
              <w:left w:val="single" w:sz="8" w:space="0" w:color="E0E0E0"/>
              <w:bottom w:val="nil"/>
              <w:right w:val="nil"/>
            </w:tcBorders>
            <w:shd w:val="clear" w:color="auto" w:fill="FFFFFF"/>
            <w:vAlign w:val="center"/>
          </w:tcPr>
          <w:p w14:paraId="07476FA7"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633AF790" w14:textId="77777777">
        <w:trPr>
          <w:cantSplit/>
        </w:trPr>
        <w:tc>
          <w:tcPr>
            <w:tcW w:w="806" w:type="dxa"/>
            <w:vMerge/>
            <w:tcBorders>
              <w:top w:val="single" w:sz="8" w:space="0" w:color="152935"/>
              <w:left w:val="nil"/>
              <w:bottom w:val="single" w:sz="8" w:space="0" w:color="152935"/>
              <w:right w:val="nil"/>
            </w:tcBorders>
            <w:shd w:val="clear" w:color="auto" w:fill="E0E0E0"/>
          </w:tcPr>
          <w:p w14:paraId="57D365F2"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63FAE441"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Std. Deviation</w:t>
            </w:r>
          </w:p>
        </w:tc>
        <w:tc>
          <w:tcPr>
            <w:tcW w:w="1126" w:type="dxa"/>
            <w:tcBorders>
              <w:top w:val="single" w:sz="8" w:space="0" w:color="AEAEAE"/>
              <w:left w:val="nil"/>
              <w:bottom w:val="nil"/>
              <w:right w:val="nil"/>
            </w:tcBorders>
            <w:shd w:val="clear" w:color="auto" w:fill="FFFFFF"/>
          </w:tcPr>
          <w:p w14:paraId="2B138EAC"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.02295</w:t>
            </w:r>
          </w:p>
        </w:tc>
        <w:tc>
          <w:tcPr>
            <w:tcW w:w="1176" w:type="dxa"/>
            <w:tcBorders>
              <w:top w:val="single" w:sz="8" w:space="0" w:color="AEAEAE"/>
              <w:left w:val="single" w:sz="8" w:space="0" w:color="E0E0E0"/>
              <w:bottom w:val="nil"/>
              <w:right w:val="nil"/>
            </w:tcBorders>
            <w:shd w:val="clear" w:color="auto" w:fill="FFFFFF"/>
            <w:vAlign w:val="center"/>
          </w:tcPr>
          <w:p w14:paraId="28551608"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7D7843C7" w14:textId="77777777">
        <w:trPr>
          <w:cantSplit/>
        </w:trPr>
        <w:tc>
          <w:tcPr>
            <w:tcW w:w="806" w:type="dxa"/>
            <w:vMerge/>
            <w:tcBorders>
              <w:top w:val="single" w:sz="8" w:space="0" w:color="152935"/>
              <w:left w:val="nil"/>
              <w:bottom w:val="single" w:sz="8" w:space="0" w:color="152935"/>
              <w:right w:val="nil"/>
            </w:tcBorders>
            <w:shd w:val="clear" w:color="auto" w:fill="E0E0E0"/>
          </w:tcPr>
          <w:p w14:paraId="6838342A"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4F361BD4"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Minimum</w:t>
            </w:r>
          </w:p>
        </w:tc>
        <w:tc>
          <w:tcPr>
            <w:tcW w:w="1126" w:type="dxa"/>
            <w:tcBorders>
              <w:top w:val="single" w:sz="8" w:space="0" w:color="AEAEAE"/>
              <w:left w:val="nil"/>
              <w:bottom w:val="nil"/>
              <w:right w:val="nil"/>
            </w:tcBorders>
            <w:shd w:val="clear" w:color="auto" w:fill="FFFFFF"/>
          </w:tcPr>
          <w:p w14:paraId="69D6756C"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.40</w:t>
            </w:r>
          </w:p>
        </w:tc>
        <w:tc>
          <w:tcPr>
            <w:tcW w:w="1176" w:type="dxa"/>
            <w:tcBorders>
              <w:top w:val="single" w:sz="8" w:space="0" w:color="AEAEAE"/>
              <w:left w:val="single" w:sz="8" w:space="0" w:color="E0E0E0"/>
              <w:bottom w:val="nil"/>
              <w:right w:val="nil"/>
            </w:tcBorders>
            <w:shd w:val="clear" w:color="auto" w:fill="FFFFFF"/>
            <w:vAlign w:val="center"/>
          </w:tcPr>
          <w:p w14:paraId="63638F2B"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55694ECE" w14:textId="77777777">
        <w:trPr>
          <w:cantSplit/>
        </w:trPr>
        <w:tc>
          <w:tcPr>
            <w:tcW w:w="806" w:type="dxa"/>
            <w:vMerge/>
            <w:tcBorders>
              <w:top w:val="single" w:sz="8" w:space="0" w:color="152935"/>
              <w:left w:val="nil"/>
              <w:bottom w:val="single" w:sz="8" w:space="0" w:color="152935"/>
              <w:right w:val="nil"/>
            </w:tcBorders>
            <w:shd w:val="clear" w:color="auto" w:fill="E0E0E0"/>
          </w:tcPr>
          <w:p w14:paraId="09CD1D5C"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1CEC13D6"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Maximum</w:t>
            </w:r>
          </w:p>
        </w:tc>
        <w:tc>
          <w:tcPr>
            <w:tcW w:w="1126" w:type="dxa"/>
            <w:tcBorders>
              <w:top w:val="single" w:sz="8" w:space="0" w:color="AEAEAE"/>
              <w:left w:val="nil"/>
              <w:bottom w:val="nil"/>
              <w:right w:val="nil"/>
            </w:tcBorders>
            <w:shd w:val="clear" w:color="auto" w:fill="FFFFFF"/>
          </w:tcPr>
          <w:p w14:paraId="27C1C22C"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.49</w:t>
            </w:r>
          </w:p>
        </w:tc>
        <w:tc>
          <w:tcPr>
            <w:tcW w:w="1176" w:type="dxa"/>
            <w:tcBorders>
              <w:top w:val="single" w:sz="8" w:space="0" w:color="AEAEAE"/>
              <w:left w:val="single" w:sz="8" w:space="0" w:color="E0E0E0"/>
              <w:bottom w:val="nil"/>
              <w:right w:val="nil"/>
            </w:tcBorders>
            <w:shd w:val="clear" w:color="auto" w:fill="FFFFFF"/>
            <w:vAlign w:val="center"/>
          </w:tcPr>
          <w:p w14:paraId="4F42EC1F"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5DEC6057" w14:textId="77777777">
        <w:trPr>
          <w:cantSplit/>
        </w:trPr>
        <w:tc>
          <w:tcPr>
            <w:tcW w:w="806" w:type="dxa"/>
            <w:vMerge/>
            <w:tcBorders>
              <w:top w:val="single" w:sz="8" w:space="0" w:color="152935"/>
              <w:left w:val="nil"/>
              <w:bottom w:val="single" w:sz="8" w:space="0" w:color="152935"/>
              <w:right w:val="nil"/>
            </w:tcBorders>
            <w:shd w:val="clear" w:color="auto" w:fill="E0E0E0"/>
          </w:tcPr>
          <w:p w14:paraId="4401241B"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7AD2EF87"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Range</w:t>
            </w:r>
          </w:p>
        </w:tc>
        <w:tc>
          <w:tcPr>
            <w:tcW w:w="1126" w:type="dxa"/>
            <w:tcBorders>
              <w:top w:val="single" w:sz="8" w:space="0" w:color="AEAEAE"/>
              <w:left w:val="nil"/>
              <w:bottom w:val="nil"/>
              <w:right w:val="nil"/>
            </w:tcBorders>
            <w:shd w:val="clear" w:color="auto" w:fill="FFFFFF"/>
          </w:tcPr>
          <w:p w14:paraId="093C1870"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.09</w:t>
            </w:r>
          </w:p>
        </w:tc>
        <w:tc>
          <w:tcPr>
            <w:tcW w:w="1176" w:type="dxa"/>
            <w:tcBorders>
              <w:top w:val="single" w:sz="8" w:space="0" w:color="AEAEAE"/>
              <w:left w:val="single" w:sz="8" w:space="0" w:color="E0E0E0"/>
              <w:bottom w:val="nil"/>
              <w:right w:val="nil"/>
            </w:tcBorders>
            <w:shd w:val="clear" w:color="auto" w:fill="FFFFFF"/>
            <w:vAlign w:val="center"/>
          </w:tcPr>
          <w:p w14:paraId="6182470B"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362B6745" w14:textId="77777777">
        <w:trPr>
          <w:cantSplit/>
        </w:trPr>
        <w:tc>
          <w:tcPr>
            <w:tcW w:w="806" w:type="dxa"/>
            <w:vMerge/>
            <w:tcBorders>
              <w:top w:val="single" w:sz="8" w:space="0" w:color="152935"/>
              <w:left w:val="nil"/>
              <w:bottom w:val="single" w:sz="8" w:space="0" w:color="152935"/>
              <w:right w:val="nil"/>
            </w:tcBorders>
            <w:shd w:val="clear" w:color="auto" w:fill="E0E0E0"/>
          </w:tcPr>
          <w:p w14:paraId="5038C04C"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2C360385"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Interquartile Range</w:t>
            </w:r>
          </w:p>
        </w:tc>
        <w:tc>
          <w:tcPr>
            <w:tcW w:w="1126" w:type="dxa"/>
            <w:tcBorders>
              <w:top w:val="single" w:sz="8" w:space="0" w:color="AEAEAE"/>
              <w:left w:val="nil"/>
              <w:bottom w:val="nil"/>
              <w:right w:val="nil"/>
            </w:tcBorders>
            <w:shd w:val="clear" w:color="auto" w:fill="FFFFFF"/>
          </w:tcPr>
          <w:p w14:paraId="2F31CBFA"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.04</w:t>
            </w:r>
          </w:p>
        </w:tc>
        <w:tc>
          <w:tcPr>
            <w:tcW w:w="1176" w:type="dxa"/>
            <w:tcBorders>
              <w:top w:val="single" w:sz="8" w:space="0" w:color="AEAEAE"/>
              <w:left w:val="single" w:sz="8" w:space="0" w:color="E0E0E0"/>
              <w:bottom w:val="nil"/>
              <w:right w:val="nil"/>
            </w:tcBorders>
            <w:shd w:val="clear" w:color="auto" w:fill="FFFFFF"/>
            <w:vAlign w:val="center"/>
          </w:tcPr>
          <w:p w14:paraId="246AF450"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r>
      <w:tr w:rsidR="00BF050C" w:rsidRPr="00BF050C" w14:paraId="0937E760" w14:textId="77777777">
        <w:trPr>
          <w:cantSplit/>
        </w:trPr>
        <w:tc>
          <w:tcPr>
            <w:tcW w:w="806" w:type="dxa"/>
            <w:vMerge/>
            <w:tcBorders>
              <w:top w:val="single" w:sz="8" w:space="0" w:color="152935"/>
              <w:left w:val="nil"/>
              <w:bottom w:val="single" w:sz="8" w:space="0" w:color="152935"/>
              <w:right w:val="nil"/>
            </w:tcBorders>
            <w:shd w:val="clear" w:color="auto" w:fill="E0E0E0"/>
          </w:tcPr>
          <w:p w14:paraId="3A25A379"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4235" w:type="dxa"/>
            <w:gridSpan w:val="2"/>
            <w:tcBorders>
              <w:top w:val="single" w:sz="8" w:space="0" w:color="AEAEAE"/>
              <w:left w:val="nil"/>
              <w:bottom w:val="nil"/>
              <w:right w:val="nil"/>
            </w:tcBorders>
            <w:shd w:val="clear" w:color="auto" w:fill="E0E0E0"/>
          </w:tcPr>
          <w:p w14:paraId="50FD37E4"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Skewness</w:t>
            </w:r>
          </w:p>
        </w:tc>
        <w:tc>
          <w:tcPr>
            <w:tcW w:w="1126" w:type="dxa"/>
            <w:tcBorders>
              <w:top w:val="single" w:sz="8" w:space="0" w:color="AEAEAE"/>
              <w:left w:val="nil"/>
              <w:bottom w:val="nil"/>
              <w:right w:val="nil"/>
            </w:tcBorders>
            <w:shd w:val="clear" w:color="auto" w:fill="FFFFFF"/>
          </w:tcPr>
          <w:p w14:paraId="1D5604FD"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-.529</w:t>
            </w:r>
          </w:p>
        </w:tc>
        <w:tc>
          <w:tcPr>
            <w:tcW w:w="1176" w:type="dxa"/>
            <w:tcBorders>
              <w:top w:val="single" w:sz="8" w:space="0" w:color="AEAEAE"/>
              <w:left w:val="single" w:sz="8" w:space="0" w:color="E0E0E0"/>
              <w:bottom w:val="nil"/>
              <w:right w:val="nil"/>
            </w:tcBorders>
            <w:shd w:val="clear" w:color="auto" w:fill="FFFFFF"/>
          </w:tcPr>
          <w:p w14:paraId="080A2B9D"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.306</w:t>
            </w:r>
          </w:p>
        </w:tc>
      </w:tr>
      <w:tr w:rsidR="00BF050C" w:rsidRPr="00BF050C" w14:paraId="55BCE0F9" w14:textId="77777777">
        <w:trPr>
          <w:cantSplit/>
        </w:trPr>
        <w:tc>
          <w:tcPr>
            <w:tcW w:w="806" w:type="dxa"/>
            <w:vMerge/>
            <w:tcBorders>
              <w:top w:val="single" w:sz="8" w:space="0" w:color="152935"/>
              <w:left w:val="nil"/>
              <w:bottom w:val="single" w:sz="8" w:space="0" w:color="152935"/>
              <w:right w:val="nil"/>
            </w:tcBorders>
            <w:shd w:val="clear" w:color="auto" w:fill="E0E0E0"/>
          </w:tcPr>
          <w:p w14:paraId="40B41056"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10205"/>
                <w:sz w:val="18"/>
                <w:szCs w:val="18"/>
              </w:rPr>
            </w:pPr>
          </w:p>
        </w:tc>
        <w:tc>
          <w:tcPr>
            <w:tcW w:w="4235" w:type="dxa"/>
            <w:gridSpan w:val="2"/>
            <w:tcBorders>
              <w:top w:val="single" w:sz="8" w:space="0" w:color="AEAEAE"/>
              <w:left w:val="nil"/>
              <w:bottom w:val="single" w:sz="8" w:space="0" w:color="152935"/>
              <w:right w:val="nil"/>
            </w:tcBorders>
            <w:shd w:val="clear" w:color="auto" w:fill="E0E0E0"/>
          </w:tcPr>
          <w:p w14:paraId="56E39180"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Kurtosis</w:t>
            </w:r>
          </w:p>
        </w:tc>
        <w:tc>
          <w:tcPr>
            <w:tcW w:w="1126" w:type="dxa"/>
            <w:tcBorders>
              <w:top w:val="single" w:sz="8" w:space="0" w:color="AEAEAE"/>
              <w:left w:val="nil"/>
              <w:bottom w:val="single" w:sz="8" w:space="0" w:color="152935"/>
              <w:right w:val="nil"/>
            </w:tcBorders>
            <w:shd w:val="clear" w:color="auto" w:fill="FFFFFF"/>
          </w:tcPr>
          <w:p w14:paraId="7351C8AB"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-.681</w:t>
            </w:r>
          </w:p>
        </w:tc>
        <w:tc>
          <w:tcPr>
            <w:tcW w:w="1176" w:type="dxa"/>
            <w:tcBorders>
              <w:top w:val="single" w:sz="8" w:space="0" w:color="AEAEAE"/>
              <w:left w:val="single" w:sz="8" w:space="0" w:color="E0E0E0"/>
              <w:bottom w:val="single" w:sz="8" w:space="0" w:color="152935"/>
              <w:right w:val="nil"/>
            </w:tcBorders>
            <w:shd w:val="clear" w:color="auto" w:fill="FFFFFF"/>
          </w:tcPr>
          <w:p w14:paraId="238C3AEA"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.604</w:t>
            </w:r>
          </w:p>
        </w:tc>
      </w:tr>
    </w:tbl>
    <w:p w14:paraId="4A0F929D"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527868ED"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tbl>
      <w:tblPr>
        <w:tblW w:w="75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07"/>
        <w:gridCol w:w="1126"/>
        <w:gridCol w:w="1126"/>
        <w:gridCol w:w="1126"/>
        <w:gridCol w:w="1126"/>
        <w:gridCol w:w="1126"/>
        <w:gridCol w:w="1126"/>
      </w:tblGrid>
      <w:tr w:rsidR="00BF050C" w:rsidRPr="00BF050C" w14:paraId="67411597" w14:textId="77777777">
        <w:trPr>
          <w:cantSplit/>
        </w:trPr>
        <w:tc>
          <w:tcPr>
            <w:tcW w:w="7562" w:type="dxa"/>
            <w:gridSpan w:val="7"/>
            <w:tcBorders>
              <w:top w:val="nil"/>
              <w:left w:val="nil"/>
              <w:bottom w:val="nil"/>
              <w:right w:val="nil"/>
            </w:tcBorders>
            <w:shd w:val="clear" w:color="auto" w:fill="FFFFFF"/>
            <w:vAlign w:val="center"/>
          </w:tcPr>
          <w:p w14:paraId="705E2868"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010205"/>
              </w:rPr>
            </w:pPr>
            <w:r w:rsidRPr="00BF050C">
              <w:rPr>
                <w:rFonts w:ascii="Arial" w:eastAsia="SimSun" w:hAnsi="Arial" w:cs="Arial"/>
                <w:b/>
                <w:bCs/>
                <w:color w:val="010205"/>
              </w:rPr>
              <w:t>Tests of Normality</w:t>
            </w:r>
          </w:p>
        </w:tc>
      </w:tr>
      <w:tr w:rsidR="00BF050C" w:rsidRPr="00BF050C" w14:paraId="19FC444F" w14:textId="77777777">
        <w:trPr>
          <w:cantSplit/>
        </w:trPr>
        <w:tc>
          <w:tcPr>
            <w:tcW w:w="806" w:type="dxa"/>
            <w:vMerge w:val="restart"/>
            <w:tcBorders>
              <w:top w:val="nil"/>
              <w:left w:val="nil"/>
              <w:bottom w:val="nil"/>
              <w:right w:val="nil"/>
            </w:tcBorders>
            <w:shd w:val="clear" w:color="auto" w:fill="FFFFFF"/>
            <w:vAlign w:val="bottom"/>
          </w:tcPr>
          <w:p w14:paraId="46E62CC7"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tc>
        <w:tc>
          <w:tcPr>
            <w:tcW w:w="3378" w:type="dxa"/>
            <w:gridSpan w:val="3"/>
            <w:tcBorders>
              <w:top w:val="nil"/>
              <w:left w:val="nil"/>
              <w:bottom w:val="nil"/>
              <w:right w:val="nil"/>
            </w:tcBorders>
            <w:shd w:val="clear" w:color="auto" w:fill="FFFFFF"/>
            <w:vAlign w:val="bottom"/>
          </w:tcPr>
          <w:p w14:paraId="0750AFDA"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Kolmogorov-Smirnov</w:t>
            </w:r>
            <w:r w:rsidRPr="00BF050C">
              <w:rPr>
                <w:rFonts w:ascii="Arial" w:eastAsia="SimSun" w:hAnsi="Arial" w:cs="Arial"/>
                <w:color w:val="264A60"/>
                <w:sz w:val="18"/>
                <w:szCs w:val="18"/>
                <w:vertAlign w:val="superscript"/>
              </w:rPr>
              <w:t>a</w:t>
            </w:r>
          </w:p>
        </w:tc>
        <w:tc>
          <w:tcPr>
            <w:tcW w:w="3378" w:type="dxa"/>
            <w:gridSpan w:val="3"/>
            <w:tcBorders>
              <w:top w:val="nil"/>
              <w:left w:val="single" w:sz="8" w:space="0" w:color="E0E0E0"/>
              <w:bottom w:val="nil"/>
              <w:right w:val="nil"/>
            </w:tcBorders>
            <w:shd w:val="clear" w:color="auto" w:fill="FFFFFF"/>
            <w:vAlign w:val="bottom"/>
          </w:tcPr>
          <w:p w14:paraId="3D7704B4"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Shapiro-Wilk</w:t>
            </w:r>
          </w:p>
        </w:tc>
      </w:tr>
      <w:tr w:rsidR="00BF050C" w:rsidRPr="00BF050C" w14:paraId="6B96B398" w14:textId="77777777">
        <w:trPr>
          <w:cantSplit/>
        </w:trPr>
        <w:tc>
          <w:tcPr>
            <w:tcW w:w="806" w:type="dxa"/>
            <w:vMerge/>
            <w:tcBorders>
              <w:top w:val="nil"/>
              <w:left w:val="nil"/>
              <w:bottom w:val="nil"/>
              <w:right w:val="nil"/>
            </w:tcBorders>
            <w:shd w:val="clear" w:color="auto" w:fill="FFFFFF"/>
            <w:vAlign w:val="bottom"/>
          </w:tcPr>
          <w:p w14:paraId="7DD55925"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264A60"/>
                <w:sz w:val="18"/>
                <w:szCs w:val="18"/>
              </w:rPr>
            </w:pPr>
          </w:p>
        </w:tc>
        <w:tc>
          <w:tcPr>
            <w:tcW w:w="1126" w:type="dxa"/>
            <w:tcBorders>
              <w:top w:val="nil"/>
              <w:left w:val="nil"/>
              <w:bottom w:val="single" w:sz="8" w:space="0" w:color="152935"/>
              <w:right w:val="single" w:sz="8" w:space="0" w:color="E0E0E0"/>
            </w:tcBorders>
            <w:shd w:val="clear" w:color="auto" w:fill="FFFFFF"/>
            <w:vAlign w:val="bottom"/>
          </w:tcPr>
          <w:p w14:paraId="7CC9E775"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Statistic</w:t>
            </w:r>
          </w:p>
        </w:tc>
        <w:tc>
          <w:tcPr>
            <w:tcW w:w="1126" w:type="dxa"/>
            <w:tcBorders>
              <w:top w:val="nil"/>
              <w:left w:val="single" w:sz="8" w:space="0" w:color="E0E0E0"/>
              <w:bottom w:val="single" w:sz="8" w:space="0" w:color="152935"/>
              <w:right w:val="single" w:sz="8" w:space="0" w:color="E0E0E0"/>
            </w:tcBorders>
            <w:shd w:val="clear" w:color="auto" w:fill="FFFFFF"/>
            <w:vAlign w:val="bottom"/>
          </w:tcPr>
          <w:p w14:paraId="68C17FFE"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df</w:t>
            </w:r>
          </w:p>
        </w:tc>
        <w:tc>
          <w:tcPr>
            <w:tcW w:w="1126" w:type="dxa"/>
            <w:tcBorders>
              <w:top w:val="nil"/>
              <w:left w:val="single" w:sz="8" w:space="0" w:color="E0E0E0"/>
              <w:bottom w:val="single" w:sz="8" w:space="0" w:color="152935"/>
              <w:right w:val="nil"/>
            </w:tcBorders>
            <w:shd w:val="clear" w:color="auto" w:fill="FFFFFF"/>
            <w:vAlign w:val="bottom"/>
          </w:tcPr>
          <w:p w14:paraId="6258234A"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Sig.</w:t>
            </w:r>
          </w:p>
        </w:tc>
        <w:tc>
          <w:tcPr>
            <w:tcW w:w="1126" w:type="dxa"/>
            <w:tcBorders>
              <w:top w:val="nil"/>
              <w:left w:val="single" w:sz="8" w:space="0" w:color="E0E0E0"/>
              <w:bottom w:val="single" w:sz="8" w:space="0" w:color="152935"/>
              <w:right w:val="single" w:sz="8" w:space="0" w:color="E0E0E0"/>
            </w:tcBorders>
            <w:shd w:val="clear" w:color="auto" w:fill="FFFFFF"/>
            <w:vAlign w:val="bottom"/>
          </w:tcPr>
          <w:p w14:paraId="6A4EBCED"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Statistic</w:t>
            </w:r>
          </w:p>
        </w:tc>
        <w:tc>
          <w:tcPr>
            <w:tcW w:w="1126" w:type="dxa"/>
            <w:tcBorders>
              <w:top w:val="nil"/>
              <w:left w:val="single" w:sz="8" w:space="0" w:color="E0E0E0"/>
              <w:bottom w:val="single" w:sz="8" w:space="0" w:color="152935"/>
              <w:right w:val="single" w:sz="8" w:space="0" w:color="E0E0E0"/>
            </w:tcBorders>
            <w:shd w:val="clear" w:color="auto" w:fill="FFFFFF"/>
            <w:vAlign w:val="bottom"/>
          </w:tcPr>
          <w:p w14:paraId="69B2B147"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df</w:t>
            </w:r>
          </w:p>
        </w:tc>
        <w:tc>
          <w:tcPr>
            <w:tcW w:w="1126" w:type="dxa"/>
            <w:tcBorders>
              <w:top w:val="nil"/>
              <w:left w:val="single" w:sz="8" w:space="0" w:color="E0E0E0"/>
              <w:bottom w:val="single" w:sz="8" w:space="0" w:color="152935"/>
              <w:right w:val="nil"/>
            </w:tcBorders>
            <w:shd w:val="clear" w:color="auto" w:fill="FFFFFF"/>
            <w:vAlign w:val="bottom"/>
          </w:tcPr>
          <w:p w14:paraId="0747E130" w14:textId="77777777" w:rsidR="00BF050C" w:rsidRPr="00BF050C" w:rsidRDefault="00BF050C" w:rsidP="00BF050C">
            <w:pPr>
              <w:autoSpaceDE w:val="0"/>
              <w:autoSpaceDN w:val="0"/>
              <w:adjustRightInd w:val="0"/>
              <w:spacing w:before="0" w:beforeAutospacing="0" w:after="0" w:line="320" w:lineRule="atLeast"/>
              <w:ind w:left="60" w:right="60"/>
              <w:jc w:val="center"/>
              <w:rPr>
                <w:rFonts w:ascii="Arial" w:eastAsia="SimSun" w:hAnsi="Arial" w:cs="Arial"/>
                <w:color w:val="264A60"/>
                <w:sz w:val="18"/>
                <w:szCs w:val="18"/>
              </w:rPr>
            </w:pPr>
            <w:r w:rsidRPr="00BF050C">
              <w:rPr>
                <w:rFonts w:ascii="Arial" w:eastAsia="SimSun" w:hAnsi="Arial" w:cs="Arial"/>
                <w:color w:val="264A60"/>
                <w:sz w:val="18"/>
                <w:szCs w:val="18"/>
              </w:rPr>
              <w:t>Sig.</w:t>
            </w:r>
          </w:p>
        </w:tc>
      </w:tr>
      <w:tr w:rsidR="00BF050C" w:rsidRPr="00BF050C" w14:paraId="3C8B612F" w14:textId="77777777">
        <w:trPr>
          <w:cantSplit/>
        </w:trPr>
        <w:tc>
          <w:tcPr>
            <w:tcW w:w="806" w:type="dxa"/>
            <w:tcBorders>
              <w:top w:val="single" w:sz="8" w:space="0" w:color="152935"/>
              <w:left w:val="nil"/>
              <w:bottom w:val="single" w:sz="8" w:space="0" w:color="152935"/>
              <w:right w:val="nil"/>
            </w:tcBorders>
            <w:shd w:val="clear" w:color="auto" w:fill="E0E0E0"/>
          </w:tcPr>
          <w:p w14:paraId="0F74C129"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264A60"/>
                <w:sz w:val="18"/>
                <w:szCs w:val="18"/>
              </w:rPr>
            </w:pPr>
            <w:r w:rsidRPr="00BF050C">
              <w:rPr>
                <w:rFonts w:ascii="Arial" w:eastAsia="SimSun" w:hAnsi="Arial" w:cs="Arial"/>
                <w:color w:val="264A60"/>
                <w:sz w:val="18"/>
                <w:szCs w:val="18"/>
              </w:rPr>
              <w:t>FM</w:t>
            </w:r>
          </w:p>
        </w:tc>
        <w:tc>
          <w:tcPr>
            <w:tcW w:w="1126" w:type="dxa"/>
            <w:tcBorders>
              <w:top w:val="single" w:sz="8" w:space="0" w:color="152935"/>
              <w:left w:val="nil"/>
              <w:bottom w:val="single" w:sz="8" w:space="0" w:color="152935"/>
              <w:right w:val="single" w:sz="8" w:space="0" w:color="E0E0E0"/>
            </w:tcBorders>
            <w:shd w:val="clear" w:color="auto" w:fill="FFFFFF"/>
          </w:tcPr>
          <w:p w14:paraId="0D230DF3"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.115</w:t>
            </w:r>
          </w:p>
        </w:tc>
        <w:tc>
          <w:tcPr>
            <w:tcW w:w="1126" w:type="dxa"/>
            <w:tcBorders>
              <w:top w:val="single" w:sz="8" w:space="0" w:color="152935"/>
              <w:left w:val="single" w:sz="8" w:space="0" w:color="E0E0E0"/>
              <w:bottom w:val="single" w:sz="8" w:space="0" w:color="152935"/>
              <w:right w:val="single" w:sz="8" w:space="0" w:color="E0E0E0"/>
            </w:tcBorders>
            <w:shd w:val="clear" w:color="auto" w:fill="FFFFFF"/>
          </w:tcPr>
          <w:p w14:paraId="14DAE4C5"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61</w:t>
            </w:r>
          </w:p>
        </w:tc>
        <w:tc>
          <w:tcPr>
            <w:tcW w:w="1126" w:type="dxa"/>
            <w:tcBorders>
              <w:top w:val="single" w:sz="8" w:space="0" w:color="152935"/>
              <w:left w:val="single" w:sz="8" w:space="0" w:color="E0E0E0"/>
              <w:bottom w:val="single" w:sz="8" w:space="0" w:color="152935"/>
              <w:right w:val="nil"/>
            </w:tcBorders>
            <w:shd w:val="clear" w:color="auto" w:fill="FFFFFF"/>
          </w:tcPr>
          <w:p w14:paraId="2C87039A"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.044</w:t>
            </w:r>
          </w:p>
        </w:tc>
        <w:tc>
          <w:tcPr>
            <w:tcW w:w="1126" w:type="dxa"/>
            <w:tcBorders>
              <w:top w:val="single" w:sz="8" w:space="0" w:color="152935"/>
              <w:left w:val="single" w:sz="8" w:space="0" w:color="E0E0E0"/>
              <w:bottom w:val="single" w:sz="8" w:space="0" w:color="152935"/>
              <w:right w:val="single" w:sz="8" w:space="0" w:color="E0E0E0"/>
            </w:tcBorders>
            <w:shd w:val="clear" w:color="auto" w:fill="FFFFFF"/>
          </w:tcPr>
          <w:p w14:paraId="52A200F6"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.943</w:t>
            </w:r>
          </w:p>
        </w:tc>
        <w:tc>
          <w:tcPr>
            <w:tcW w:w="1126" w:type="dxa"/>
            <w:tcBorders>
              <w:top w:val="single" w:sz="8" w:space="0" w:color="152935"/>
              <w:left w:val="single" w:sz="8" w:space="0" w:color="E0E0E0"/>
              <w:bottom w:val="single" w:sz="8" w:space="0" w:color="152935"/>
              <w:right w:val="single" w:sz="8" w:space="0" w:color="E0E0E0"/>
            </w:tcBorders>
            <w:shd w:val="clear" w:color="auto" w:fill="FFFFFF"/>
          </w:tcPr>
          <w:p w14:paraId="2C0BCB4A" w14:textId="77777777"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61</w:t>
            </w:r>
          </w:p>
        </w:tc>
        <w:tc>
          <w:tcPr>
            <w:tcW w:w="1126" w:type="dxa"/>
            <w:tcBorders>
              <w:top w:val="single" w:sz="8" w:space="0" w:color="152935"/>
              <w:left w:val="single" w:sz="8" w:space="0" w:color="E0E0E0"/>
              <w:bottom w:val="single" w:sz="8" w:space="0" w:color="152935"/>
              <w:right w:val="nil"/>
            </w:tcBorders>
            <w:shd w:val="clear" w:color="auto" w:fill="FFFFFF"/>
          </w:tcPr>
          <w:p w14:paraId="5B829B44" w14:textId="60C4EF98" w:rsidR="00BF050C" w:rsidRPr="00BF050C" w:rsidRDefault="00BF050C" w:rsidP="00BF050C">
            <w:pPr>
              <w:autoSpaceDE w:val="0"/>
              <w:autoSpaceDN w:val="0"/>
              <w:adjustRightInd w:val="0"/>
              <w:spacing w:before="0" w:beforeAutospacing="0" w:after="0" w:line="320" w:lineRule="atLeast"/>
              <w:ind w:left="60" w:right="60"/>
              <w:jc w:val="right"/>
              <w:rPr>
                <w:rFonts w:ascii="Arial" w:eastAsia="SimSun" w:hAnsi="Arial" w:cs="Arial"/>
                <w:color w:val="010205"/>
                <w:sz w:val="18"/>
                <w:szCs w:val="18"/>
              </w:rPr>
            </w:pPr>
            <w:r w:rsidRPr="00BF050C">
              <w:rPr>
                <w:rFonts w:ascii="Arial" w:eastAsia="SimSun" w:hAnsi="Arial" w:cs="Arial"/>
                <w:color w:val="010205"/>
                <w:sz w:val="18"/>
                <w:szCs w:val="18"/>
              </w:rPr>
              <w:t>.07</w:t>
            </w:r>
          </w:p>
        </w:tc>
      </w:tr>
      <w:tr w:rsidR="00BF050C" w:rsidRPr="00BF050C" w14:paraId="361CAADC" w14:textId="77777777">
        <w:trPr>
          <w:cantSplit/>
        </w:trPr>
        <w:tc>
          <w:tcPr>
            <w:tcW w:w="7562" w:type="dxa"/>
            <w:gridSpan w:val="7"/>
            <w:tcBorders>
              <w:top w:val="nil"/>
              <w:left w:val="nil"/>
              <w:bottom w:val="nil"/>
              <w:right w:val="nil"/>
            </w:tcBorders>
            <w:shd w:val="clear" w:color="auto" w:fill="FFFFFF"/>
          </w:tcPr>
          <w:p w14:paraId="4A1C2DFA" w14:textId="77777777" w:rsidR="00BF050C" w:rsidRPr="00BF050C" w:rsidRDefault="00BF050C" w:rsidP="00BF050C">
            <w:pPr>
              <w:autoSpaceDE w:val="0"/>
              <w:autoSpaceDN w:val="0"/>
              <w:adjustRightInd w:val="0"/>
              <w:spacing w:before="0" w:beforeAutospacing="0" w:after="0" w:line="320" w:lineRule="atLeast"/>
              <w:ind w:left="60" w:right="60"/>
              <w:rPr>
                <w:rFonts w:ascii="Arial" w:eastAsia="SimSun" w:hAnsi="Arial" w:cs="Arial"/>
                <w:color w:val="010205"/>
                <w:sz w:val="18"/>
                <w:szCs w:val="18"/>
              </w:rPr>
            </w:pPr>
            <w:r w:rsidRPr="00BF050C">
              <w:rPr>
                <w:rFonts w:ascii="Arial" w:eastAsia="SimSun" w:hAnsi="Arial" w:cs="Arial"/>
                <w:color w:val="010205"/>
                <w:sz w:val="18"/>
                <w:szCs w:val="18"/>
              </w:rPr>
              <w:t>a. Lilliefors Significance Correction</w:t>
            </w:r>
          </w:p>
        </w:tc>
      </w:tr>
    </w:tbl>
    <w:p w14:paraId="04D38800"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421525D1"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40589725"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b/>
          <w:bCs/>
          <w:color w:val="000000"/>
          <w:sz w:val="26"/>
          <w:szCs w:val="26"/>
        </w:rPr>
      </w:pPr>
    </w:p>
    <w:p w14:paraId="21AB4694"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b/>
          <w:bCs/>
          <w:color w:val="000000"/>
          <w:sz w:val="26"/>
          <w:szCs w:val="26"/>
        </w:rPr>
      </w:pPr>
      <w:r w:rsidRPr="00BF050C">
        <w:rPr>
          <w:rFonts w:ascii="Arial" w:eastAsia="SimSun" w:hAnsi="Arial" w:cs="Arial"/>
          <w:b/>
          <w:bCs/>
          <w:color w:val="000000"/>
          <w:sz w:val="26"/>
          <w:szCs w:val="26"/>
        </w:rPr>
        <w:t>FM</w:t>
      </w:r>
    </w:p>
    <w:p w14:paraId="42BF50F7" w14:textId="77777777" w:rsidR="00BF050C" w:rsidRPr="00BF050C" w:rsidRDefault="00BF050C" w:rsidP="00BF050C">
      <w:pPr>
        <w:autoSpaceDE w:val="0"/>
        <w:autoSpaceDN w:val="0"/>
        <w:adjustRightInd w:val="0"/>
        <w:spacing w:before="0" w:beforeAutospacing="0" w:after="0" w:line="240" w:lineRule="auto"/>
        <w:rPr>
          <w:rFonts w:ascii="Arial" w:eastAsia="SimSun" w:hAnsi="Arial" w:cs="Arial"/>
          <w:color w:val="000000"/>
          <w:sz w:val="26"/>
          <w:szCs w:val="26"/>
        </w:rPr>
      </w:pPr>
    </w:p>
    <w:p w14:paraId="4091EC39"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39200E0A" w14:textId="68BFBADA"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r w:rsidRPr="00BF050C">
        <w:rPr>
          <w:rFonts w:ascii="Times New Roman" w:eastAsia="SimSun" w:hAnsi="Times New Roman"/>
          <w:noProof/>
          <w:sz w:val="24"/>
          <w:szCs w:val="24"/>
        </w:rPr>
        <w:drawing>
          <wp:inline distT="0" distB="0" distL="0" distR="0" wp14:anchorId="1D3C250B" wp14:editId="4C4E0918">
            <wp:extent cx="5943600" cy="3500120"/>
            <wp:effectExtent l="0" t="0" r="0" b="508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943600" cy="3500120"/>
                    </a:xfrm>
                    <a:prstGeom prst="rect">
                      <a:avLst/>
                    </a:prstGeom>
                    <a:noFill/>
                    <a:ln>
                      <a:noFill/>
                    </a:ln>
                  </pic:spPr>
                </pic:pic>
              </a:graphicData>
            </a:graphic>
          </wp:inline>
        </w:drawing>
      </w:r>
    </w:p>
    <w:p w14:paraId="1DC76C7A"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p w14:paraId="06994BCE"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41FDDC40" w14:textId="11E99E26"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r w:rsidRPr="00BF050C">
        <w:rPr>
          <w:rFonts w:ascii="Times New Roman" w:eastAsia="SimSun" w:hAnsi="Times New Roman"/>
          <w:noProof/>
          <w:sz w:val="24"/>
          <w:szCs w:val="24"/>
        </w:rPr>
        <w:drawing>
          <wp:inline distT="0" distB="0" distL="0" distR="0" wp14:anchorId="2765DFAE" wp14:editId="6B32AB7C">
            <wp:extent cx="5943600" cy="3500120"/>
            <wp:effectExtent l="0" t="0" r="0" b="508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943600" cy="3500120"/>
                    </a:xfrm>
                    <a:prstGeom prst="rect">
                      <a:avLst/>
                    </a:prstGeom>
                    <a:noFill/>
                    <a:ln>
                      <a:noFill/>
                    </a:ln>
                  </pic:spPr>
                </pic:pic>
              </a:graphicData>
            </a:graphic>
          </wp:inline>
        </w:drawing>
      </w:r>
    </w:p>
    <w:p w14:paraId="42F768DA" w14:textId="77777777" w:rsidR="00BF050C" w:rsidRPr="00BF050C" w:rsidRDefault="00BF050C" w:rsidP="00BF050C">
      <w:pPr>
        <w:autoSpaceDE w:val="0"/>
        <w:autoSpaceDN w:val="0"/>
        <w:adjustRightInd w:val="0"/>
        <w:spacing w:before="0" w:beforeAutospacing="0" w:after="0" w:line="240" w:lineRule="auto"/>
        <w:rPr>
          <w:rFonts w:ascii="Times New Roman" w:eastAsia="SimSun" w:hAnsi="Times New Roman"/>
          <w:sz w:val="24"/>
          <w:szCs w:val="24"/>
        </w:rPr>
      </w:pPr>
    </w:p>
    <w:p w14:paraId="287E58BA"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121E8FC5" w14:textId="77777777" w:rsidR="00BF050C" w:rsidRPr="00BF050C" w:rsidRDefault="00BF050C" w:rsidP="00BF050C">
      <w:pPr>
        <w:autoSpaceDE w:val="0"/>
        <w:autoSpaceDN w:val="0"/>
        <w:adjustRightInd w:val="0"/>
        <w:spacing w:before="0" w:beforeAutospacing="0" w:after="0" w:line="240" w:lineRule="auto"/>
        <w:rPr>
          <w:rFonts w:ascii="Courier New" w:eastAsia="SimSun" w:hAnsi="Courier New" w:cs="Courier New"/>
          <w:color w:val="000000"/>
          <w:sz w:val="20"/>
          <w:szCs w:val="20"/>
        </w:rPr>
      </w:pPr>
    </w:p>
    <w:p w14:paraId="397E34E2" w14:textId="77777777" w:rsidR="00BF050C" w:rsidRPr="00BF050C" w:rsidRDefault="00BF050C" w:rsidP="00BF050C">
      <w:pPr>
        <w:autoSpaceDE w:val="0"/>
        <w:autoSpaceDN w:val="0"/>
        <w:adjustRightInd w:val="0"/>
        <w:spacing w:before="0" w:beforeAutospacing="0" w:after="0" w:line="240" w:lineRule="auto"/>
        <w:rPr>
          <w:rFonts w:ascii="Courier New" w:eastAsia="SimSun" w:hAnsi="Courier New" w:cs="Courier New"/>
          <w:color w:val="000000"/>
          <w:sz w:val="20"/>
          <w:szCs w:val="20"/>
        </w:rPr>
      </w:pPr>
      <w:r w:rsidRPr="00BF050C">
        <w:rPr>
          <w:rFonts w:ascii="Courier New" w:eastAsia="SimSun" w:hAnsi="Courier New" w:cs="Courier New"/>
          <w:color w:val="000000"/>
          <w:sz w:val="20"/>
          <w:szCs w:val="20"/>
        </w:rPr>
        <w:t>DATASET CLOSE DataSet1.</w:t>
      </w:r>
    </w:p>
    <w:p w14:paraId="39BFA468" w14:textId="77777777" w:rsidR="00BF050C" w:rsidRPr="00BF050C" w:rsidRDefault="00BF050C" w:rsidP="00BF050C">
      <w:pPr>
        <w:autoSpaceDE w:val="0"/>
        <w:autoSpaceDN w:val="0"/>
        <w:adjustRightInd w:val="0"/>
        <w:spacing w:before="0" w:beforeAutospacing="0" w:after="0" w:line="240" w:lineRule="auto"/>
        <w:rPr>
          <w:rFonts w:ascii="Courier New" w:eastAsia="SimSun" w:hAnsi="Courier New" w:cs="Courier New"/>
          <w:color w:val="000000"/>
          <w:sz w:val="20"/>
          <w:szCs w:val="20"/>
        </w:rPr>
      </w:pPr>
    </w:p>
    <w:p w14:paraId="08130F9D" w14:textId="77777777" w:rsidR="00BF050C" w:rsidRPr="00BF050C" w:rsidRDefault="00BF050C" w:rsidP="00BF050C">
      <w:pPr>
        <w:autoSpaceDE w:val="0"/>
        <w:autoSpaceDN w:val="0"/>
        <w:adjustRightInd w:val="0"/>
        <w:spacing w:before="0" w:beforeAutospacing="0" w:after="0" w:line="400" w:lineRule="atLeast"/>
        <w:rPr>
          <w:rFonts w:ascii="Times New Roman" w:eastAsia="SimSun" w:hAnsi="Times New Roman"/>
          <w:sz w:val="24"/>
          <w:szCs w:val="24"/>
        </w:rPr>
      </w:pPr>
    </w:p>
    <w:p w14:paraId="1D4FB547" w14:textId="15EA32CC" w:rsidR="00643207" w:rsidRPr="00643207" w:rsidRDefault="00643207" w:rsidP="00643207">
      <w:pPr>
        <w:rPr>
          <w:rFonts w:ascii="Times New Roman" w:hAnsi="Times New Roman"/>
          <w:sz w:val="24"/>
          <w:szCs w:val="24"/>
        </w:rPr>
      </w:pPr>
    </w:p>
    <w:p w14:paraId="54AB72F5" w14:textId="5065F958" w:rsidR="00643207" w:rsidRPr="00643207" w:rsidRDefault="00643207" w:rsidP="00643207">
      <w:pPr>
        <w:rPr>
          <w:rFonts w:ascii="Times New Roman" w:hAnsi="Times New Roman"/>
          <w:sz w:val="24"/>
          <w:szCs w:val="24"/>
        </w:rPr>
      </w:pPr>
    </w:p>
    <w:p w14:paraId="731B84B9" w14:textId="01BFB2A9" w:rsidR="00643207" w:rsidRPr="00643207" w:rsidRDefault="00643207" w:rsidP="00643207">
      <w:pPr>
        <w:rPr>
          <w:rFonts w:ascii="Times New Roman" w:hAnsi="Times New Roman"/>
          <w:sz w:val="24"/>
          <w:szCs w:val="24"/>
        </w:rPr>
      </w:pPr>
    </w:p>
    <w:p w14:paraId="32359DD7" w14:textId="4DF50D89" w:rsidR="00643207" w:rsidRPr="00643207" w:rsidRDefault="00643207" w:rsidP="00643207">
      <w:pPr>
        <w:rPr>
          <w:rFonts w:ascii="Times New Roman" w:hAnsi="Times New Roman"/>
          <w:sz w:val="24"/>
          <w:szCs w:val="24"/>
        </w:rPr>
      </w:pPr>
    </w:p>
    <w:p w14:paraId="4D1515BD" w14:textId="3CEFCCC0" w:rsidR="00643207" w:rsidRPr="00643207" w:rsidRDefault="00643207" w:rsidP="00643207">
      <w:pPr>
        <w:rPr>
          <w:rFonts w:ascii="Times New Roman" w:hAnsi="Times New Roman"/>
          <w:sz w:val="24"/>
          <w:szCs w:val="24"/>
        </w:rPr>
      </w:pPr>
    </w:p>
    <w:p w14:paraId="568EBA77" w14:textId="77777777" w:rsidR="00643207" w:rsidRPr="00643207" w:rsidRDefault="00643207" w:rsidP="00643207">
      <w:pPr>
        <w:rPr>
          <w:rFonts w:ascii="Times New Roman" w:hAnsi="Times New Roman"/>
          <w:sz w:val="24"/>
          <w:szCs w:val="24"/>
        </w:rPr>
      </w:pPr>
    </w:p>
    <w:sectPr w:rsidR="00643207" w:rsidRPr="00643207" w:rsidSect="00FD0650">
      <w:footerReference w:type="default" r:id="rId57"/>
      <w:pgSz w:w="12240" w:h="15840"/>
      <w:pgMar w:top="1440" w:right="1440" w:bottom="1260" w:left="1440" w:header="0" w:footer="81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C307B6D" w14:textId="77777777" w:rsidR="00271F03" w:rsidRDefault="00271F03">
      <w:pPr>
        <w:spacing w:line="240" w:lineRule="auto"/>
      </w:pPr>
      <w:r>
        <w:separator/>
      </w:r>
    </w:p>
  </w:endnote>
  <w:endnote w:type="continuationSeparator" w:id="0">
    <w:p w14:paraId="5F263741" w14:textId="77777777" w:rsidR="00271F03" w:rsidRDefault="00271F0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等线 Light">
    <w:panose1 w:val="00000000000000000000"/>
    <w:charset w:val="80"/>
    <w:family w:val="roman"/>
    <w:notTrueType/>
    <w:pitch w:val="default"/>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等线">
    <w:panose1 w:val="00000000000000000000"/>
    <w:charset w:val="80"/>
    <w:family w:val="roman"/>
    <w:notTrueType/>
    <w:pitch w:val="default"/>
  </w:font>
  <w:font w:name="DengXian">
    <w:altName w:val="等线"/>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26339151"/>
      <w:docPartObj>
        <w:docPartGallery w:val="AutoText"/>
      </w:docPartObj>
    </w:sdtPr>
    <w:sdtEndPr/>
    <w:sdtContent>
      <w:p w14:paraId="6967E723" w14:textId="77777777" w:rsidR="00FE7438" w:rsidRDefault="00FE7438">
        <w:pPr>
          <w:pStyle w:val="Footer"/>
          <w:jc w:val="center"/>
        </w:pPr>
        <w:r>
          <w:fldChar w:fldCharType="begin"/>
        </w:r>
        <w:r>
          <w:instrText xml:space="preserve"> PAGE   \* MERGEFORMAT </w:instrText>
        </w:r>
        <w:r>
          <w:fldChar w:fldCharType="separate"/>
        </w:r>
        <w:r w:rsidR="003E56F1">
          <w:rPr>
            <w:noProof/>
          </w:rPr>
          <w:t>iii</w:t>
        </w:r>
        <w:r>
          <w:fldChar w:fldCharType="end"/>
        </w:r>
      </w:p>
    </w:sdtContent>
  </w:sdt>
  <w:p w14:paraId="521B0CFE" w14:textId="77777777" w:rsidR="00FE7438" w:rsidRDefault="00FE743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00009020"/>
      <w:docPartObj>
        <w:docPartGallery w:val="AutoText"/>
      </w:docPartObj>
    </w:sdtPr>
    <w:sdtEndPr/>
    <w:sdtContent>
      <w:p w14:paraId="1E2EA89D" w14:textId="5A9E288F" w:rsidR="00FE7438" w:rsidRDefault="00FE7438" w:rsidP="00FD0650">
        <w:pPr>
          <w:pStyle w:val="Footer"/>
          <w:jc w:val="center"/>
        </w:pPr>
        <w:r>
          <w:fldChar w:fldCharType="begin"/>
        </w:r>
        <w:r>
          <w:instrText xml:space="preserve"> PAGE   \* MERGEFORMAT </w:instrText>
        </w:r>
        <w:r>
          <w:fldChar w:fldCharType="separate"/>
        </w:r>
        <w:r w:rsidR="003E56F1">
          <w:rPr>
            <w:noProof/>
          </w:rPr>
          <w:t>5</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4EBC96" w14:textId="77777777" w:rsidR="00271F03" w:rsidRDefault="00271F03">
      <w:pPr>
        <w:spacing w:before="0" w:after="0"/>
      </w:pPr>
      <w:r>
        <w:separator/>
      </w:r>
    </w:p>
  </w:footnote>
  <w:footnote w:type="continuationSeparator" w:id="0">
    <w:p w14:paraId="5F03A990" w14:textId="77777777" w:rsidR="00271F03" w:rsidRDefault="00271F03">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D9368A"/>
    <w:multiLevelType w:val="multilevel"/>
    <w:tmpl w:val="82521108"/>
    <w:lvl w:ilvl="0">
      <w:start w:val="1"/>
      <w:numFmt w:val="lowerRoman"/>
      <w:lvlText w:val="%1."/>
      <w:lvlJc w:val="righ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6B4467D"/>
    <w:multiLevelType w:val="hybridMultilevel"/>
    <w:tmpl w:val="C72EB8C0"/>
    <w:lvl w:ilvl="0" w:tplc="4CE2E9C6">
      <w:start w:val="8"/>
      <w:numFmt w:val="decimal"/>
      <w:lvlText w:val="%1."/>
      <w:lvlJc w:val="left"/>
      <w:pPr>
        <w:ind w:left="360" w:hanging="360"/>
      </w:pPr>
      <w:rPr>
        <w:rFonts w:hint="default"/>
      </w:rPr>
    </w:lvl>
    <w:lvl w:ilvl="1" w:tplc="04090019" w:tentative="1">
      <w:start w:val="1"/>
      <w:numFmt w:val="lowerLetter"/>
      <w:lvlText w:val="%2."/>
      <w:lvlJc w:val="left"/>
      <w:pPr>
        <w:ind w:left="1020" w:hanging="360"/>
      </w:pPr>
    </w:lvl>
    <w:lvl w:ilvl="2" w:tplc="0409001B" w:tentative="1">
      <w:start w:val="1"/>
      <w:numFmt w:val="lowerRoman"/>
      <w:lvlText w:val="%3."/>
      <w:lvlJc w:val="right"/>
      <w:pPr>
        <w:ind w:left="1740" w:hanging="180"/>
      </w:pPr>
    </w:lvl>
    <w:lvl w:ilvl="3" w:tplc="0409000F" w:tentative="1">
      <w:start w:val="1"/>
      <w:numFmt w:val="decimal"/>
      <w:lvlText w:val="%4."/>
      <w:lvlJc w:val="left"/>
      <w:pPr>
        <w:ind w:left="2460" w:hanging="360"/>
      </w:pPr>
    </w:lvl>
    <w:lvl w:ilvl="4" w:tplc="04090019" w:tentative="1">
      <w:start w:val="1"/>
      <w:numFmt w:val="lowerLetter"/>
      <w:lvlText w:val="%5."/>
      <w:lvlJc w:val="left"/>
      <w:pPr>
        <w:ind w:left="3180" w:hanging="360"/>
      </w:pPr>
    </w:lvl>
    <w:lvl w:ilvl="5" w:tplc="0409001B" w:tentative="1">
      <w:start w:val="1"/>
      <w:numFmt w:val="lowerRoman"/>
      <w:lvlText w:val="%6."/>
      <w:lvlJc w:val="right"/>
      <w:pPr>
        <w:ind w:left="3900" w:hanging="180"/>
      </w:pPr>
    </w:lvl>
    <w:lvl w:ilvl="6" w:tplc="0409000F" w:tentative="1">
      <w:start w:val="1"/>
      <w:numFmt w:val="decimal"/>
      <w:lvlText w:val="%7."/>
      <w:lvlJc w:val="left"/>
      <w:pPr>
        <w:ind w:left="4620" w:hanging="360"/>
      </w:pPr>
    </w:lvl>
    <w:lvl w:ilvl="7" w:tplc="04090019" w:tentative="1">
      <w:start w:val="1"/>
      <w:numFmt w:val="lowerLetter"/>
      <w:lvlText w:val="%8."/>
      <w:lvlJc w:val="left"/>
      <w:pPr>
        <w:ind w:left="5340" w:hanging="360"/>
      </w:pPr>
    </w:lvl>
    <w:lvl w:ilvl="8" w:tplc="0409001B" w:tentative="1">
      <w:start w:val="1"/>
      <w:numFmt w:val="lowerRoman"/>
      <w:lvlText w:val="%9."/>
      <w:lvlJc w:val="right"/>
      <w:pPr>
        <w:ind w:left="6060" w:hanging="180"/>
      </w:pPr>
    </w:lvl>
  </w:abstractNum>
  <w:abstractNum w:abstractNumId="2">
    <w:nsid w:val="06FE6D30"/>
    <w:multiLevelType w:val="multilevel"/>
    <w:tmpl w:val="16F06A90"/>
    <w:lvl w:ilvl="0">
      <w:start w:val="1"/>
      <w:numFmt w:val="decimal"/>
      <w:lvlText w:val="%1"/>
      <w:lvlJc w:val="left"/>
      <w:pPr>
        <w:ind w:left="432" w:hanging="432"/>
      </w:pPr>
      <w:rPr>
        <w:rFonts w:hint="default"/>
        <w:color w:val="FFFFFF" w:themeColor="background1"/>
        <w:shd w:val="clear" w:color="auto" w:fill="auto"/>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i w:val="0"/>
        <w:iCs/>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
    <w:nsid w:val="082D4F43"/>
    <w:multiLevelType w:val="multilevel"/>
    <w:tmpl w:val="69966639"/>
    <w:lvl w:ilvl="0">
      <w:start w:val="1"/>
      <w:numFmt w:val="lowerRoman"/>
      <w:lvlText w:val="%1."/>
      <w:lvlJc w:val="left"/>
      <w:pPr>
        <w:ind w:left="1080" w:hanging="72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4">
    <w:nsid w:val="097B7443"/>
    <w:multiLevelType w:val="multilevel"/>
    <w:tmpl w:val="097B7443"/>
    <w:lvl w:ilvl="0">
      <w:start w:val="5"/>
      <w:numFmt w:val="decimal"/>
      <w:suff w:val="space"/>
      <w:lvlText w:val="%1."/>
      <w:lvlJc w:val="left"/>
      <w:pPr>
        <w:ind w:left="0" w:firstLine="0"/>
      </w:pPr>
      <w:rPr>
        <w:rFonts w:ascii="Times New Roman" w:hAnsi="Times New Roman" w:cs="Times New Roman" w:hint="default"/>
        <w:b w:val="0"/>
        <w:bCs w:val="0"/>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
    <w:nsid w:val="0A010A00"/>
    <w:multiLevelType w:val="multilevel"/>
    <w:tmpl w:val="BF42DC0A"/>
    <w:lvl w:ilvl="0">
      <w:start w:val="1"/>
      <w:numFmt w:val="lowerRoman"/>
      <w:lvlText w:val="%1."/>
      <w:lvlJc w:val="righ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AC97BE3"/>
    <w:multiLevelType w:val="hybridMultilevel"/>
    <w:tmpl w:val="4470CA02"/>
    <w:lvl w:ilvl="0" w:tplc="9738A65A">
      <w:start w:val="29"/>
      <w:numFmt w:val="decimal"/>
      <w:lvlText w:val="%1."/>
      <w:lvlJc w:val="left"/>
      <w:pPr>
        <w:ind w:left="360" w:hanging="360"/>
      </w:pPr>
      <w:rPr>
        <w:rFonts w:hint="default"/>
      </w:rPr>
    </w:lvl>
    <w:lvl w:ilvl="1" w:tplc="04090019" w:tentative="1">
      <w:start w:val="1"/>
      <w:numFmt w:val="lowerLetter"/>
      <w:lvlText w:val="%2."/>
      <w:lvlJc w:val="left"/>
      <w:pPr>
        <w:ind w:left="1020" w:hanging="360"/>
      </w:pPr>
    </w:lvl>
    <w:lvl w:ilvl="2" w:tplc="0409001B" w:tentative="1">
      <w:start w:val="1"/>
      <w:numFmt w:val="lowerRoman"/>
      <w:lvlText w:val="%3."/>
      <w:lvlJc w:val="right"/>
      <w:pPr>
        <w:ind w:left="1740" w:hanging="180"/>
      </w:pPr>
    </w:lvl>
    <w:lvl w:ilvl="3" w:tplc="0409000F" w:tentative="1">
      <w:start w:val="1"/>
      <w:numFmt w:val="decimal"/>
      <w:lvlText w:val="%4."/>
      <w:lvlJc w:val="left"/>
      <w:pPr>
        <w:ind w:left="2460" w:hanging="360"/>
      </w:pPr>
    </w:lvl>
    <w:lvl w:ilvl="4" w:tplc="04090019" w:tentative="1">
      <w:start w:val="1"/>
      <w:numFmt w:val="lowerLetter"/>
      <w:lvlText w:val="%5."/>
      <w:lvlJc w:val="left"/>
      <w:pPr>
        <w:ind w:left="3180" w:hanging="360"/>
      </w:pPr>
    </w:lvl>
    <w:lvl w:ilvl="5" w:tplc="0409001B" w:tentative="1">
      <w:start w:val="1"/>
      <w:numFmt w:val="lowerRoman"/>
      <w:lvlText w:val="%6."/>
      <w:lvlJc w:val="right"/>
      <w:pPr>
        <w:ind w:left="3900" w:hanging="180"/>
      </w:pPr>
    </w:lvl>
    <w:lvl w:ilvl="6" w:tplc="0409000F" w:tentative="1">
      <w:start w:val="1"/>
      <w:numFmt w:val="decimal"/>
      <w:lvlText w:val="%7."/>
      <w:lvlJc w:val="left"/>
      <w:pPr>
        <w:ind w:left="4620" w:hanging="360"/>
      </w:pPr>
    </w:lvl>
    <w:lvl w:ilvl="7" w:tplc="04090019" w:tentative="1">
      <w:start w:val="1"/>
      <w:numFmt w:val="lowerLetter"/>
      <w:lvlText w:val="%8."/>
      <w:lvlJc w:val="left"/>
      <w:pPr>
        <w:ind w:left="5340" w:hanging="360"/>
      </w:pPr>
    </w:lvl>
    <w:lvl w:ilvl="8" w:tplc="0409001B" w:tentative="1">
      <w:start w:val="1"/>
      <w:numFmt w:val="lowerRoman"/>
      <w:lvlText w:val="%9."/>
      <w:lvlJc w:val="right"/>
      <w:pPr>
        <w:ind w:left="6060" w:hanging="180"/>
      </w:pPr>
    </w:lvl>
  </w:abstractNum>
  <w:abstractNum w:abstractNumId="7">
    <w:nsid w:val="0EBE467E"/>
    <w:multiLevelType w:val="hybridMultilevel"/>
    <w:tmpl w:val="D766F3E8"/>
    <w:lvl w:ilvl="0" w:tplc="0660F328">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141810D4"/>
    <w:multiLevelType w:val="hybridMultilevel"/>
    <w:tmpl w:val="6F9647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4F479B2"/>
    <w:multiLevelType w:val="multilevel"/>
    <w:tmpl w:val="14F479B2"/>
    <w:lvl w:ilvl="0">
      <w:start w:val="13"/>
      <w:numFmt w:val="decimal"/>
      <w:lvlText w:val="%1."/>
      <w:lvlJc w:val="left"/>
      <w:pPr>
        <w:ind w:left="0" w:firstLine="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17332512"/>
    <w:multiLevelType w:val="multilevel"/>
    <w:tmpl w:val="BBEAB6D8"/>
    <w:lvl w:ilvl="0">
      <w:start w:val="1"/>
      <w:numFmt w:val="lowerRoman"/>
      <w:lvlText w:val="%1."/>
      <w:lvlJc w:val="righ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934109C"/>
    <w:multiLevelType w:val="multilevel"/>
    <w:tmpl w:val="1934109C"/>
    <w:lvl w:ilvl="0">
      <w:start w:val="18"/>
      <w:numFmt w:val="decimal"/>
      <w:lvlText w:val="%1."/>
      <w:lvlJc w:val="left"/>
      <w:pPr>
        <w:ind w:left="0" w:firstLine="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1AAA2678"/>
    <w:multiLevelType w:val="hybridMultilevel"/>
    <w:tmpl w:val="4470CA02"/>
    <w:lvl w:ilvl="0" w:tplc="9738A65A">
      <w:start w:val="29"/>
      <w:numFmt w:val="decimal"/>
      <w:lvlText w:val="%1."/>
      <w:lvlJc w:val="left"/>
      <w:pPr>
        <w:ind w:left="360" w:hanging="360"/>
      </w:pPr>
      <w:rPr>
        <w:rFonts w:hint="default"/>
      </w:rPr>
    </w:lvl>
    <w:lvl w:ilvl="1" w:tplc="04090019" w:tentative="1">
      <w:start w:val="1"/>
      <w:numFmt w:val="lowerLetter"/>
      <w:lvlText w:val="%2."/>
      <w:lvlJc w:val="left"/>
      <w:pPr>
        <w:ind w:left="1020" w:hanging="360"/>
      </w:pPr>
    </w:lvl>
    <w:lvl w:ilvl="2" w:tplc="0409001B" w:tentative="1">
      <w:start w:val="1"/>
      <w:numFmt w:val="lowerRoman"/>
      <w:lvlText w:val="%3."/>
      <w:lvlJc w:val="right"/>
      <w:pPr>
        <w:ind w:left="1740" w:hanging="180"/>
      </w:pPr>
    </w:lvl>
    <w:lvl w:ilvl="3" w:tplc="0409000F" w:tentative="1">
      <w:start w:val="1"/>
      <w:numFmt w:val="decimal"/>
      <w:lvlText w:val="%4."/>
      <w:lvlJc w:val="left"/>
      <w:pPr>
        <w:ind w:left="2460" w:hanging="360"/>
      </w:pPr>
    </w:lvl>
    <w:lvl w:ilvl="4" w:tplc="04090019" w:tentative="1">
      <w:start w:val="1"/>
      <w:numFmt w:val="lowerLetter"/>
      <w:lvlText w:val="%5."/>
      <w:lvlJc w:val="left"/>
      <w:pPr>
        <w:ind w:left="3180" w:hanging="360"/>
      </w:pPr>
    </w:lvl>
    <w:lvl w:ilvl="5" w:tplc="0409001B" w:tentative="1">
      <w:start w:val="1"/>
      <w:numFmt w:val="lowerRoman"/>
      <w:lvlText w:val="%6."/>
      <w:lvlJc w:val="right"/>
      <w:pPr>
        <w:ind w:left="3900" w:hanging="180"/>
      </w:pPr>
    </w:lvl>
    <w:lvl w:ilvl="6" w:tplc="0409000F" w:tentative="1">
      <w:start w:val="1"/>
      <w:numFmt w:val="decimal"/>
      <w:lvlText w:val="%7."/>
      <w:lvlJc w:val="left"/>
      <w:pPr>
        <w:ind w:left="4620" w:hanging="360"/>
      </w:pPr>
    </w:lvl>
    <w:lvl w:ilvl="7" w:tplc="04090019" w:tentative="1">
      <w:start w:val="1"/>
      <w:numFmt w:val="lowerLetter"/>
      <w:lvlText w:val="%8."/>
      <w:lvlJc w:val="left"/>
      <w:pPr>
        <w:ind w:left="5340" w:hanging="360"/>
      </w:pPr>
    </w:lvl>
    <w:lvl w:ilvl="8" w:tplc="0409001B" w:tentative="1">
      <w:start w:val="1"/>
      <w:numFmt w:val="lowerRoman"/>
      <w:lvlText w:val="%9."/>
      <w:lvlJc w:val="right"/>
      <w:pPr>
        <w:ind w:left="6060" w:hanging="180"/>
      </w:pPr>
    </w:lvl>
  </w:abstractNum>
  <w:abstractNum w:abstractNumId="13">
    <w:nsid w:val="22401E98"/>
    <w:multiLevelType w:val="hybridMultilevel"/>
    <w:tmpl w:val="A474922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7534903"/>
    <w:multiLevelType w:val="multilevel"/>
    <w:tmpl w:val="27534903"/>
    <w:lvl w:ilvl="0">
      <w:start w:val="1"/>
      <w:numFmt w:val="lowerRoman"/>
      <w:lvlText w:val="%1."/>
      <w:lvlJc w:val="left"/>
      <w:pPr>
        <w:ind w:left="1080" w:hanging="72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15">
    <w:nsid w:val="275D4F02"/>
    <w:multiLevelType w:val="hybridMultilevel"/>
    <w:tmpl w:val="83443AA0"/>
    <w:lvl w:ilvl="0" w:tplc="C6203D2E">
      <w:start w:val="18"/>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3678463B"/>
    <w:multiLevelType w:val="multilevel"/>
    <w:tmpl w:val="AA8C4D0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nsid w:val="36DE2B40"/>
    <w:multiLevelType w:val="hybridMultilevel"/>
    <w:tmpl w:val="4470CA02"/>
    <w:lvl w:ilvl="0" w:tplc="9738A65A">
      <w:start w:val="29"/>
      <w:numFmt w:val="decimal"/>
      <w:lvlText w:val="%1."/>
      <w:lvlJc w:val="left"/>
      <w:pPr>
        <w:ind w:left="360" w:hanging="360"/>
      </w:pPr>
      <w:rPr>
        <w:rFonts w:hint="default"/>
      </w:rPr>
    </w:lvl>
    <w:lvl w:ilvl="1" w:tplc="04090019" w:tentative="1">
      <w:start w:val="1"/>
      <w:numFmt w:val="lowerLetter"/>
      <w:lvlText w:val="%2."/>
      <w:lvlJc w:val="left"/>
      <w:pPr>
        <w:ind w:left="1020" w:hanging="360"/>
      </w:pPr>
    </w:lvl>
    <w:lvl w:ilvl="2" w:tplc="0409001B" w:tentative="1">
      <w:start w:val="1"/>
      <w:numFmt w:val="lowerRoman"/>
      <w:lvlText w:val="%3."/>
      <w:lvlJc w:val="right"/>
      <w:pPr>
        <w:ind w:left="1740" w:hanging="180"/>
      </w:pPr>
    </w:lvl>
    <w:lvl w:ilvl="3" w:tplc="0409000F" w:tentative="1">
      <w:start w:val="1"/>
      <w:numFmt w:val="decimal"/>
      <w:lvlText w:val="%4."/>
      <w:lvlJc w:val="left"/>
      <w:pPr>
        <w:ind w:left="2460" w:hanging="360"/>
      </w:pPr>
    </w:lvl>
    <w:lvl w:ilvl="4" w:tplc="04090019" w:tentative="1">
      <w:start w:val="1"/>
      <w:numFmt w:val="lowerLetter"/>
      <w:lvlText w:val="%5."/>
      <w:lvlJc w:val="left"/>
      <w:pPr>
        <w:ind w:left="3180" w:hanging="360"/>
      </w:pPr>
    </w:lvl>
    <w:lvl w:ilvl="5" w:tplc="0409001B" w:tentative="1">
      <w:start w:val="1"/>
      <w:numFmt w:val="lowerRoman"/>
      <w:lvlText w:val="%6."/>
      <w:lvlJc w:val="right"/>
      <w:pPr>
        <w:ind w:left="3900" w:hanging="180"/>
      </w:pPr>
    </w:lvl>
    <w:lvl w:ilvl="6" w:tplc="0409000F" w:tentative="1">
      <w:start w:val="1"/>
      <w:numFmt w:val="decimal"/>
      <w:lvlText w:val="%7."/>
      <w:lvlJc w:val="left"/>
      <w:pPr>
        <w:ind w:left="4620" w:hanging="360"/>
      </w:pPr>
    </w:lvl>
    <w:lvl w:ilvl="7" w:tplc="04090019" w:tentative="1">
      <w:start w:val="1"/>
      <w:numFmt w:val="lowerLetter"/>
      <w:lvlText w:val="%8."/>
      <w:lvlJc w:val="left"/>
      <w:pPr>
        <w:ind w:left="5340" w:hanging="360"/>
      </w:pPr>
    </w:lvl>
    <w:lvl w:ilvl="8" w:tplc="0409001B" w:tentative="1">
      <w:start w:val="1"/>
      <w:numFmt w:val="lowerRoman"/>
      <w:lvlText w:val="%9."/>
      <w:lvlJc w:val="right"/>
      <w:pPr>
        <w:ind w:left="6060" w:hanging="180"/>
      </w:pPr>
    </w:lvl>
  </w:abstractNum>
  <w:abstractNum w:abstractNumId="18">
    <w:nsid w:val="38D61B53"/>
    <w:multiLevelType w:val="hybridMultilevel"/>
    <w:tmpl w:val="D2583BA2"/>
    <w:lvl w:ilvl="0" w:tplc="6B9EF1F4">
      <w:start w:val="1"/>
      <w:numFmt w:val="decimal"/>
      <w:lvlText w:val="%1."/>
      <w:lvlJc w:val="left"/>
      <w:pPr>
        <w:ind w:left="0" w:firstLine="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94E33C8"/>
    <w:multiLevelType w:val="multilevel"/>
    <w:tmpl w:val="770C7DF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3A6E507A"/>
    <w:multiLevelType w:val="hybridMultilevel"/>
    <w:tmpl w:val="1D442766"/>
    <w:lvl w:ilvl="0" w:tplc="0409001B">
      <w:start w:val="1"/>
      <w:numFmt w:val="lowerRoman"/>
      <w:lvlText w:val="%1."/>
      <w:lvlJc w:val="right"/>
      <w:pPr>
        <w:ind w:left="900" w:hanging="360"/>
      </w:pPr>
      <w:rPr>
        <w:rFonts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21">
    <w:nsid w:val="441B14EC"/>
    <w:multiLevelType w:val="multilevel"/>
    <w:tmpl w:val="74F8E43C"/>
    <w:lvl w:ilvl="0">
      <w:start w:val="1"/>
      <w:numFmt w:val="decimal"/>
      <w:pStyle w:val="Heading1"/>
      <w:lvlText w:val="%1"/>
      <w:lvlJc w:val="left"/>
      <w:pPr>
        <w:ind w:left="432" w:hanging="432"/>
      </w:pPr>
      <w:rPr>
        <w:color w:val="FFFFFF" w:themeColor="background1"/>
        <w:sz w:val="56"/>
        <w:szCs w:val="56"/>
      </w:rPr>
    </w:lvl>
    <w:lvl w:ilvl="1">
      <w:start w:val="1"/>
      <w:numFmt w:val="decimal"/>
      <w:pStyle w:val="Heading2"/>
      <w:lvlText w:val="%1.%2"/>
      <w:lvlJc w:val="left"/>
      <w:pPr>
        <w:ind w:left="576" w:hanging="576"/>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ind w:left="720" w:hanging="720"/>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2">
    <w:nsid w:val="479A1F85"/>
    <w:multiLevelType w:val="multilevel"/>
    <w:tmpl w:val="5D366EF4"/>
    <w:lvl w:ilvl="0">
      <w:start w:val="1"/>
      <w:numFmt w:val="lowerRoman"/>
      <w:lvlText w:val="%1."/>
      <w:lvlJc w:val="righ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4E85030A"/>
    <w:multiLevelType w:val="multilevel"/>
    <w:tmpl w:val="0AB4EE54"/>
    <w:lvl w:ilvl="0">
      <w:start w:val="1"/>
      <w:numFmt w:val="lowerRoman"/>
      <w:lvlText w:val="%1."/>
      <w:lvlJc w:val="left"/>
      <w:pPr>
        <w:ind w:left="1080" w:hanging="72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24">
    <w:nsid w:val="4FF8105B"/>
    <w:multiLevelType w:val="multilevel"/>
    <w:tmpl w:val="72062AC7"/>
    <w:lvl w:ilvl="0">
      <w:start w:val="1"/>
      <w:numFmt w:val="upperRoman"/>
      <w:suff w:val="space"/>
      <w:lvlText w:val="%1."/>
      <w:lvlJc w:val="left"/>
      <w:pPr>
        <w:ind w:left="180" w:firstLine="0"/>
      </w:pPr>
      <w:rPr>
        <w:rFonts w:ascii="Times New Roman" w:hAnsi="Times New Roman" w:cs="Times New Roman" w:hint="default"/>
        <w:b/>
        <w:bCs/>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5">
    <w:nsid w:val="51394ED8"/>
    <w:multiLevelType w:val="hybridMultilevel"/>
    <w:tmpl w:val="45727312"/>
    <w:lvl w:ilvl="0" w:tplc="4226FD3A">
      <w:start w:val="1"/>
      <w:numFmt w:val="decimal"/>
      <w:lvlText w:val="%1."/>
      <w:lvlJc w:val="left"/>
      <w:pPr>
        <w:ind w:left="720" w:hanging="360"/>
      </w:pPr>
      <w:rPr>
        <w:rFonts w:hint="default"/>
        <w:color w:val="2222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36209E"/>
    <w:multiLevelType w:val="hybridMultilevel"/>
    <w:tmpl w:val="94620F7A"/>
    <w:lvl w:ilvl="0" w:tplc="9F10BC6E">
      <w:start w:val="1"/>
      <w:numFmt w:val="lowerRoman"/>
      <w:lvlText w:val="ii%1"/>
      <w:lvlJc w:val="right"/>
      <w:pPr>
        <w:ind w:left="800" w:hanging="360"/>
      </w:pPr>
      <w:rPr>
        <w:rFonts w:hint="default"/>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27">
    <w:nsid w:val="5BCC68CF"/>
    <w:multiLevelType w:val="multilevel"/>
    <w:tmpl w:val="27534903"/>
    <w:lvl w:ilvl="0">
      <w:start w:val="1"/>
      <w:numFmt w:val="lowerRoman"/>
      <w:lvlText w:val="%1."/>
      <w:lvlJc w:val="left"/>
      <w:pPr>
        <w:ind w:left="1080" w:hanging="72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28">
    <w:nsid w:val="5CC13248"/>
    <w:multiLevelType w:val="hybridMultilevel"/>
    <w:tmpl w:val="6C8A747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52D44F5"/>
    <w:multiLevelType w:val="multilevel"/>
    <w:tmpl w:val="652D44F5"/>
    <w:lvl w:ilvl="0">
      <w:start w:val="1"/>
      <w:numFmt w:val="decimal"/>
      <w:lvlText w:val="%1."/>
      <w:lvlJc w:val="left"/>
      <w:pPr>
        <w:ind w:left="0" w:firstLine="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nsid w:val="69966639"/>
    <w:multiLevelType w:val="multilevel"/>
    <w:tmpl w:val="69966639"/>
    <w:lvl w:ilvl="0">
      <w:start w:val="1"/>
      <w:numFmt w:val="lowerRoman"/>
      <w:lvlText w:val="%1."/>
      <w:lvlJc w:val="left"/>
      <w:pPr>
        <w:ind w:left="1080" w:hanging="72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31">
    <w:nsid w:val="6E2C5661"/>
    <w:multiLevelType w:val="multilevel"/>
    <w:tmpl w:val="065EB6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703A302A"/>
    <w:multiLevelType w:val="multilevel"/>
    <w:tmpl w:val="20C45A4E"/>
    <w:lvl w:ilvl="0">
      <w:start w:val="1"/>
      <w:numFmt w:val="decimal"/>
      <w:lvlText w:val="%1"/>
      <w:lvlJc w:val="left"/>
      <w:pPr>
        <w:ind w:left="432" w:hanging="432"/>
      </w:pPr>
      <w:rPr>
        <w:color w:val="FFFFFF" w:themeColor="background1"/>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3">
    <w:nsid w:val="72062AC7"/>
    <w:multiLevelType w:val="multilevel"/>
    <w:tmpl w:val="72062AC7"/>
    <w:lvl w:ilvl="0">
      <w:start w:val="1"/>
      <w:numFmt w:val="upperRoman"/>
      <w:suff w:val="space"/>
      <w:lvlText w:val="%1."/>
      <w:lvlJc w:val="left"/>
      <w:pPr>
        <w:ind w:left="180" w:firstLine="0"/>
      </w:pPr>
      <w:rPr>
        <w:rFonts w:ascii="Times New Roman" w:hAnsi="Times New Roman" w:cs="Times New Roman" w:hint="default"/>
        <w:b/>
        <w:bCs/>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4">
    <w:nsid w:val="75807A3B"/>
    <w:multiLevelType w:val="hybridMultilevel"/>
    <w:tmpl w:val="AF84CE06"/>
    <w:lvl w:ilvl="0" w:tplc="56EC1C9A">
      <w:start w:val="13"/>
      <w:numFmt w:val="decimal"/>
      <w:lvlText w:val="%1."/>
      <w:lvlJc w:val="left"/>
      <w:pPr>
        <w:ind w:left="0" w:firstLine="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5">
    <w:nsid w:val="77333FBC"/>
    <w:multiLevelType w:val="multilevel"/>
    <w:tmpl w:val="69966639"/>
    <w:lvl w:ilvl="0">
      <w:start w:val="1"/>
      <w:numFmt w:val="lowerRoman"/>
      <w:lvlText w:val="%1."/>
      <w:lvlJc w:val="left"/>
      <w:pPr>
        <w:ind w:left="1080" w:hanging="72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36">
    <w:nsid w:val="7A223F86"/>
    <w:multiLevelType w:val="multilevel"/>
    <w:tmpl w:val="27534903"/>
    <w:lvl w:ilvl="0">
      <w:start w:val="1"/>
      <w:numFmt w:val="lowerRoman"/>
      <w:lvlText w:val="%1."/>
      <w:lvlJc w:val="left"/>
      <w:pPr>
        <w:ind w:left="1080" w:hanging="72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37">
    <w:nsid w:val="7A5F69AE"/>
    <w:multiLevelType w:val="multilevel"/>
    <w:tmpl w:val="69966639"/>
    <w:lvl w:ilvl="0">
      <w:start w:val="1"/>
      <w:numFmt w:val="lowerRoman"/>
      <w:lvlText w:val="%1."/>
      <w:lvlJc w:val="left"/>
      <w:pPr>
        <w:ind w:left="1080" w:hanging="72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38">
    <w:nsid w:val="7ADE632F"/>
    <w:multiLevelType w:val="hybridMultilevel"/>
    <w:tmpl w:val="C3507EF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C75615E"/>
    <w:multiLevelType w:val="hybridMultilevel"/>
    <w:tmpl w:val="CB761F3A"/>
    <w:lvl w:ilvl="0" w:tplc="4F10AABE">
      <w:start w:val="22"/>
      <w:numFmt w:val="decimal"/>
      <w:lvlText w:val="%1."/>
      <w:lvlJc w:val="left"/>
      <w:pPr>
        <w:ind w:left="0" w:firstLine="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num w:numId="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9"/>
  </w:num>
  <w:num w:numId="6">
    <w:abstractNumId w:val="9"/>
  </w:num>
  <w:num w:numId="7">
    <w:abstractNumId w:val="11"/>
  </w:num>
  <w:num w:numId="8">
    <w:abstractNumId w:val="18"/>
  </w:num>
  <w:num w:numId="9">
    <w:abstractNumId w:val="32"/>
  </w:num>
  <w:num w:numId="10">
    <w:abstractNumId w:val="16"/>
  </w:num>
  <w:num w:numId="11">
    <w:abstractNumId w:val="2"/>
  </w:num>
  <w:num w:numId="12">
    <w:abstractNumId w:val="0"/>
  </w:num>
  <w:num w:numId="13">
    <w:abstractNumId w:val="22"/>
  </w:num>
  <w:num w:numId="14">
    <w:abstractNumId w:val="19"/>
  </w:num>
  <w:num w:numId="15">
    <w:abstractNumId w:val="21"/>
  </w:num>
  <w:num w:numId="16">
    <w:abstractNumId w:val="24"/>
  </w:num>
  <w:num w:numId="17">
    <w:abstractNumId w:val="20"/>
  </w:num>
  <w:num w:numId="18">
    <w:abstractNumId w:val="26"/>
  </w:num>
  <w:num w:numId="19">
    <w:abstractNumId w:val="28"/>
  </w:num>
  <w:num w:numId="20">
    <w:abstractNumId w:val="10"/>
  </w:num>
  <w:num w:numId="21">
    <w:abstractNumId w:val="5"/>
  </w:num>
  <w:num w:numId="22">
    <w:abstractNumId w:val="23"/>
  </w:num>
  <w:num w:numId="23">
    <w:abstractNumId w:val="7"/>
  </w:num>
  <w:num w:numId="24">
    <w:abstractNumId w:val="1"/>
  </w:num>
  <w:num w:numId="25">
    <w:abstractNumId w:val="34"/>
  </w:num>
  <w:num w:numId="26">
    <w:abstractNumId w:val="15"/>
  </w:num>
  <w:num w:numId="27">
    <w:abstractNumId w:val="39"/>
  </w:num>
  <w:num w:numId="28">
    <w:abstractNumId w:val="12"/>
  </w:num>
  <w:num w:numId="29">
    <w:abstractNumId w:val="6"/>
  </w:num>
  <w:num w:numId="30">
    <w:abstractNumId w:val="17"/>
  </w:num>
  <w:num w:numId="31">
    <w:abstractNumId w:val="21"/>
    <w:lvlOverride w:ilvl="0">
      <w:startOverride w:val="4"/>
    </w:lvlOverride>
    <w:lvlOverride w:ilvl="1">
      <w:startOverride w:val="1"/>
    </w:lvlOverride>
  </w:num>
  <w:num w:numId="32">
    <w:abstractNumId w:val="21"/>
    <w:lvlOverride w:ilvl="0">
      <w:startOverride w:val="4"/>
    </w:lvlOverride>
    <w:lvlOverride w:ilvl="1">
      <w:startOverride w:val="2"/>
    </w:lvlOverride>
  </w:num>
  <w:num w:numId="33">
    <w:abstractNumId w:val="21"/>
    <w:lvlOverride w:ilvl="0">
      <w:startOverride w:val="4"/>
    </w:lvlOverride>
    <w:lvlOverride w:ilvl="1">
      <w:startOverride w:val="1"/>
    </w:lvlOverride>
  </w:num>
  <w:num w:numId="34">
    <w:abstractNumId w:val="21"/>
    <w:lvlOverride w:ilvl="0">
      <w:startOverride w:val="4"/>
    </w:lvlOverride>
    <w:lvlOverride w:ilvl="1">
      <w:startOverride w:val="1"/>
    </w:lvlOverride>
  </w:num>
  <w:num w:numId="35">
    <w:abstractNumId w:val="8"/>
  </w:num>
  <w:num w:numId="36">
    <w:abstractNumId w:val="38"/>
  </w:num>
  <w:num w:numId="37">
    <w:abstractNumId w:val="13"/>
  </w:num>
  <w:num w:numId="38">
    <w:abstractNumId w:val="25"/>
  </w:num>
  <w:num w:numId="39">
    <w:abstractNumId w:val="37"/>
  </w:num>
  <w:num w:numId="40">
    <w:abstractNumId w:val="35"/>
  </w:num>
  <w:num w:numId="41">
    <w:abstractNumId w:val="27"/>
  </w:num>
  <w:num w:numId="42">
    <w:abstractNumId w:val="3"/>
  </w:num>
  <w:num w:numId="43">
    <w:abstractNumId w:val="36"/>
  </w:num>
  <w:num w:numId="44">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20"/>
  <w:noPunctuationKerning/>
  <w:characterSpacingControl w:val="doNotCompress"/>
  <w:savePreviewPicture/>
  <w:hdrShapeDefaults>
    <o:shapedefaults v:ext="edit" spidmax="2049" fillcolor="white">
      <v:fill color="white"/>
    </o:shapedefaults>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2437"/>
    <w:rsid w:val="0000031D"/>
    <w:rsid w:val="00000CDC"/>
    <w:rsid w:val="00000EA2"/>
    <w:rsid w:val="00001210"/>
    <w:rsid w:val="00001C4F"/>
    <w:rsid w:val="00001ECC"/>
    <w:rsid w:val="00001F25"/>
    <w:rsid w:val="000021D1"/>
    <w:rsid w:val="00002CA2"/>
    <w:rsid w:val="00003046"/>
    <w:rsid w:val="00003539"/>
    <w:rsid w:val="00003B4A"/>
    <w:rsid w:val="00003CA1"/>
    <w:rsid w:val="00003F56"/>
    <w:rsid w:val="00004E73"/>
    <w:rsid w:val="0000657F"/>
    <w:rsid w:val="00007083"/>
    <w:rsid w:val="0000759F"/>
    <w:rsid w:val="00010082"/>
    <w:rsid w:val="00011E1A"/>
    <w:rsid w:val="00012930"/>
    <w:rsid w:val="00012CE1"/>
    <w:rsid w:val="0001392B"/>
    <w:rsid w:val="00013946"/>
    <w:rsid w:val="0001399B"/>
    <w:rsid w:val="00013D1C"/>
    <w:rsid w:val="0001427E"/>
    <w:rsid w:val="00014446"/>
    <w:rsid w:val="000144B9"/>
    <w:rsid w:val="0001506E"/>
    <w:rsid w:val="00015C98"/>
    <w:rsid w:val="00015DE5"/>
    <w:rsid w:val="0001629A"/>
    <w:rsid w:val="00016402"/>
    <w:rsid w:val="000172D6"/>
    <w:rsid w:val="000174B8"/>
    <w:rsid w:val="000176E9"/>
    <w:rsid w:val="00017A62"/>
    <w:rsid w:val="00017B26"/>
    <w:rsid w:val="00017F2A"/>
    <w:rsid w:val="00017F45"/>
    <w:rsid w:val="00020599"/>
    <w:rsid w:val="00020992"/>
    <w:rsid w:val="00020F9A"/>
    <w:rsid w:val="000218AC"/>
    <w:rsid w:val="00021ADF"/>
    <w:rsid w:val="0002280F"/>
    <w:rsid w:val="0002347C"/>
    <w:rsid w:val="00023A5A"/>
    <w:rsid w:val="000249BE"/>
    <w:rsid w:val="00025A72"/>
    <w:rsid w:val="00025CD3"/>
    <w:rsid w:val="000276C8"/>
    <w:rsid w:val="000279FD"/>
    <w:rsid w:val="00027A9E"/>
    <w:rsid w:val="00027B97"/>
    <w:rsid w:val="00027DD9"/>
    <w:rsid w:val="00030291"/>
    <w:rsid w:val="000307CF"/>
    <w:rsid w:val="0003145A"/>
    <w:rsid w:val="00031734"/>
    <w:rsid w:val="000320ED"/>
    <w:rsid w:val="000332C1"/>
    <w:rsid w:val="000337CE"/>
    <w:rsid w:val="0003393E"/>
    <w:rsid w:val="00034A84"/>
    <w:rsid w:val="00034D8F"/>
    <w:rsid w:val="000362ED"/>
    <w:rsid w:val="000372EB"/>
    <w:rsid w:val="00037649"/>
    <w:rsid w:val="00037BC2"/>
    <w:rsid w:val="00041462"/>
    <w:rsid w:val="000419F4"/>
    <w:rsid w:val="00041B14"/>
    <w:rsid w:val="00041E9B"/>
    <w:rsid w:val="00041EFB"/>
    <w:rsid w:val="00042469"/>
    <w:rsid w:val="000424E3"/>
    <w:rsid w:val="0004271F"/>
    <w:rsid w:val="00042AF9"/>
    <w:rsid w:val="00042E31"/>
    <w:rsid w:val="00042E76"/>
    <w:rsid w:val="00043715"/>
    <w:rsid w:val="000447DA"/>
    <w:rsid w:val="000448C2"/>
    <w:rsid w:val="00044C0F"/>
    <w:rsid w:val="000451BC"/>
    <w:rsid w:val="000451DC"/>
    <w:rsid w:val="00045802"/>
    <w:rsid w:val="00046E17"/>
    <w:rsid w:val="0004704D"/>
    <w:rsid w:val="0005003E"/>
    <w:rsid w:val="00050775"/>
    <w:rsid w:val="00050AEE"/>
    <w:rsid w:val="00050FD0"/>
    <w:rsid w:val="00051CD3"/>
    <w:rsid w:val="00051DAF"/>
    <w:rsid w:val="000522D0"/>
    <w:rsid w:val="0005249F"/>
    <w:rsid w:val="0005299F"/>
    <w:rsid w:val="000541D7"/>
    <w:rsid w:val="000542B2"/>
    <w:rsid w:val="0005457D"/>
    <w:rsid w:val="00054C13"/>
    <w:rsid w:val="000550A0"/>
    <w:rsid w:val="00055C96"/>
    <w:rsid w:val="00055D75"/>
    <w:rsid w:val="0005633F"/>
    <w:rsid w:val="00056D94"/>
    <w:rsid w:val="000575F3"/>
    <w:rsid w:val="00057F84"/>
    <w:rsid w:val="00060083"/>
    <w:rsid w:val="00060B92"/>
    <w:rsid w:val="00060C8B"/>
    <w:rsid w:val="00060F17"/>
    <w:rsid w:val="0006117C"/>
    <w:rsid w:val="000616B5"/>
    <w:rsid w:val="00061A30"/>
    <w:rsid w:val="00061A89"/>
    <w:rsid w:val="00061CCF"/>
    <w:rsid w:val="00062032"/>
    <w:rsid w:val="00062098"/>
    <w:rsid w:val="0006209D"/>
    <w:rsid w:val="000623CD"/>
    <w:rsid w:val="000635BA"/>
    <w:rsid w:val="000637D4"/>
    <w:rsid w:val="0006383C"/>
    <w:rsid w:val="00063D6A"/>
    <w:rsid w:val="000641D9"/>
    <w:rsid w:val="00064525"/>
    <w:rsid w:val="00064AFE"/>
    <w:rsid w:val="00065AD2"/>
    <w:rsid w:val="00065E76"/>
    <w:rsid w:val="00065F24"/>
    <w:rsid w:val="000662D9"/>
    <w:rsid w:val="000670B1"/>
    <w:rsid w:val="00070197"/>
    <w:rsid w:val="00070293"/>
    <w:rsid w:val="000706E1"/>
    <w:rsid w:val="000707FE"/>
    <w:rsid w:val="00070845"/>
    <w:rsid w:val="00070DE8"/>
    <w:rsid w:val="00071585"/>
    <w:rsid w:val="00072188"/>
    <w:rsid w:val="000728C1"/>
    <w:rsid w:val="0007296D"/>
    <w:rsid w:val="00072E7F"/>
    <w:rsid w:val="00073148"/>
    <w:rsid w:val="00073A6C"/>
    <w:rsid w:val="00073BA1"/>
    <w:rsid w:val="00073C2B"/>
    <w:rsid w:val="00073EEF"/>
    <w:rsid w:val="00074458"/>
    <w:rsid w:val="00074E25"/>
    <w:rsid w:val="00074F0F"/>
    <w:rsid w:val="0007694E"/>
    <w:rsid w:val="000771FA"/>
    <w:rsid w:val="00077D54"/>
    <w:rsid w:val="0008037E"/>
    <w:rsid w:val="00080420"/>
    <w:rsid w:val="0008060F"/>
    <w:rsid w:val="000809F8"/>
    <w:rsid w:val="00080E3A"/>
    <w:rsid w:val="0008171D"/>
    <w:rsid w:val="00081ED0"/>
    <w:rsid w:val="00082486"/>
    <w:rsid w:val="000828AE"/>
    <w:rsid w:val="00082C1A"/>
    <w:rsid w:val="00083A73"/>
    <w:rsid w:val="00083ED5"/>
    <w:rsid w:val="0008416C"/>
    <w:rsid w:val="00084B58"/>
    <w:rsid w:val="00084CA9"/>
    <w:rsid w:val="00085706"/>
    <w:rsid w:val="000857BC"/>
    <w:rsid w:val="000857C5"/>
    <w:rsid w:val="000866F0"/>
    <w:rsid w:val="00086BD8"/>
    <w:rsid w:val="00086F72"/>
    <w:rsid w:val="00087DAE"/>
    <w:rsid w:val="00087F00"/>
    <w:rsid w:val="00087FC1"/>
    <w:rsid w:val="00090027"/>
    <w:rsid w:val="00090959"/>
    <w:rsid w:val="00090BA9"/>
    <w:rsid w:val="00090CBE"/>
    <w:rsid w:val="00091348"/>
    <w:rsid w:val="000917BE"/>
    <w:rsid w:val="00091AE2"/>
    <w:rsid w:val="00091F01"/>
    <w:rsid w:val="00092175"/>
    <w:rsid w:val="00092362"/>
    <w:rsid w:val="000937A9"/>
    <w:rsid w:val="00094102"/>
    <w:rsid w:val="00094BB0"/>
    <w:rsid w:val="00095708"/>
    <w:rsid w:val="0009599F"/>
    <w:rsid w:val="00095DF8"/>
    <w:rsid w:val="000964C1"/>
    <w:rsid w:val="000966EF"/>
    <w:rsid w:val="00097D2C"/>
    <w:rsid w:val="000A03BD"/>
    <w:rsid w:val="000A0435"/>
    <w:rsid w:val="000A158A"/>
    <w:rsid w:val="000A15D2"/>
    <w:rsid w:val="000A1F87"/>
    <w:rsid w:val="000A26EF"/>
    <w:rsid w:val="000A2C86"/>
    <w:rsid w:val="000A5270"/>
    <w:rsid w:val="000A5E64"/>
    <w:rsid w:val="000A654C"/>
    <w:rsid w:val="000A7253"/>
    <w:rsid w:val="000A7607"/>
    <w:rsid w:val="000A7631"/>
    <w:rsid w:val="000A79C6"/>
    <w:rsid w:val="000A7BA9"/>
    <w:rsid w:val="000B0368"/>
    <w:rsid w:val="000B10BF"/>
    <w:rsid w:val="000B138F"/>
    <w:rsid w:val="000B145B"/>
    <w:rsid w:val="000B1524"/>
    <w:rsid w:val="000B194A"/>
    <w:rsid w:val="000B27B2"/>
    <w:rsid w:val="000B2B08"/>
    <w:rsid w:val="000B4239"/>
    <w:rsid w:val="000B4670"/>
    <w:rsid w:val="000B5254"/>
    <w:rsid w:val="000B5495"/>
    <w:rsid w:val="000B5622"/>
    <w:rsid w:val="000B5662"/>
    <w:rsid w:val="000B5946"/>
    <w:rsid w:val="000B5D4B"/>
    <w:rsid w:val="000B5D4D"/>
    <w:rsid w:val="000B6A45"/>
    <w:rsid w:val="000B7ADB"/>
    <w:rsid w:val="000B7FD5"/>
    <w:rsid w:val="000C0199"/>
    <w:rsid w:val="000C0D9A"/>
    <w:rsid w:val="000C0F9E"/>
    <w:rsid w:val="000C15D1"/>
    <w:rsid w:val="000C180F"/>
    <w:rsid w:val="000C1AA9"/>
    <w:rsid w:val="000C1E23"/>
    <w:rsid w:val="000C2400"/>
    <w:rsid w:val="000C2477"/>
    <w:rsid w:val="000C2DF3"/>
    <w:rsid w:val="000C35E7"/>
    <w:rsid w:val="000C3DF4"/>
    <w:rsid w:val="000C4AAA"/>
    <w:rsid w:val="000C4C50"/>
    <w:rsid w:val="000C4CC2"/>
    <w:rsid w:val="000C4CCF"/>
    <w:rsid w:val="000C4EF0"/>
    <w:rsid w:val="000C5420"/>
    <w:rsid w:val="000C54FC"/>
    <w:rsid w:val="000C65B6"/>
    <w:rsid w:val="000C6719"/>
    <w:rsid w:val="000C6ADA"/>
    <w:rsid w:val="000C7D4B"/>
    <w:rsid w:val="000D022F"/>
    <w:rsid w:val="000D0648"/>
    <w:rsid w:val="000D0855"/>
    <w:rsid w:val="000D12D1"/>
    <w:rsid w:val="000D19E6"/>
    <w:rsid w:val="000D1B47"/>
    <w:rsid w:val="000D21D3"/>
    <w:rsid w:val="000D2275"/>
    <w:rsid w:val="000D2599"/>
    <w:rsid w:val="000D2B0A"/>
    <w:rsid w:val="000D2B39"/>
    <w:rsid w:val="000D3955"/>
    <w:rsid w:val="000D3CD9"/>
    <w:rsid w:val="000D475E"/>
    <w:rsid w:val="000D47E5"/>
    <w:rsid w:val="000D5069"/>
    <w:rsid w:val="000D5D60"/>
    <w:rsid w:val="000D60FC"/>
    <w:rsid w:val="000D631B"/>
    <w:rsid w:val="000D6655"/>
    <w:rsid w:val="000D6B37"/>
    <w:rsid w:val="000E001B"/>
    <w:rsid w:val="000E0922"/>
    <w:rsid w:val="000E1194"/>
    <w:rsid w:val="000E1BD5"/>
    <w:rsid w:val="000E20D6"/>
    <w:rsid w:val="000E295B"/>
    <w:rsid w:val="000E2B01"/>
    <w:rsid w:val="000E3281"/>
    <w:rsid w:val="000E45F5"/>
    <w:rsid w:val="000E5A40"/>
    <w:rsid w:val="000E5D2B"/>
    <w:rsid w:val="000E6240"/>
    <w:rsid w:val="000E6365"/>
    <w:rsid w:val="000E66DC"/>
    <w:rsid w:val="000E6995"/>
    <w:rsid w:val="000E7068"/>
    <w:rsid w:val="000E70AC"/>
    <w:rsid w:val="000E73A9"/>
    <w:rsid w:val="000E753B"/>
    <w:rsid w:val="000E7A55"/>
    <w:rsid w:val="000E7A7E"/>
    <w:rsid w:val="000E7E8F"/>
    <w:rsid w:val="000F010A"/>
    <w:rsid w:val="000F027F"/>
    <w:rsid w:val="000F0405"/>
    <w:rsid w:val="000F11BD"/>
    <w:rsid w:val="000F1AD4"/>
    <w:rsid w:val="000F1C02"/>
    <w:rsid w:val="000F1F97"/>
    <w:rsid w:val="000F32B8"/>
    <w:rsid w:val="000F39F3"/>
    <w:rsid w:val="000F3F4E"/>
    <w:rsid w:val="000F400A"/>
    <w:rsid w:val="000F5054"/>
    <w:rsid w:val="000F525D"/>
    <w:rsid w:val="000F52DB"/>
    <w:rsid w:val="000F550C"/>
    <w:rsid w:val="000F56C1"/>
    <w:rsid w:val="000F5A27"/>
    <w:rsid w:val="000F5F46"/>
    <w:rsid w:val="000F6857"/>
    <w:rsid w:val="000F7A85"/>
    <w:rsid w:val="000F7B1B"/>
    <w:rsid w:val="001002CD"/>
    <w:rsid w:val="00100679"/>
    <w:rsid w:val="0010138B"/>
    <w:rsid w:val="00101BD2"/>
    <w:rsid w:val="00102039"/>
    <w:rsid w:val="001024B7"/>
    <w:rsid w:val="00103ED5"/>
    <w:rsid w:val="001042E4"/>
    <w:rsid w:val="001044D6"/>
    <w:rsid w:val="0010481D"/>
    <w:rsid w:val="00105132"/>
    <w:rsid w:val="00105614"/>
    <w:rsid w:val="0010573A"/>
    <w:rsid w:val="0010618D"/>
    <w:rsid w:val="0010660C"/>
    <w:rsid w:val="00106C31"/>
    <w:rsid w:val="00107A3B"/>
    <w:rsid w:val="00107F1C"/>
    <w:rsid w:val="0011078F"/>
    <w:rsid w:val="001109A0"/>
    <w:rsid w:val="001109A5"/>
    <w:rsid w:val="00110D64"/>
    <w:rsid w:val="00110F4A"/>
    <w:rsid w:val="0011100F"/>
    <w:rsid w:val="001110AA"/>
    <w:rsid w:val="00111520"/>
    <w:rsid w:val="00111572"/>
    <w:rsid w:val="00111E80"/>
    <w:rsid w:val="0011263F"/>
    <w:rsid w:val="0011280E"/>
    <w:rsid w:val="001139BA"/>
    <w:rsid w:val="00113CDE"/>
    <w:rsid w:val="001147E9"/>
    <w:rsid w:val="00114EA6"/>
    <w:rsid w:val="00114EE1"/>
    <w:rsid w:val="001150D9"/>
    <w:rsid w:val="001159A0"/>
    <w:rsid w:val="00116DB8"/>
    <w:rsid w:val="00116F39"/>
    <w:rsid w:val="00120917"/>
    <w:rsid w:val="001218FC"/>
    <w:rsid w:val="00121F2A"/>
    <w:rsid w:val="001226AE"/>
    <w:rsid w:val="00123F00"/>
    <w:rsid w:val="00124BA9"/>
    <w:rsid w:val="00125AA5"/>
    <w:rsid w:val="001263A7"/>
    <w:rsid w:val="00126C25"/>
    <w:rsid w:val="001309A3"/>
    <w:rsid w:val="00130A7D"/>
    <w:rsid w:val="0013121F"/>
    <w:rsid w:val="00131522"/>
    <w:rsid w:val="00132295"/>
    <w:rsid w:val="00132546"/>
    <w:rsid w:val="001330B6"/>
    <w:rsid w:val="001333E0"/>
    <w:rsid w:val="0013375F"/>
    <w:rsid w:val="0013386C"/>
    <w:rsid w:val="001339E5"/>
    <w:rsid w:val="001341A7"/>
    <w:rsid w:val="00134A86"/>
    <w:rsid w:val="00134C49"/>
    <w:rsid w:val="001353E1"/>
    <w:rsid w:val="00135C19"/>
    <w:rsid w:val="00136735"/>
    <w:rsid w:val="00136FD4"/>
    <w:rsid w:val="001374BD"/>
    <w:rsid w:val="0014060D"/>
    <w:rsid w:val="001411C0"/>
    <w:rsid w:val="00141EDA"/>
    <w:rsid w:val="00143603"/>
    <w:rsid w:val="001437AB"/>
    <w:rsid w:val="00143ECB"/>
    <w:rsid w:val="00144409"/>
    <w:rsid w:val="001447F0"/>
    <w:rsid w:val="0014534B"/>
    <w:rsid w:val="00145533"/>
    <w:rsid w:val="00145612"/>
    <w:rsid w:val="00145A00"/>
    <w:rsid w:val="00145D4E"/>
    <w:rsid w:val="00146121"/>
    <w:rsid w:val="00146B18"/>
    <w:rsid w:val="00146C02"/>
    <w:rsid w:val="00146E42"/>
    <w:rsid w:val="00146F02"/>
    <w:rsid w:val="00147038"/>
    <w:rsid w:val="00147062"/>
    <w:rsid w:val="001470DA"/>
    <w:rsid w:val="00147672"/>
    <w:rsid w:val="00150F85"/>
    <w:rsid w:val="00151765"/>
    <w:rsid w:val="00151947"/>
    <w:rsid w:val="0015211E"/>
    <w:rsid w:val="00152480"/>
    <w:rsid w:val="00152629"/>
    <w:rsid w:val="00152C51"/>
    <w:rsid w:val="001532A2"/>
    <w:rsid w:val="00153919"/>
    <w:rsid w:val="00153DB0"/>
    <w:rsid w:val="001540B8"/>
    <w:rsid w:val="001543DF"/>
    <w:rsid w:val="00154436"/>
    <w:rsid w:val="0015443C"/>
    <w:rsid w:val="00154BAF"/>
    <w:rsid w:val="00154C8A"/>
    <w:rsid w:val="00155134"/>
    <w:rsid w:val="00155595"/>
    <w:rsid w:val="00156FDF"/>
    <w:rsid w:val="001576DE"/>
    <w:rsid w:val="00157CA5"/>
    <w:rsid w:val="00160465"/>
    <w:rsid w:val="0016075E"/>
    <w:rsid w:val="00161584"/>
    <w:rsid w:val="001615C4"/>
    <w:rsid w:val="001616E5"/>
    <w:rsid w:val="00161CBC"/>
    <w:rsid w:val="00161D2A"/>
    <w:rsid w:val="00162089"/>
    <w:rsid w:val="001620BB"/>
    <w:rsid w:val="00162437"/>
    <w:rsid w:val="001624C7"/>
    <w:rsid w:val="00162D19"/>
    <w:rsid w:val="0016344B"/>
    <w:rsid w:val="00163663"/>
    <w:rsid w:val="00163CE6"/>
    <w:rsid w:val="00163D45"/>
    <w:rsid w:val="0016518B"/>
    <w:rsid w:val="00165681"/>
    <w:rsid w:val="00165933"/>
    <w:rsid w:val="00166164"/>
    <w:rsid w:val="00167321"/>
    <w:rsid w:val="0016741C"/>
    <w:rsid w:val="00167BDA"/>
    <w:rsid w:val="00167E0E"/>
    <w:rsid w:val="00171026"/>
    <w:rsid w:val="00171A8D"/>
    <w:rsid w:val="00171C86"/>
    <w:rsid w:val="00172684"/>
    <w:rsid w:val="00172704"/>
    <w:rsid w:val="00173069"/>
    <w:rsid w:val="00173141"/>
    <w:rsid w:val="00174A5C"/>
    <w:rsid w:val="00174FDB"/>
    <w:rsid w:val="0017570C"/>
    <w:rsid w:val="00177310"/>
    <w:rsid w:val="0017778F"/>
    <w:rsid w:val="00177A89"/>
    <w:rsid w:val="00180257"/>
    <w:rsid w:val="001807A4"/>
    <w:rsid w:val="001809FC"/>
    <w:rsid w:val="00180A55"/>
    <w:rsid w:val="001810C8"/>
    <w:rsid w:val="0018156A"/>
    <w:rsid w:val="00182D8D"/>
    <w:rsid w:val="00182ECB"/>
    <w:rsid w:val="00183A74"/>
    <w:rsid w:val="001840B0"/>
    <w:rsid w:val="00184121"/>
    <w:rsid w:val="00184A32"/>
    <w:rsid w:val="00184EE1"/>
    <w:rsid w:val="00184FC7"/>
    <w:rsid w:val="00185371"/>
    <w:rsid w:val="00186307"/>
    <w:rsid w:val="00186643"/>
    <w:rsid w:val="001867D0"/>
    <w:rsid w:val="00186FA0"/>
    <w:rsid w:val="001912C6"/>
    <w:rsid w:val="00191448"/>
    <w:rsid w:val="00191592"/>
    <w:rsid w:val="00191655"/>
    <w:rsid w:val="00191BA5"/>
    <w:rsid w:val="00192171"/>
    <w:rsid w:val="00192355"/>
    <w:rsid w:val="00193033"/>
    <w:rsid w:val="00193142"/>
    <w:rsid w:val="00193969"/>
    <w:rsid w:val="00193F1F"/>
    <w:rsid w:val="00193F69"/>
    <w:rsid w:val="0019495D"/>
    <w:rsid w:val="00194B42"/>
    <w:rsid w:val="00194C61"/>
    <w:rsid w:val="00194E19"/>
    <w:rsid w:val="00194FF7"/>
    <w:rsid w:val="001951E0"/>
    <w:rsid w:val="00195678"/>
    <w:rsid w:val="001958D7"/>
    <w:rsid w:val="0019630D"/>
    <w:rsid w:val="00196368"/>
    <w:rsid w:val="00196A71"/>
    <w:rsid w:val="00196D9B"/>
    <w:rsid w:val="00196E54"/>
    <w:rsid w:val="00197696"/>
    <w:rsid w:val="001979DB"/>
    <w:rsid w:val="00197E55"/>
    <w:rsid w:val="001A01DA"/>
    <w:rsid w:val="001A01DE"/>
    <w:rsid w:val="001A0A6F"/>
    <w:rsid w:val="001A11E5"/>
    <w:rsid w:val="001A14C3"/>
    <w:rsid w:val="001A15A6"/>
    <w:rsid w:val="001A22ED"/>
    <w:rsid w:val="001A28FC"/>
    <w:rsid w:val="001A3D64"/>
    <w:rsid w:val="001A450C"/>
    <w:rsid w:val="001A45E5"/>
    <w:rsid w:val="001A479D"/>
    <w:rsid w:val="001A48CE"/>
    <w:rsid w:val="001A4A8E"/>
    <w:rsid w:val="001A4D90"/>
    <w:rsid w:val="001A4E6D"/>
    <w:rsid w:val="001A4FD7"/>
    <w:rsid w:val="001A5394"/>
    <w:rsid w:val="001A5903"/>
    <w:rsid w:val="001A6F91"/>
    <w:rsid w:val="001A7053"/>
    <w:rsid w:val="001B0245"/>
    <w:rsid w:val="001B09D8"/>
    <w:rsid w:val="001B17E9"/>
    <w:rsid w:val="001B1C0E"/>
    <w:rsid w:val="001B1E8B"/>
    <w:rsid w:val="001B2751"/>
    <w:rsid w:val="001B37F8"/>
    <w:rsid w:val="001B3BFE"/>
    <w:rsid w:val="001B3F13"/>
    <w:rsid w:val="001B5801"/>
    <w:rsid w:val="001B5967"/>
    <w:rsid w:val="001B5B97"/>
    <w:rsid w:val="001B66D8"/>
    <w:rsid w:val="001B6EE5"/>
    <w:rsid w:val="001B6FD0"/>
    <w:rsid w:val="001B70B4"/>
    <w:rsid w:val="001B7341"/>
    <w:rsid w:val="001B74DE"/>
    <w:rsid w:val="001B7AEC"/>
    <w:rsid w:val="001B7BA4"/>
    <w:rsid w:val="001B7CA4"/>
    <w:rsid w:val="001C0267"/>
    <w:rsid w:val="001C0A9D"/>
    <w:rsid w:val="001C16BD"/>
    <w:rsid w:val="001C1B42"/>
    <w:rsid w:val="001C1B72"/>
    <w:rsid w:val="001C227B"/>
    <w:rsid w:val="001C31E9"/>
    <w:rsid w:val="001C355E"/>
    <w:rsid w:val="001C4930"/>
    <w:rsid w:val="001C4973"/>
    <w:rsid w:val="001C4AC9"/>
    <w:rsid w:val="001C5929"/>
    <w:rsid w:val="001C5DE4"/>
    <w:rsid w:val="001C61A4"/>
    <w:rsid w:val="001C65B0"/>
    <w:rsid w:val="001C66C2"/>
    <w:rsid w:val="001C679E"/>
    <w:rsid w:val="001C6871"/>
    <w:rsid w:val="001C75BB"/>
    <w:rsid w:val="001C792D"/>
    <w:rsid w:val="001C7BD8"/>
    <w:rsid w:val="001D0FC7"/>
    <w:rsid w:val="001D11A6"/>
    <w:rsid w:val="001D1850"/>
    <w:rsid w:val="001D1917"/>
    <w:rsid w:val="001D1D57"/>
    <w:rsid w:val="001D2075"/>
    <w:rsid w:val="001D2608"/>
    <w:rsid w:val="001D2E5C"/>
    <w:rsid w:val="001D3197"/>
    <w:rsid w:val="001D3261"/>
    <w:rsid w:val="001D3CEF"/>
    <w:rsid w:val="001D40E5"/>
    <w:rsid w:val="001D48BF"/>
    <w:rsid w:val="001D4BEE"/>
    <w:rsid w:val="001D4E30"/>
    <w:rsid w:val="001D4E49"/>
    <w:rsid w:val="001D4E53"/>
    <w:rsid w:val="001D585A"/>
    <w:rsid w:val="001D5BCF"/>
    <w:rsid w:val="001D6681"/>
    <w:rsid w:val="001D7001"/>
    <w:rsid w:val="001D7765"/>
    <w:rsid w:val="001D78D5"/>
    <w:rsid w:val="001D7961"/>
    <w:rsid w:val="001E0BD2"/>
    <w:rsid w:val="001E0F5A"/>
    <w:rsid w:val="001E0FBD"/>
    <w:rsid w:val="001E1CBB"/>
    <w:rsid w:val="001E1E03"/>
    <w:rsid w:val="001E1EDB"/>
    <w:rsid w:val="001E2076"/>
    <w:rsid w:val="001E24B2"/>
    <w:rsid w:val="001E2F19"/>
    <w:rsid w:val="001E2F8F"/>
    <w:rsid w:val="001E304E"/>
    <w:rsid w:val="001E3325"/>
    <w:rsid w:val="001E35AD"/>
    <w:rsid w:val="001E393D"/>
    <w:rsid w:val="001E3C2D"/>
    <w:rsid w:val="001E471A"/>
    <w:rsid w:val="001E4780"/>
    <w:rsid w:val="001E4AC4"/>
    <w:rsid w:val="001E4B26"/>
    <w:rsid w:val="001E4B54"/>
    <w:rsid w:val="001E5346"/>
    <w:rsid w:val="001E5CBE"/>
    <w:rsid w:val="001E64ED"/>
    <w:rsid w:val="001E6B7B"/>
    <w:rsid w:val="001E6F62"/>
    <w:rsid w:val="001E6FA3"/>
    <w:rsid w:val="001E793E"/>
    <w:rsid w:val="001E7B2F"/>
    <w:rsid w:val="001F0233"/>
    <w:rsid w:val="001F03CC"/>
    <w:rsid w:val="001F051E"/>
    <w:rsid w:val="001F06D0"/>
    <w:rsid w:val="001F0E68"/>
    <w:rsid w:val="001F2A13"/>
    <w:rsid w:val="001F2C8A"/>
    <w:rsid w:val="001F2C9F"/>
    <w:rsid w:val="001F2E99"/>
    <w:rsid w:val="001F4DD4"/>
    <w:rsid w:val="001F4E36"/>
    <w:rsid w:val="001F61D7"/>
    <w:rsid w:val="001F65BB"/>
    <w:rsid w:val="001F6A0C"/>
    <w:rsid w:val="001F6CE4"/>
    <w:rsid w:val="001F7FB5"/>
    <w:rsid w:val="00200053"/>
    <w:rsid w:val="00200503"/>
    <w:rsid w:val="002007A8"/>
    <w:rsid w:val="002014AB"/>
    <w:rsid w:val="002016BC"/>
    <w:rsid w:val="002022F6"/>
    <w:rsid w:val="00202612"/>
    <w:rsid w:val="00202AD2"/>
    <w:rsid w:val="00202C98"/>
    <w:rsid w:val="00203455"/>
    <w:rsid w:val="00203AB7"/>
    <w:rsid w:val="002040F4"/>
    <w:rsid w:val="002043B9"/>
    <w:rsid w:val="00204E19"/>
    <w:rsid w:val="00205968"/>
    <w:rsid w:val="00205B52"/>
    <w:rsid w:val="00206096"/>
    <w:rsid w:val="00207685"/>
    <w:rsid w:val="002101D1"/>
    <w:rsid w:val="00210557"/>
    <w:rsid w:val="00210919"/>
    <w:rsid w:val="002114FB"/>
    <w:rsid w:val="002118CF"/>
    <w:rsid w:val="00211C07"/>
    <w:rsid w:val="002122A2"/>
    <w:rsid w:val="00212E15"/>
    <w:rsid w:val="00212F1E"/>
    <w:rsid w:val="00213071"/>
    <w:rsid w:val="00213394"/>
    <w:rsid w:val="00213C2D"/>
    <w:rsid w:val="00213CD3"/>
    <w:rsid w:val="00214060"/>
    <w:rsid w:val="0021447E"/>
    <w:rsid w:val="002146AB"/>
    <w:rsid w:val="002146D0"/>
    <w:rsid w:val="00214708"/>
    <w:rsid w:val="00214C57"/>
    <w:rsid w:val="00215139"/>
    <w:rsid w:val="0021525F"/>
    <w:rsid w:val="00215526"/>
    <w:rsid w:val="00215948"/>
    <w:rsid w:val="00215C54"/>
    <w:rsid w:val="00216204"/>
    <w:rsid w:val="00216507"/>
    <w:rsid w:val="002166AA"/>
    <w:rsid w:val="002166C9"/>
    <w:rsid w:val="002175E0"/>
    <w:rsid w:val="002177C4"/>
    <w:rsid w:val="00217AA1"/>
    <w:rsid w:val="00217AE3"/>
    <w:rsid w:val="00217F81"/>
    <w:rsid w:val="002214C1"/>
    <w:rsid w:val="0022176E"/>
    <w:rsid w:val="002221F2"/>
    <w:rsid w:val="00222A2B"/>
    <w:rsid w:val="00222D5A"/>
    <w:rsid w:val="00222F0F"/>
    <w:rsid w:val="00222FF1"/>
    <w:rsid w:val="00223327"/>
    <w:rsid w:val="00223837"/>
    <w:rsid w:val="00223986"/>
    <w:rsid w:val="00223AC5"/>
    <w:rsid w:val="00225094"/>
    <w:rsid w:val="00225877"/>
    <w:rsid w:val="00225C6D"/>
    <w:rsid w:val="002262AD"/>
    <w:rsid w:val="00226330"/>
    <w:rsid w:val="00227100"/>
    <w:rsid w:val="002276A7"/>
    <w:rsid w:val="00227AD4"/>
    <w:rsid w:val="00230300"/>
    <w:rsid w:val="002309EE"/>
    <w:rsid w:val="002318F6"/>
    <w:rsid w:val="00231CB7"/>
    <w:rsid w:val="00231D10"/>
    <w:rsid w:val="00232245"/>
    <w:rsid w:val="0023323B"/>
    <w:rsid w:val="002334B6"/>
    <w:rsid w:val="002334C6"/>
    <w:rsid w:val="00233591"/>
    <w:rsid w:val="00233EB8"/>
    <w:rsid w:val="00234301"/>
    <w:rsid w:val="00234521"/>
    <w:rsid w:val="00234BCB"/>
    <w:rsid w:val="00234D7A"/>
    <w:rsid w:val="00235592"/>
    <w:rsid w:val="002356D1"/>
    <w:rsid w:val="00235A84"/>
    <w:rsid w:val="00235EDE"/>
    <w:rsid w:val="0023622D"/>
    <w:rsid w:val="00236B39"/>
    <w:rsid w:val="00237062"/>
    <w:rsid w:val="00237578"/>
    <w:rsid w:val="002407AE"/>
    <w:rsid w:val="0024127D"/>
    <w:rsid w:val="002417A1"/>
    <w:rsid w:val="00242E9B"/>
    <w:rsid w:val="00243832"/>
    <w:rsid w:val="002449C9"/>
    <w:rsid w:val="00245447"/>
    <w:rsid w:val="00245506"/>
    <w:rsid w:val="002460FE"/>
    <w:rsid w:val="00246CEB"/>
    <w:rsid w:val="00247A2E"/>
    <w:rsid w:val="00247E59"/>
    <w:rsid w:val="002503FD"/>
    <w:rsid w:val="00250DCF"/>
    <w:rsid w:val="00250F24"/>
    <w:rsid w:val="002515E7"/>
    <w:rsid w:val="002516EA"/>
    <w:rsid w:val="00251A1E"/>
    <w:rsid w:val="00251AA7"/>
    <w:rsid w:val="00251AEA"/>
    <w:rsid w:val="00251C6B"/>
    <w:rsid w:val="00252582"/>
    <w:rsid w:val="002533C5"/>
    <w:rsid w:val="00253439"/>
    <w:rsid w:val="002535D7"/>
    <w:rsid w:val="00253A14"/>
    <w:rsid w:val="00253D93"/>
    <w:rsid w:val="002542F2"/>
    <w:rsid w:val="0025503B"/>
    <w:rsid w:val="00255248"/>
    <w:rsid w:val="002554EF"/>
    <w:rsid w:val="00255559"/>
    <w:rsid w:val="00255AB3"/>
    <w:rsid w:val="00255BFD"/>
    <w:rsid w:val="00256191"/>
    <w:rsid w:val="00256FBD"/>
    <w:rsid w:val="002573B9"/>
    <w:rsid w:val="0025745D"/>
    <w:rsid w:val="0025799D"/>
    <w:rsid w:val="0026024B"/>
    <w:rsid w:val="00260818"/>
    <w:rsid w:val="00261110"/>
    <w:rsid w:val="002611C8"/>
    <w:rsid w:val="00261235"/>
    <w:rsid w:val="0026125E"/>
    <w:rsid w:val="00262011"/>
    <w:rsid w:val="00262AC2"/>
    <w:rsid w:val="00262ACC"/>
    <w:rsid w:val="002634E2"/>
    <w:rsid w:val="00263773"/>
    <w:rsid w:val="00263F46"/>
    <w:rsid w:val="002647C7"/>
    <w:rsid w:val="00264AF2"/>
    <w:rsid w:val="00265AD0"/>
    <w:rsid w:val="00265D9D"/>
    <w:rsid w:val="00266E57"/>
    <w:rsid w:val="00270091"/>
    <w:rsid w:val="00270925"/>
    <w:rsid w:val="00270D22"/>
    <w:rsid w:val="002711BD"/>
    <w:rsid w:val="002719A4"/>
    <w:rsid w:val="00271F03"/>
    <w:rsid w:val="00271F5E"/>
    <w:rsid w:val="0027255A"/>
    <w:rsid w:val="002732C2"/>
    <w:rsid w:val="002738F7"/>
    <w:rsid w:val="0027404E"/>
    <w:rsid w:val="0027439C"/>
    <w:rsid w:val="00274BD1"/>
    <w:rsid w:val="00274EE5"/>
    <w:rsid w:val="00274F8E"/>
    <w:rsid w:val="0027572F"/>
    <w:rsid w:val="00275AD5"/>
    <w:rsid w:val="00275AF2"/>
    <w:rsid w:val="00276F42"/>
    <w:rsid w:val="002772A2"/>
    <w:rsid w:val="00281D8E"/>
    <w:rsid w:val="00281DD2"/>
    <w:rsid w:val="00282441"/>
    <w:rsid w:val="002831CA"/>
    <w:rsid w:val="00284210"/>
    <w:rsid w:val="00284CBA"/>
    <w:rsid w:val="00284D7F"/>
    <w:rsid w:val="00284E38"/>
    <w:rsid w:val="0028596A"/>
    <w:rsid w:val="002864EB"/>
    <w:rsid w:val="002866BC"/>
    <w:rsid w:val="002866D7"/>
    <w:rsid w:val="002879F7"/>
    <w:rsid w:val="00287AA4"/>
    <w:rsid w:val="00287DB3"/>
    <w:rsid w:val="002906A5"/>
    <w:rsid w:val="00291228"/>
    <w:rsid w:val="00291413"/>
    <w:rsid w:val="002922BB"/>
    <w:rsid w:val="002925FE"/>
    <w:rsid w:val="00292DA0"/>
    <w:rsid w:val="002930C6"/>
    <w:rsid w:val="0029363D"/>
    <w:rsid w:val="00293CDF"/>
    <w:rsid w:val="00293F95"/>
    <w:rsid w:val="00295575"/>
    <w:rsid w:val="00295D80"/>
    <w:rsid w:val="00296154"/>
    <w:rsid w:val="00296797"/>
    <w:rsid w:val="002972CA"/>
    <w:rsid w:val="002978E5"/>
    <w:rsid w:val="00297DF1"/>
    <w:rsid w:val="00297F97"/>
    <w:rsid w:val="002A07B4"/>
    <w:rsid w:val="002A09D0"/>
    <w:rsid w:val="002A0A39"/>
    <w:rsid w:val="002A106B"/>
    <w:rsid w:val="002A31B2"/>
    <w:rsid w:val="002A356C"/>
    <w:rsid w:val="002A5210"/>
    <w:rsid w:val="002A593E"/>
    <w:rsid w:val="002A5A38"/>
    <w:rsid w:val="002A5F4A"/>
    <w:rsid w:val="002A6045"/>
    <w:rsid w:val="002A744B"/>
    <w:rsid w:val="002A7642"/>
    <w:rsid w:val="002A7848"/>
    <w:rsid w:val="002B024F"/>
    <w:rsid w:val="002B1DEC"/>
    <w:rsid w:val="002B3272"/>
    <w:rsid w:val="002B365E"/>
    <w:rsid w:val="002B3E9A"/>
    <w:rsid w:val="002B450A"/>
    <w:rsid w:val="002B45D3"/>
    <w:rsid w:val="002B4E95"/>
    <w:rsid w:val="002B509D"/>
    <w:rsid w:val="002B541F"/>
    <w:rsid w:val="002B6C09"/>
    <w:rsid w:val="002B7011"/>
    <w:rsid w:val="002B7A7B"/>
    <w:rsid w:val="002C0765"/>
    <w:rsid w:val="002C0B7A"/>
    <w:rsid w:val="002C14D3"/>
    <w:rsid w:val="002C157E"/>
    <w:rsid w:val="002C15CD"/>
    <w:rsid w:val="002C1AA5"/>
    <w:rsid w:val="002C1D42"/>
    <w:rsid w:val="002C1FE4"/>
    <w:rsid w:val="002C2FF3"/>
    <w:rsid w:val="002C306B"/>
    <w:rsid w:val="002C3585"/>
    <w:rsid w:val="002C3605"/>
    <w:rsid w:val="002C3D76"/>
    <w:rsid w:val="002C4732"/>
    <w:rsid w:val="002C4B19"/>
    <w:rsid w:val="002C51EC"/>
    <w:rsid w:val="002C5641"/>
    <w:rsid w:val="002C5A3F"/>
    <w:rsid w:val="002C5B7C"/>
    <w:rsid w:val="002C667F"/>
    <w:rsid w:val="002C68A7"/>
    <w:rsid w:val="002C6997"/>
    <w:rsid w:val="002C6B67"/>
    <w:rsid w:val="002C6B96"/>
    <w:rsid w:val="002C6C1C"/>
    <w:rsid w:val="002C6E20"/>
    <w:rsid w:val="002C739B"/>
    <w:rsid w:val="002C7826"/>
    <w:rsid w:val="002D00E7"/>
    <w:rsid w:val="002D0EC2"/>
    <w:rsid w:val="002D0F04"/>
    <w:rsid w:val="002D12C0"/>
    <w:rsid w:val="002D165F"/>
    <w:rsid w:val="002D2315"/>
    <w:rsid w:val="002D233C"/>
    <w:rsid w:val="002D2506"/>
    <w:rsid w:val="002D2546"/>
    <w:rsid w:val="002D39AF"/>
    <w:rsid w:val="002D3B57"/>
    <w:rsid w:val="002D498A"/>
    <w:rsid w:val="002D5542"/>
    <w:rsid w:val="002D5641"/>
    <w:rsid w:val="002D56C0"/>
    <w:rsid w:val="002D590E"/>
    <w:rsid w:val="002D6B62"/>
    <w:rsid w:val="002D6F7B"/>
    <w:rsid w:val="002D79BB"/>
    <w:rsid w:val="002D7AA7"/>
    <w:rsid w:val="002D7C7F"/>
    <w:rsid w:val="002D7EC3"/>
    <w:rsid w:val="002D7EC8"/>
    <w:rsid w:val="002E02C5"/>
    <w:rsid w:val="002E080B"/>
    <w:rsid w:val="002E089B"/>
    <w:rsid w:val="002E1777"/>
    <w:rsid w:val="002E1C0D"/>
    <w:rsid w:val="002E1F7A"/>
    <w:rsid w:val="002E22BE"/>
    <w:rsid w:val="002E2D4E"/>
    <w:rsid w:val="002E320D"/>
    <w:rsid w:val="002E3A5E"/>
    <w:rsid w:val="002E3D4F"/>
    <w:rsid w:val="002E4110"/>
    <w:rsid w:val="002E5344"/>
    <w:rsid w:val="002E553A"/>
    <w:rsid w:val="002E5F94"/>
    <w:rsid w:val="002E6B2D"/>
    <w:rsid w:val="002E7232"/>
    <w:rsid w:val="002E7C8C"/>
    <w:rsid w:val="002F012A"/>
    <w:rsid w:val="002F0638"/>
    <w:rsid w:val="002F0CFC"/>
    <w:rsid w:val="002F1931"/>
    <w:rsid w:val="002F1BE0"/>
    <w:rsid w:val="002F2776"/>
    <w:rsid w:val="002F36A7"/>
    <w:rsid w:val="002F3FE8"/>
    <w:rsid w:val="002F40B0"/>
    <w:rsid w:val="002F4697"/>
    <w:rsid w:val="002F5791"/>
    <w:rsid w:val="002F5815"/>
    <w:rsid w:val="002F5F7C"/>
    <w:rsid w:val="002F5F9B"/>
    <w:rsid w:val="002F63DB"/>
    <w:rsid w:val="002F7BF3"/>
    <w:rsid w:val="002F7E6C"/>
    <w:rsid w:val="003005AB"/>
    <w:rsid w:val="00300BF6"/>
    <w:rsid w:val="00300F46"/>
    <w:rsid w:val="0030107E"/>
    <w:rsid w:val="0030176C"/>
    <w:rsid w:val="00301DFB"/>
    <w:rsid w:val="00301F68"/>
    <w:rsid w:val="0030251B"/>
    <w:rsid w:val="00302B8C"/>
    <w:rsid w:val="003035D9"/>
    <w:rsid w:val="003042E6"/>
    <w:rsid w:val="003046C7"/>
    <w:rsid w:val="00305060"/>
    <w:rsid w:val="00305281"/>
    <w:rsid w:val="0030564A"/>
    <w:rsid w:val="00305BDF"/>
    <w:rsid w:val="00305F2A"/>
    <w:rsid w:val="00306234"/>
    <w:rsid w:val="003066E0"/>
    <w:rsid w:val="00307362"/>
    <w:rsid w:val="00310128"/>
    <w:rsid w:val="003104BD"/>
    <w:rsid w:val="00310971"/>
    <w:rsid w:val="00310C11"/>
    <w:rsid w:val="003112EC"/>
    <w:rsid w:val="003113B6"/>
    <w:rsid w:val="0031339C"/>
    <w:rsid w:val="0031344D"/>
    <w:rsid w:val="003136F9"/>
    <w:rsid w:val="00313FEF"/>
    <w:rsid w:val="0031516A"/>
    <w:rsid w:val="003158ED"/>
    <w:rsid w:val="00315C0C"/>
    <w:rsid w:val="00316D84"/>
    <w:rsid w:val="00317255"/>
    <w:rsid w:val="00317A58"/>
    <w:rsid w:val="00317B0D"/>
    <w:rsid w:val="003216CE"/>
    <w:rsid w:val="00321726"/>
    <w:rsid w:val="003217A8"/>
    <w:rsid w:val="00321D96"/>
    <w:rsid w:val="00322825"/>
    <w:rsid w:val="00322C0C"/>
    <w:rsid w:val="0032344C"/>
    <w:rsid w:val="00324007"/>
    <w:rsid w:val="00324AF5"/>
    <w:rsid w:val="00325213"/>
    <w:rsid w:val="0032556D"/>
    <w:rsid w:val="00325ED9"/>
    <w:rsid w:val="0032645C"/>
    <w:rsid w:val="003268A6"/>
    <w:rsid w:val="00326CCA"/>
    <w:rsid w:val="0032713B"/>
    <w:rsid w:val="00327850"/>
    <w:rsid w:val="00327C30"/>
    <w:rsid w:val="0033006C"/>
    <w:rsid w:val="00330E08"/>
    <w:rsid w:val="003314F7"/>
    <w:rsid w:val="00331B98"/>
    <w:rsid w:val="00331C95"/>
    <w:rsid w:val="00332DDA"/>
    <w:rsid w:val="00333C06"/>
    <w:rsid w:val="00333C0B"/>
    <w:rsid w:val="0033405C"/>
    <w:rsid w:val="00334792"/>
    <w:rsid w:val="0033577C"/>
    <w:rsid w:val="00336241"/>
    <w:rsid w:val="00336CD7"/>
    <w:rsid w:val="003373AE"/>
    <w:rsid w:val="003402F9"/>
    <w:rsid w:val="003404F5"/>
    <w:rsid w:val="003405B9"/>
    <w:rsid w:val="00341127"/>
    <w:rsid w:val="003414A0"/>
    <w:rsid w:val="003415E2"/>
    <w:rsid w:val="0034218B"/>
    <w:rsid w:val="0034241A"/>
    <w:rsid w:val="00342D1D"/>
    <w:rsid w:val="00343434"/>
    <w:rsid w:val="00343651"/>
    <w:rsid w:val="00343F33"/>
    <w:rsid w:val="00344D6C"/>
    <w:rsid w:val="003453B2"/>
    <w:rsid w:val="00345412"/>
    <w:rsid w:val="00345C56"/>
    <w:rsid w:val="0034679A"/>
    <w:rsid w:val="00346D7A"/>
    <w:rsid w:val="0034701B"/>
    <w:rsid w:val="00347826"/>
    <w:rsid w:val="00347DF2"/>
    <w:rsid w:val="0035001D"/>
    <w:rsid w:val="00350B34"/>
    <w:rsid w:val="0035120B"/>
    <w:rsid w:val="00351535"/>
    <w:rsid w:val="00351649"/>
    <w:rsid w:val="003522CF"/>
    <w:rsid w:val="00353256"/>
    <w:rsid w:val="003536D4"/>
    <w:rsid w:val="0035392D"/>
    <w:rsid w:val="00353DC1"/>
    <w:rsid w:val="00353DD3"/>
    <w:rsid w:val="00353F75"/>
    <w:rsid w:val="00354166"/>
    <w:rsid w:val="003541F2"/>
    <w:rsid w:val="00354612"/>
    <w:rsid w:val="00354696"/>
    <w:rsid w:val="003556DB"/>
    <w:rsid w:val="00355B94"/>
    <w:rsid w:val="0035600A"/>
    <w:rsid w:val="003561A3"/>
    <w:rsid w:val="003564FF"/>
    <w:rsid w:val="00360046"/>
    <w:rsid w:val="003607AB"/>
    <w:rsid w:val="00360A38"/>
    <w:rsid w:val="003618C2"/>
    <w:rsid w:val="003629E8"/>
    <w:rsid w:val="00362E4B"/>
    <w:rsid w:val="0036387D"/>
    <w:rsid w:val="00363B62"/>
    <w:rsid w:val="00363F72"/>
    <w:rsid w:val="00363FD8"/>
    <w:rsid w:val="00364E30"/>
    <w:rsid w:val="003650D2"/>
    <w:rsid w:val="003650EA"/>
    <w:rsid w:val="00370271"/>
    <w:rsid w:val="003708EC"/>
    <w:rsid w:val="00370B94"/>
    <w:rsid w:val="00370DB6"/>
    <w:rsid w:val="003713DD"/>
    <w:rsid w:val="0037201B"/>
    <w:rsid w:val="003727A7"/>
    <w:rsid w:val="00373B85"/>
    <w:rsid w:val="00373C7D"/>
    <w:rsid w:val="00374BA8"/>
    <w:rsid w:val="00374D9E"/>
    <w:rsid w:val="0037564B"/>
    <w:rsid w:val="0037569B"/>
    <w:rsid w:val="00375CB6"/>
    <w:rsid w:val="003764E3"/>
    <w:rsid w:val="0038029F"/>
    <w:rsid w:val="003806C1"/>
    <w:rsid w:val="00380F82"/>
    <w:rsid w:val="00381D7B"/>
    <w:rsid w:val="00381F8A"/>
    <w:rsid w:val="00382D98"/>
    <w:rsid w:val="00383191"/>
    <w:rsid w:val="003838BC"/>
    <w:rsid w:val="003839BC"/>
    <w:rsid w:val="00384B43"/>
    <w:rsid w:val="00384EC4"/>
    <w:rsid w:val="0038503D"/>
    <w:rsid w:val="00386C93"/>
    <w:rsid w:val="00386E6F"/>
    <w:rsid w:val="00386F4A"/>
    <w:rsid w:val="003877AB"/>
    <w:rsid w:val="0038791E"/>
    <w:rsid w:val="003879A6"/>
    <w:rsid w:val="00387C7B"/>
    <w:rsid w:val="0039006D"/>
    <w:rsid w:val="00390471"/>
    <w:rsid w:val="0039062E"/>
    <w:rsid w:val="00390902"/>
    <w:rsid w:val="00390B79"/>
    <w:rsid w:val="00391361"/>
    <w:rsid w:val="00392BC6"/>
    <w:rsid w:val="003938A9"/>
    <w:rsid w:val="0039393E"/>
    <w:rsid w:val="00393AE5"/>
    <w:rsid w:val="00393CC3"/>
    <w:rsid w:val="00393D24"/>
    <w:rsid w:val="003942EF"/>
    <w:rsid w:val="00394424"/>
    <w:rsid w:val="00394C15"/>
    <w:rsid w:val="00394CFA"/>
    <w:rsid w:val="00395348"/>
    <w:rsid w:val="003953D7"/>
    <w:rsid w:val="00395587"/>
    <w:rsid w:val="00395756"/>
    <w:rsid w:val="003958CF"/>
    <w:rsid w:val="00395F31"/>
    <w:rsid w:val="0039626A"/>
    <w:rsid w:val="00396436"/>
    <w:rsid w:val="00396468"/>
    <w:rsid w:val="003966FC"/>
    <w:rsid w:val="00396E67"/>
    <w:rsid w:val="00397676"/>
    <w:rsid w:val="00397BB5"/>
    <w:rsid w:val="003A0378"/>
    <w:rsid w:val="003A0D65"/>
    <w:rsid w:val="003A1489"/>
    <w:rsid w:val="003A189B"/>
    <w:rsid w:val="003A1CB9"/>
    <w:rsid w:val="003A1D9D"/>
    <w:rsid w:val="003A1EA5"/>
    <w:rsid w:val="003A36A7"/>
    <w:rsid w:val="003A3794"/>
    <w:rsid w:val="003A39C5"/>
    <w:rsid w:val="003A3A9C"/>
    <w:rsid w:val="003A3C23"/>
    <w:rsid w:val="003A402C"/>
    <w:rsid w:val="003A45D0"/>
    <w:rsid w:val="003A4994"/>
    <w:rsid w:val="003A4FF9"/>
    <w:rsid w:val="003A5452"/>
    <w:rsid w:val="003A6C12"/>
    <w:rsid w:val="003A711E"/>
    <w:rsid w:val="003A7626"/>
    <w:rsid w:val="003A779C"/>
    <w:rsid w:val="003A7F0D"/>
    <w:rsid w:val="003B0619"/>
    <w:rsid w:val="003B0A57"/>
    <w:rsid w:val="003B0AA0"/>
    <w:rsid w:val="003B106A"/>
    <w:rsid w:val="003B1305"/>
    <w:rsid w:val="003B2177"/>
    <w:rsid w:val="003B29AB"/>
    <w:rsid w:val="003B2CD3"/>
    <w:rsid w:val="003B31E4"/>
    <w:rsid w:val="003B3665"/>
    <w:rsid w:val="003B4CBF"/>
    <w:rsid w:val="003B4D2B"/>
    <w:rsid w:val="003B4FB8"/>
    <w:rsid w:val="003B53B9"/>
    <w:rsid w:val="003B5520"/>
    <w:rsid w:val="003B5531"/>
    <w:rsid w:val="003B5827"/>
    <w:rsid w:val="003B5A73"/>
    <w:rsid w:val="003B61D1"/>
    <w:rsid w:val="003B69A4"/>
    <w:rsid w:val="003B71AC"/>
    <w:rsid w:val="003B7206"/>
    <w:rsid w:val="003B7961"/>
    <w:rsid w:val="003C01CD"/>
    <w:rsid w:val="003C02C7"/>
    <w:rsid w:val="003C02ED"/>
    <w:rsid w:val="003C1253"/>
    <w:rsid w:val="003C1780"/>
    <w:rsid w:val="003C2248"/>
    <w:rsid w:val="003C29B5"/>
    <w:rsid w:val="003C2B2A"/>
    <w:rsid w:val="003C2EBA"/>
    <w:rsid w:val="003C3290"/>
    <w:rsid w:val="003C3713"/>
    <w:rsid w:val="003C439A"/>
    <w:rsid w:val="003C45A0"/>
    <w:rsid w:val="003C5586"/>
    <w:rsid w:val="003C58E2"/>
    <w:rsid w:val="003C592A"/>
    <w:rsid w:val="003C694B"/>
    <w:rsid w:val="003C6D5C"/>
    <w:rsid w:val="003C71D3"/>
    <w:rsid w:val="003C7387"/>
    <w:rsid w:val="003C753A"/>
    <w:rsid w:val="003C7A38"/>
    <w:rsid w:val="003C7B45"/>
    <w:rsid w:val="003D07CC"/>
    <w:rsid w:val="003D10C6"/>
    <w:rsid w:val="003D11DE"/>
    <w:rsid w:val="003D1788"/>
    <w:rsid w:val="003D2468"/>
    <w:rsid w:val="003D24A2"/>
    <w:rsid w:val="003D289F"/>
    <w:rsid w:val="003D37C2"/>
    <w:rsid w:val="003D3842"/>
    <w:rsid w:val="003D3BFA"/>
    <w:rsid w:val="003D3F5C"/>
    <w:rsid w:val="003D4090"/>
    <w:rsid w:val="003D43FA"/>
    <w:rsid w:val="003D4630"/>
    <w:rsid w:val="003D479B"/>
    <w:rsid w:val="003D50FC"/>
    <w:rsid w:val="003D5451"/>
    <w:rsid w:val="003D546A"/>
    <w:rsid w:val="003D608F"/>
    <w:rsid w:val="003D6090"/>
    <w:rsid w:val="003D6486"/>
    <w:rsid w:val="003D67F9"/>
    <w:rsid w:val="003D6BC4"/>
    <w:rsid w:val="003D6C01"/>
    <w:rsid w:val="003D7061"/>
    <w:rsid w:val="003D76EE"/>
    <w:rsid w:val="003D7FDA"/>
    <w:rsid w:val="003E037D"/>
    <w:rsid w:val="003E1235"/>
    <w:rsid w:val="003E1424"/>
    <w:rsid w:val="003E2B59"/>
    <w:rsid w:val="003E2D34"/>
    <w:rsid w:val="003E30C2"/>
    <w:rsid w:val="003E36D9"/>
    <w:rsid w:val="003E53BF"/>
    <w:rsid w:val="003E54DF"/>
    <w:rsid w:val="003E56F1"/>
    <w:rsid w:val="003E6703"/>
    <w:rsid w:val="003E6803"/>
    <w:rsid w:val="003E6972"/>
    <w:rsid w:val="003E7B58"/>
    <w:rsid w:val="003E7C24"/>
    <w:rsid w:val="003E7C69"/>
    <w:rsid w:val="003F05E3"/>
    <w:rsid w:val="003F0AD0"/>
    <w:rsid w:val="003F1837"/>
    <w:rsid w:val="003F201F"/>
    <w:rsid w:val="003F241A"/>
    <w:rsid w:val="003F39DB"/>
    <w:rsid w:val="003F3A2F"/>
    <w:rsid w:val="003F5344"/>
    <w:rsid w:val="003F57F8"/>
    <w:rsid w:val="003F582F"/>
    <w:rsid w:val="003F58CF"/>
    <w:rsid w:val="003F59FA"/>
    <w:rsid w:val="003F6E7E"/>
    <w:rsid w:val="003F721A"/>
    <w:rsid w:val="003F7320"/>
    <w:rsid w:val="003F7365"/>
    <w:rsid w:val="003F7509"/>
    <w:rsid w:val="003F7784"/>
    <w:rsid w:val="003F78B4"/>
    <w:rsid w:val="00400187"/>
    <w:rsid w:val="0040099B"/>
    <w:rsid w:val="00400D6B"/>
    <w:rsid w:val="00401429"/>
    <w:rsid w:val="00402047"/>
    <w:rsid w:val="0040209A"/>
    <w:rsid w:val="00403113"/>
    <w:rsid w:val="00403280"/>
    <w:rsid w:val="00404860"/>
    <w:rsid w:val="0040497D"/>
    <w:rsid w:val="00404E6C"/>
    <w:rsid w:val="004058B8"/>
    <w:rsid w:val="00406B8B"/>
    <w:rsid w:val="00406DC5"/>
    <w:rsid w:val="00407457"/>
    <w:rsid w:val="004077EA"/>
    <w:rsid w:val="00407836"/>
    <w:rsid w:val="004078B1"/>
    <w:rsid w:val="00407C85"/>
    <w:rsid w:val="004103CA"/>
    <w:rsid w:val="00410B9F"/>
    <w:rsid w:val="00410BE0"/>
    <w:rsid w:val="0041182C"/>
    <w:rsid w:val="00411931"/>
    <w:rsid w:val="00411DDA"/>
    <w:rsid w:val="00412213"/>
    <w:rsid w:val="0041272E"/>
    <w:rsid w:val="0041302C"/>
    <w:rsid w:val="00413118"/>
    <w:rsid w:val="004135B9"/>
    <w:rsid w:val="004135D4"/>
    <w:rsid w:val="00414DC3"/>
    <w:rsid w:val="004162FE"/>
    <w:rsid w:val="00416771"/>
    <w:rsid w:val="00416D6B"/>
    <w:rsid w:val="00420A6A"/>
    <w:rsid w:val="00420A7F"/>
    <w:rsid w:val="00421471"/>
    <w:rsid w:val="004216FF"/>
    <w:rsid w:val="00421FB3"/>
    <w:rsid w:val="004221E1"/>
    <w:rsid w:val="00422239"/>
    <w:rsid w:val="004222C5"/>
    <w:rsid w:val="0042277A"/>
    <w:rsid w:val="004237E9"/>
    <w:rsid w:val="00423848"/>
    <w:rsid w:val="00423BDC"/>
    <w:rsid w:val="004250AE"/>
    <w:rsid w:val="00425480"/>
    <w:rsid w:val="00425557"/>
    <w:rsid w:val="00426116"/>
    <w:rsid w:val="004263DB"/>
    <w:rsid w:val="00426A47"/>
    <w:rsid w:val="00426E3A"/>
    <w:rsid w:val="00426EEE"/>
    <w:rsid w:val="00426FB0"/>
    <w:rsid w:val="0042741F"/>
    <w:rsid w:val="004274F5"/>
    <w:rsid w:val="004303D0"/>
    <w:rsid w:val="00430B02"/>
    <w:rsid w:val="00431199"/>
    <w:rsid w:val="00431689"/>
    <w:rsid w:val="00431B5E"/>
    <w:rsid w:val="00432665"/>
    <w:rsid w:val="00432807"/>
    <w:rsid w:val="0043298D"/>
    <w:rsid w:val="00432EAC"/>
    <w:rsid w:val="0043369D"/>
    <w:rsid w:val="00433BDD"/>
    <w:rsid w:val="00433CB4"/>
    <w:rsid w:val="00433D8F"/>
    <w:rsid w:val="00434D91"/>
    <w:rsid w:val="00434E63"/>
    <w:rsid w:val="004353F0"/>
    <w:rsid w:val="004355DE"/>
    <w:rsid w:val="00435C87"/>
    <w:rsid w:val="004363A3"/>
    <w:rsid w:val="004364C8"/>
    <w:rsid w:val="00436C7A"/>
    <w:rsid w:val="00436D76"/>
    <w:rsid w:val="00436D77"/>
    <w:rsid w:val="00436DF2"/>
    <w:rsid w:val="0043785E"/>
    <w:rsid w:val="004378A5"/>
    <w:rsid w:val="00440A21"/>
    <w:rsid w:val="00441285"/>
    <w:rsid w:val="00441379"/>
    <w:rsid w:val="00441FF5"/>
    <w:rsid w:val="004421C3"/>
    <w:rsid w:val="004422E5"/>
    <w:rsid w:val="0044230C"/>
    <w:rsid w:val="0044324C"/>
    <w:rsid w:val="00443557"/>
    <w:rsid w:val="0044464D"/>
    <w:rsid w:val="004446D9"/>
    <w:rsid w:val="00444D6F"/>
    <w:rsid w:val="0044500C"/>
    <w:rsid w:val="00445521"/>
    <w:rsid w:val="00445653"/>
    <w:rsid w:val="00445A48"/>
    <w:rsid w:val="00446125"/>
    <w:rsid w:val="00446B56"/>
    <w:rsid w:val="004474AB"/>
    <w:rsid w:val="004475E5"/>
    <w:rsid w:val="00447708"/>
    <w:rsid w:val="00447CE0"/>
    <w:rsid w:val="0045015E"/>
    <w:rsid w:val="004513B4"/>
    <w:rsid w:val="004520DF"/>
    <w:rsid w:val="0045239D"/>
    <w:rsid w:val="0045327D"/>
    <w:rsid w:val="00453D2A"/>
    <w:rsid w:val="00453E38"/>
    <w:rsid w:val="0045474C"/>
    <w:rsid w:val="00454E35"/>
    <w:rsid w:val="004550BF"/>
    <w:rsid w:val="00455884"/>
    <w:rsid w:val="00455C38"/>
    <w:rsid w:val="00455F78"/>
    <w:rsid w:val="00456676"/>
    <w:rsid w:val="00456770"/>
    <w:rsid w:val="00456884"/>
    <w:rsid w:val="0045696F"/>
    <w:rsid w:val="00456A84"/>
    <w:rsid w:val="00457294"/>
    <w:rsid w:val="004604D6"/>
    <w:rsid w:val="00460814"/>
    <w:rsid w:val="0046092E"/>
    <w:rsid w:val="00460D62"/>
    <w:rsid w:val="004618B6"/>
    <w:rsid w:val="0046229B"/>
    <w:rsid w:val="00462AFF"/>
    <w:rsid w:val="00463807"/>
    <w:rsid w:val="0046391D"/>
    <w:rsid w:val="004647A1"/>
    <w:rsid w:val="004649FE"/>
    <w:rsid w:val="00464A85"/>
    <w:rsid w:val="00465786"/>
    <w:rsid w:val="00465AEA"/>
    <w:rsid w:val="00465C43"/>
    <w:rsid w:val="00466D95"/>
    <w:rsid w:val="00466DE2"/>
    <w:rsid w:val="004701B5"/>
    <w:rsid w:val="00470246"/>
    <w:rsid w:val="00470AD7"/>
    <w:rsid w:val="00470CA2"/>
    <w:rsid w:val="00470D01"/>
    <w:rsid w:val="00471090"/>
    <w:rsid w:val="004712CC"/>
    <w:rsid w:val="0047155E"/>
    <w:rsid w:val="00471919"/>
    <w:rsid w:val="004719A2"/>
    <w:rsid w:val="00471D9A"/>
    <w:rsid w:val="004735AE"/>
    <w:rsid w:val="00473C2F"/>
    <w:rsid w:val="004741F8"/>
    <w:rsid w:val="00474D42"/>
    <w:rsid w:val="0047505E"/>
    <w:rsid w:val="00475474"/>
    <w:rsid w:val="0047575D"/>
    <w:rsid w:val="0047689E"/>
    <w:rsid w:val="004769BF"/>
    <w:rsid w:val="00477671"/>
    <w:rsid w:val="00480102"/>
    <w:rsid w:val="0048010D"/>
    <w:rsid w:val="004804D2"/>
    <w:rsid w:val="0048070A"/>
    <w:rsid w:val="00480C72"/>
    <w:rsid w:val="004811BA"/>
    <w:rsid w:val="004824D7"/>
    <w:rsid w:val="00483851"/>
    <w:rsid w:val="00483F55"/>
    <w:rsid w:val="00484D78"/>
    <w:rsid w:val="004878C8"/>
    <w:rsid w:val="00487BB4"/>
    <w:rsid w:val="00491842"/>
    <w:rsid w:val="004919E9"/>
    <w:rsid w:val="00491A78"/>
    <w:rsid w:val="0049208B"/>
    <w:rsid w:val="00493B50"/>
    <w:rsid w:val="00493E1E"/>
    <w:rsid w:val="004943A3"/>
    <w:rsid w:val="004956C3"/>
    <w:rsid w:val="004956FD"/>
    <w:rsid w:val="00495890"/>
    <w:rsid w:val="00495927"/>
    <w:rsid w:val="00495ADB"/>
    <w:rsid w:val="004963D6"/>
    <w:rsid w:val="00497859"/>
    <w:rsid w:val="0049797C"/>
    <w:rsid w:val="004A03F5"/>
    <w:rsid w:val="004A0A65"/>
    <w:rsid w:val="004A2BE1"/>
    <w:rsid w:val="004A3E00"/>
    <w:rsid w:val="004A42F1"/>
    <w:rsid w:val="004A48B7"/>
    <w:rsid w:val="004A5483"/>
    <w:rsid w:val="004A578A"/>
    <w:rsid w:val="004A5886"/>
    <w:rsid w:val="004A73FE"/>
    <w:rsid w:val="004A742A"/>
    <w:rsid w:val="004A74B3"/>
    <w:rsid w:val="004A79FB"/>
    <w:rsid w:val="004B046B"/>
    <w:rsid w:val="004B0EAE"/>
    <w:rsid w:val="004B1245"/>
    <w:rsid w:val="004B1713"/>
    <w:rsid w:val="004B1716"/>
    <w:rsid w:val="004B1F0D"/>
    <w:rsid w:val="004B2222"/>
    <w:rsid w:val="004B260D"/>
    <w:rsid w:val="004B2FE2"/>
    <w:rsid w:val="004B382D"/>
    <w:rsid w:val="004B3E75"/>
    <w:rsid w:val="004B45D1"/>
    <w:rsid w:val="004B4B1B"/>
    <w:rsid w:val="004B51A5"/>
    <w:rsid w:val="004B56A2"/>
    <w:rsid w:val="004B5948"/>
    <w:rsid w:val="004B5B43"/>
    <w:rsid w:val="004B5BF1"/>
    <w:rsid w:val="004B601A"/>
    <w:rsid w:val="004B6A16"/>
    <w:rsid w:val="004B6A91"/>
    <w:rsid w:val="004B6EF1"/>
    <w:rsid w:val="004B77B0"/>
    <w:rsid w:val="004B7C5F"/>
    <w:rsid w:val="004B7D39"/>
    <w:rsid w:val="004C00FA"/>
    <w:rsid w:val="004C0CAA"/>
    <w:rsid w:val="004C0D0C"/>
    <w:rsid w:val="004C0ED4"/>
    <w:rsid w:val="004C14CC"/>
    <w:rsid w:val="004C1574"/>
    <w:rsid w:val="004C15C3"/>
    <w:rsid w:val="004C15D0"/>
    <w:rsid w:val="004C19A6"/>
    <w:rsid w:val="004C293D"/>
    <w:rsid w:val="004C2CB3"/>
    <w:rsid w:val="004C318F"/>
    <w:rsid w:val="004C363E"/>
    <w:rsid w:val="004C3D8E"/>
    <w:rsid w:val="004C4682"/>
    <w:rsid w:val="004C517F"/>
    <w:rsid w:val="004C54A1"/>
    <w:rsid w:val="004C654F"/>
    <w:rsid w:val="004C69F7"/>
    <w:rsid w:val="004C7806"/>
    <w:rsid w:val="004C7DB1"/>
    <w:rsid w:val="004C7F34"/>
    <w:rsid w:val="004D1233"/>
    <w:rsid w:val="004D1698"/>
    <w:rsid w:val="004D18D7"/>
    <w:rsid w:val="004D1FCC"/>
    <w:rsid w:val="004D3480"/>
    <w:rsid w:val="004D361A"/>
    <w:rsid w:val="004D4960"/>
    <w:rsid w:val="004D4BE5"/>
    <w:rsid w:val="004D557F"/>
    <w:rsid w:val="004D5C80"/>
    <w:rsid w:val="004D5D39"/>
    <w:rsid w:val="004D64D4"/>
    <w:rsid w:val="004D6CEB"/>
    <w:rsid w:val="004D75D0"/>
    <w:rsid w:val="004D78A5"/>
    <w:rsid w:val="004D7C5F"/>
    <w:rsid w:val="004E06FA"/>
    <w:rsid w:val="004E0A83"/>
    <w:rsid w:val="004E0D86"/>
    <w:rsid w:val="004E15B8"/>
    <w:rsid w:val="004E192D"/>
    <w:rsid w:val="004E23E9"/>
    <w:rsid w:val="004E25EC"/>
    <w:rsid w:val="004E2917"/>
    <w:rsid w:val="004E38EA"/>
    <w:rsid w:val="004E4069"/>
    <w:rsid w:val="004E46D2"/>
    <w:rsid w:val="004E473B"/>
    <w:rsid w:val="004E5ADE"/>
    <w:rsid w:val="004E5DD7"/>
    <w:rsid w:val="004E632F"/>
    <w:rsid w:val="004E6E7B"/>
    <w:rsid w:val="004E707C"/>
    <w:rsid w:val="004E70AA"/>
    <w:rsid w:val="004E753C"/>
    <w:rsid w:val="004E7B83"/>
    <w:rsid w:val="004E7BBE"/>
    <w:rsid w:val="004E7CF2"/>
    <w:rsid w:val="004F02B8"/>
    <w:rsid w:val="004F03CB"/>
    <w:rsid w:val="004F0684"/>
    <w:rsid w:val="004F0DBA"/>
    <w:rsid w:val="004F10DC"/>
    <w:rsid w:val="004F22C3"/>
    <w:rsid w:val="004F2662"/>
    <w:rsid w:val="004F316B"/>
    <w:rsid w:val="004F37F9"/>
    <w:rsid w:val="004F468F"/>
    <w:rsid w:val="004F4931"/>
    <w:rsid w:val="004F4E43"/>
    <w:rsid w:val="004F559D"/>
    <w:rsid w:val="004F56FB"/>
    <w:rsid w:val="004F5959"/>
    <w:rsid w:val="004F5A10"/>
    <w:rsid w:val="004F666A"/>
    <w:rsid w:val="004F6AA1"/>
    <w:rsid w:val="004F7250"/>
    <w:rsid w:val="004F75DD"/>
    <w:rsid w:val="004F7F4F"/>
    <w:rsid w:val="00500274"/>
    <w:rsid w:val="005005EC"/>
    <w:rsid w:val="00501080"/>
    <w:rsid w:val="00502C28"/>
    <w:rsid w:val="00503D02"/>
    <w:rsid w:val="005045EE"/>
    <w:rsid w:val="00504A48"/>
    <w:rsid w:val="00504F36"/>
    <w:rsid w:val="0050520C"/>
    <w:rsid w:val="005054E9"/>
    <w:rsid w:val="005056B9"/>
    <w:rsid w:val="0050580A"/>
    <w:rsid w:val="0050798A"/>
    <w:rsid w:val="00507990"/>
    <w:rsid w:val="00507FBA"/>
    <w:rsid w:val="00510332"/>
    <w:rsid w:val="005106DE"/>
    <w:rsid w:val="0051129F"/>
    <w:rsid w:val="00511B89"/>
    <w:rsid w:val="00511CF3"/>
    <w:rsid w:val="00512149"/>
    <w:rsid w:val="00512310"/>
    <w:rsid w:val="005128E6"/>
    <w:rsid w:val="00513113"/>
    <w:rsid w:val="005133DA"/>
    <w:rsid w:val="0051393B"/>
    <w:rsid w:val="00513DAD"/>
    <w:rsid w:val="005141FD"/>
    <w:rsid w:val="00514807"/>
    <w:rsid w:val="0051487C"/>
    <w:rsid w:val="00514C90"/>
    <w:rsid w:val="005160D6"/>
    <w:rsid w:val="00516454"/>
    <w:rsid w:val="005168E1"/>
    <w:rsid w:val="0051737F"/>
    <w:rsid w:val="00517B67"/>
    <w:rsid w:val="005216CF"/>
    <w:rsid w:val="00521D96"/>
    <w:rsid w:val="00521EA2"/>
    <w:rsid w:val="005225AA"/>
    <w:rsid w:val="005225C4"/>
    <w:rsid w:val="00522A3F"/>
    <w:rsid w:val="00523536"/>
    <w:rsid w:val="0052355E"/>
    <w:rsid w:val="0052378C"/>
    <w:rsid w:val="00523821"/>
    <w:rsid w:val="005238F8"/>
    <w:rsid w:val="005239F6"/>
    <w:rsid w:val="00523CC9"/>
    <w:rsid w:val="005241CF"/>
    <w:rsid w:val="0052496E"/>
    <w:rsid w:val="00524D20"/>
    <w:rsid w:val="00525883"/>
    <w:rsid w:val="00526069"/>
    <w:rsid w:val="005267CF"/>
    <w:rsid w:val="00527008"/>
    <w:rsid w:val="00527C6D"/>
    <w:rsid w:val="00530535"/>
    <w:rsid w:val="005306E2"/>
    <w:rsid w:val="00530FF1"/>
    <w:rsid w:val="00531017"/>
    <w:rsid w:val="005324DD"/>
    <w:rsid w:val="00533576"/>
    <w:rsid w:val="005338C7"/>
    <w:rsid w:val="00533A31"/>
    <w:rsid w:val="00534E1B"/>
    <w:rsid w:val="005357B9"/>
    <w:rsid w:val="005359BD"/>
    <w:rsid w:val="00535AAA"/>
    <w:rsid w:val="00535EE2"/>
    <w:rsid w:val="005361F2"/>
    <w:rsid w:val="00536620"/>
    <w:rsid w:val="0053664D"/>
    <w:rsid w:val="00536A1F"/>
    <w:rsid w:val="00536D76"/>
    <w:rsid w:val="00537273"/>
    <w:rsid w:val="0053795D"/>
    <w:rsid w:val="00537B71"/>
    <w:rsid w:val="00540A5E"/>
    <w:rsid w:val="00540B18"/>
    <w:rsid w:val="00541084"/>
    <w:rsid w:val="00541171"/>
    <w:rsid w:val="0054119A"/>
    <w:rsid w:val="00541422"/>
    <w:rsid w:val="00541D14"/>
    <w:rsid w:val="00541EBF"/>
    <w:rsid w:val="00542092"/>
    <w:rsid w:val="00543DFE"/>
    <w:rsid w:val="00543F3D"/>
    <w:rsid w:val="00544A74"/>
    <w:rsid w:val="00545237"/>
    <w:rsid w:val="0054554B"/>
    <w:rsid w:val="00545F79"/>
    <w:rsid w:val="0054610B"/>
    <w:rsid w:val="00546338"/>
    <w:rsid w:val="005463C4"/>
    <w:rsid w:val="00546B60"/>
    <w:rsid w:val="00546B62"/>
    <w:rsid w:val="005479BF"/>
    <w:rsid w:val="00547B01"/>
    <w:rsid w:val="0055036E"/>
    <w:rsid w:val="0055046C"/>
    <w:rsid w:val="005505A5"/>
    <w:rsid w:val="0055092A"/>
    <w:rsid w:val="00550B3D"/>
    <w:rsid w:val="00551016"/>
    <w:rsid w:val="005513BC"/>
    <w:rsid w:val="00551ED1"/>
    <w:rsid w:val="00552060"/>
    <w:rsid w:val="00552F04"/>
    <w:rsid w:val="005535D5"/>
    <w:rsid w:val="0055399F"/>
    <w:rsid w:val="00553C2E"/>
    <w:rsid w:val="00553F9F"/>
    <w:rsid w:val="00553FDF"/>
    <w:rsid w:val="005542F1"/>
    <w:rsid w:val="0055436F"/>
    <w:rsid w:val="00555245"/>
    <w:rsid w:val="0055571A"/>
    <w:rsid w:val="005571BD"/>
    <w:rsid w:val="00557CEE"/>
    <w:rsid w:val="00560337"/>
    <w:rsid w:val="00560832"/>
    <w:rsid w:val="00560DB6"/>
    <w:rsid w:val="0056113A"/>
    <w:rsid w:val="00561322"/>
    <w:rsid w:val="00561340"/>
    <w:rsid w:val="005613A0"/>
    <w:rsid w:val="00561514"/>
    <w:rsid w:val="005617F8"/>
    <w:rsid w:val="00561AAB"/>
    <w:rsid w:val="00562164"/>
    <w:rsid w:val="005626D3"/>
    <w:rsid w:val="005629DB"/>
    <w:rsid w:val="005633F3"/>
    <w:rsid w:val="005635B6"/>
    <w:rsid w:val="005637E7"/>
    <w:rsid w:val="005639C1"/>
    <w:rsid w:val="00563C23"/>
    <w:rsid w:val="00564736"/>
    <w:rsid w:val="00564949"/>
    <w:rsid w:val="00565152"/>
    <w:rsid w:val="0056618F"/>
    <w:rsid w:val="00567B6A"/>
    <w:rsid w:val="0057060B"/>
    <w:rsid w:val="00571F31"/>
    <w:rsid w:val="0057241C"/>
    <w:rsid w:val="00573CB4"/>
    <w:rsid w:val="00573D3A"/>
    <w:rsid w:val="005740A0"/>
    <w:rsid w:val="005741CB"/>
    <w:rsid w:val="00574ACA"/>
    <w:rsid w:val="005765C0"/>
    <w:rsid w:val="00576B0B"/>
    <w:rsid w:val="00576B4B"/>
    <w:rsid w:val="00576DB3"/>
    <w:rsid w:val="00576E27"/>
    <w:rsid w:val="00576F37"/>
    <w:rsid w:val="0058051A"/>
    <w:rsid w:val="005807B4"/>
    <w:rsid w:val="00580AD4"/>
    <w:rsid w:val="00581039"/>
    <w:rsid w:val="0058136F"/>
    <w:rsid w:val="00581BE2"/>
    <w:rsid w:val="005823EB"/>
    <w:rsid w:val="00582657"/>
    <w:rsid w:val="00582DD5"/>
    <w:rsid w:val="00585814"/>
    <w:rsid w:val="00585AB7"/>
    <w:rsid w:val="00585C85"/>
    <w:rsid w:val="00586F63"/>
    <w:rsid w:val="00587037"/>
    <w:rsid w:val="00587188"/>
    <w:rsid w:val="00587A0C"/>
    <w:rsid w:val="00587BFC"/>
    <w:rsid w:val="00587DCF"/>
    <w:rsid w:val="005905D2"/>
    <w:rsid w:val="005911AC"/>
    <w:rsid w:val="005915A1"/>
    <w:rsid w:val="00591CB8"/>
    <w:rsid w:val="00592125"/>
    <w:rsid w:val="00592B64"/>
    <w:rsid w:val="00592F9F"/>
    <w:rsid w:val="00593CFD"/>
    <w:rsid w:val="00593ED4"/>
    <w:rsid w:val="00593FFC"/>
    <w:rsid w:val="0059416F"/>
    <w:rsid w:val="005942E7"/>
    <w:rsid w:val="0059533F"/>
    <w:rsid w:val="005953FB"/>
    <w:rsid w:val="00595A8A"/>
    <w:rsid w:val="00595B4F"/>
    <w:rsid w:val="00595BB7"/>
    <w:rsid w:val="00595C0C"/>
    <w:rsid w:val="005964E7"/>
    <w:rsid w:val="00596CA5"/>
    <w:rsid w:val="0059704C"/>
    <w:rsid w:val="00597974"/>
    <w:rsid w:val="00597D71"/>
    <w:rsid w:val="005A1550"/>
    <w:rsid w:val="005A1A81"/>
    <w:rsid w:val="005A2079"/>
    <w:rsid w:val="005A26BF"/>
    <w:rsid w:val="005A308F"/>
    <w:rsid w:val="005A3F4F"/>
    <w:rsid w:val="005A4AD3"/>
    <w:rsid w:val="005A5259"/>
    <w:rsid w:val="005A53E9"/>
    <w:rsid w:val="005A6D13"/>
    <w:rsid w:val="005A71C0"/>
    <w:rsid w:val="005A74D4"/>
    <w:rsid w:val="005A752C"/>
    <w:rsid w:val="005A76A9"/>
    <w:rsid w:val="005B094F"/>
    <w:rsid w:val="005B0C51"/>
    <w:rsid w:val="005B11F9"/>
    <w:rsid w:val="005B1337"/>
    <w:rsid w:val="005B1A46"/>
    <w:rsid w:val="005B2684"/>
    <w:rsid w:val="005B2858"/>
    <w:rsid w:val="005B2E57"/>
    <w:rsid w:val="005B32D9"/>
    <w:rsid w:val="005B37E1"/>
    <w:rsid w:val="005B5F47"/>
    <w:rsid w:val="005B656C"/>
    <w:rsid w:val="005B68A6"/>
    <w:rsid w:val="005B71D7"/>
    <w:rsid w:val="005B7369"/>
    <w:rsid w:val="005B7533"/>
    <w:rsid w:val="005B782C"/>
    <w:rsid w:val="005C09AD"/>
    <w:rsid w:val="005C10A7"/>
    <w:rsid w:val="005C1E8C"/>
    <w:rsid w:val="005C2096"/>
    <w:rsid w:val="005C25C1"/>
    <w:rsid w:val="005C27F4"/>
    <w:rsid w:val="005C305F"/>
    <w:rsid w:val="005C3A63"/>
    <w:rsid w:val="005C4218"/>
    <w:rsid w:val="005C4273"/>
    <w:rsid w:val="005C4613"/>
    <w:rsid w:val="005C46A6"/>
    <w:rsid w:val="005C5620"/>
    <w:rsid w:val="005C58A0"/>
    <w:rsid w:val="005C6338"/>
    <w:rsid w:val="005C6D9C"/>
    <w:rsid w:val="005C6E3A"/>
    <w:rsid w:val="005C71FE"/>
    <w:rsid w:val="005D0724"/>
    <w:rsid w:val="005D0AB0"/>
    <w:rsid w:val="005D12ED"/>
    <w:rsid w:val="005D1356"/>
    <w:rsid w:val="005D16CA"/>
    <w:rsid w:val="005D1963"/>
    <w:rsid w:val="005D1E4B"/>
    <w:rsid w:val="005D2247"/>
    <w:rsid w:val="005D3033"/>
    <w:rsid w:val="005D3942"/>
    <w:rsid w:val="005D4ADC"/>
    <w:rsid w:val="005D4FC6"/>
    <w:rsid w:val="005D51A7"/>
    <w:rsid w:val="005D549B"/>
    <w:rsid w:val="005D5A16"/>
    <w:rsid w:val="005D5D3B"/>
    <w:rsid w:val="005D655F"/>
    <w:rsid w:val="005D6606"/>
    <w:rsid w:val="005D6822"/>
    <w:rsid w:val="005D6CA3"/>
    <w:rsid w:val="005D7233"/>
    <w:rsid w:val="005D75F6"/>
    <w:rsid w:val="005D7B51"/>
    <w:rsid w:val="005D7C44"/>
    <w:rsid w:val="005D7C8A"/>
    <w:rsid w:val="005E08B1"/>
    <w:rsid w:val="005E0996"/>
    <w:rsid w:val="005E1310"/>
    <w:rsid w:val="005E191F"/>
    <w:rsid w:val="005E19FC"/>
    <w:rsid w:val="005E37F1"/>
    <w:rsid w:val="005E42B5"/>
    <w:rsid w:val="005E47A0"/>
    <w:rsid w:val="005E5536"/>
    <w:rsid w:val="005E5B1C"/>
    <w:rsid w:val="005E68F8"/>
    <w:rsid w:val="005E6C1C"/>
    <w:rsid w:val="005E7006"/>
    <w:rsid w:val="005E7072"/>
    <w:rsid w:val="005E7144"/>
    <w:rsid w:val="005F001A"/>
    <w:rsid w:val="005F03C7"/>
    <w:rsid w:val="005F051D"/>
    <w:rsid w:val="005F0C5E"/>
    <w:rsid w:val="005F1063"/>
    <w:rsid w:val="005F1A67"/>
    <w:rsid w:val="005F26EB"/>
    <w:rsid w:val="005F2821"/>
    <w:rsid w:val="005F2931"/>
    <w:rsid w:val="005F2E78"/>
    <w:rsid w:val="005F4647"/>
    <w:rsid w:val="005F4A1C"/>
    <w:rsid w:val="005F4A94"/>
    <w:rsid w:val="005F4C88"/>
    <w:rsid w:val="005F4FC2"/>
    <w:rsid w:val="005F4FE9"/>
    <w:rsid w:val="005F55DF"/>
    <w:rsid w:val="005F5606"/>
    <w:rsid w:val="005F564A"/>
    <w:rsid w:val="005F56A2"/>
    <w:rsid w:val="005F5B6A"/>
    <w:rsid w:val="005F6376"/>
    <w:rsid w:val="005F6887"/>
    <w:rsid w:val="005F7392"/>
    <w:rsid w:val="005F743D"/>
    <w:rsid w:val="0060008C"/>
    <w:rsid w:val="00600A64"/>
    <w:rsid w:val="00600E1D"/>
    <w:rsid w:val="00600FB4"/>
    <w:rsid w:val="00601BE0"/>
    <w:rsid w:val="00601F13"/>
    <w:rsid w:val="006027FD"/>
    <w:rsid w:val="00603946"/>
    <w:rsid w:val="00603DA2"/>
    <w:rsid w:val="00604242"/>
    <w:rsid w:val="006043E1"/>
    <w:rsid w:val="006046EC"/>
    <w:rsid w:val="00604B56"/>
    <w:rsid w:val="00605042"/>
    <w:rsid w:val="006050A1"/>
    <w:rsid w:val="00605C06"/>
    <w:rsid w:val="0060601A"/>
    <w:rsid w:val="0060670E"/>
    <w:rsid w:val="0060782C"/>
    <w:rsid w:val="006078E0"/>
    <w:rsid w:val="00607D1E"/>
    <w:rsid w:val="00607D3B"/>
    <w:rsid w:val="0061022F"/>
    <w:rsid w:val="006107DA"/>
    <w:rsid w:val="00611018"/>
    <w:rsid w:val="0061168F"/>
    <w:rsid w:val="006122EB"/>
    <w:rsid w:val="006123C8"/>
    <w:rsid w:val="006123E0"/>
    <w:rsid w:val="00612F29"/>
    <w:rsid w:val="00613207"/>
    <w:rsid w:val="006143A2"/>
    <w:rsid w:val="00615DC8"/>
    <w:rsid w:val="006162CE"/>
    <w:rsid w:val="00616968"/>
    <w:rsid w:val="00617E76"/>
    <w:rsid w:val="00620157"/>
    <w:rsid w:val="00620F46"/>
    <w:rsid w:val="00621108"/>
    <w:rsid w:val="0062184C"/>
    <w:rsid w:val="006224EB"/>
    <w:rsid w:val="006225D2"/>
    <w:rsid w:val="00622BCF"/>
    <w:rsid w:val="0062332B"/>
    <w:rsid w:val="00623587"/>
    <w:rsid w:val="0062366E"/>
    <w:rsid w:val="006243A9"/>
    <w:rsid w:val="00624756"/>
    <w:rsid w:val="006248A2"/>
    <w:rsid w:val="006255BD"/>
    <w:rsid w:val="00626544"/>
    <w:rsid w:val="006266BF"/>
    <w:rsid w:val="006267C8"/>
    <w:rsid w:val="00626A56"/>
    <w:rsid w:val="00627651"/>
    <w:rsid w:val="0062766B"/>
    <w:rsid w:val="0062776F"/>
    <w:rsid w:val="00627C4C"/>
    <w:rsid w:val="00630884"/>
    <w:rsid w:val="00630A62"/>
    <w:rsid w:val="006314BE"/>
    <w:rsid w:val="00631DAE"/>
    <w:rsid w:val="00632D04"/>
    <w:rsid w:val="0063346D"/>
    <w:rsid w:val="00633C46"/>
    <w:rsid w:val="00633F3D"/>
    <w:rsid w:val="00634521"/>
    <w:rsid w:val="0063508E"/>
    <w:rsid w:val="00635806"/>
    <w:rsid w:val="006359B6"/>
    <w:rsid w:val="00635F61"/>
    <w:rsid w:val="006362D8"/>
    <w:rsid w:val="006374B2"/>
    <w:rsid w:val="0063754E"/>
    <w:rsid w:val="006401CC"/>
    <w:rsid w:val="00640938"/>
    <w:rsid w:val="00640BE4"/>
    <w:rsid w:val="00641956"/>
    <w:rsid w:val="00641DB4"/>
    <w:rsid w:val="006423DA"/>
    <w:rsid w:val="00642694"/>
    <w:rsid w:val="00643207"/>
    <w:rsid w:val="006436F1"/>
    <w:rsid w:val="006447F2"/>
    <w:rsid w:val="00645777"/>
    <w:rsid w:val="00645A3F"/>
    <w:rsid w:val="00645B53"/>
    <w:rsid w:val="00646E53"/>
    <w:rsid w:val="0064715A"/>
    <w:rsid w:val="006471EC"/>
    <w:rsid w:val="00647A1F"/>
    <w:rsid w:val="00647C81"/>
    <w:rsid w:val="006504DB"/>
    <w:rsid w:val="006510A8"/>
    <w:rsid w:val="0065138B"/>
    <w:rsid w:val="00651516"/>
    <w:rsid w:val="006535C7"/>
    <w:rsid w:val="0065429C"/>
    <w:rsid w:val="0065430D"/>
    <w:rsid w:val="006549F7"/>
    <w:rsid w:val="00654B0A"/>
    <w:rsid w:val="00656353"/>
    <w:rsid w:val="0065680C"/>
    <w:rsid w:val="006568A8"/>
    <w:rsid w:val="00657142"/>
    <w:rsid w:val="00657B7F"/>
    <w:rsid w:val="00657F4A"/>
    <w:rsid w:val="00660558"/>
    <w:rsid w:val="0066058E"/>
    <w:rsid w:val="00660E72"/>
    <w:rsid w:val="0066158F"/>
    <w:rsid w:val="00661831"/>
    <w:rsid w:val="00661BA5"/>
    <w:rsid w:val="006623C2"/>
    <w:rsid w:val="00662845"/>
    <w:rsid w:val="00662CA5"/>
    <w:rsid w:val="00662CAE"/>
    <w:rsid w:val="00663156"/>
    <w:rsid w:val="00663344"/>
    <w:rsid w:val="00663B3A"/>
    <w:rsid w:val="0066419B"/>
    <w:rsid w:val="00664A56"/>
    <w:rsid w:val="006652DA"/>
    <w:rsid w:val="00665716"/>
    <w:rsid w:val="00665C12"/>
    <w:rsid w:val="00666529"/>
    <w:rsid w:val="00666768"/>
    <w:rsid w:val="006671CF"/>
    <w:rsid w:val="0066745D"/>
    <w:rsid w:val="006674FF"/>
    <w:rsid w:val="006678FE"/>
    <w:rsid w:val="006700FC"/>
    <w:rsid w:val="006702F0"/>
    <w:rsid w:val="00670410"/>
    <w:rsid w:val="00670681"/>
    <w:rsid w:val="00670983"/>
    <w:rsid w:val="00671183"/>
    <w:rsid w:val="00671B39"/>
    <w:rsid w:val="00671F3B"/>
    <w:rsid w:val="0067207E"/>
    <w:rsid w:val="00672520"/>
    <w:rsid w:val="006727D1"/>
    <w:rsid w:val="00672D41"/>
    <w:rsid w:val="00673672"/>
    <w:rsid w:val="00673B22"/>
    <w:rsid w:val="00674298"/>
    <w:rsid w:val="00674BBB"/>
    <w:rsid w:val="00674F3A"/>
    <w:rsid w:val="00674F6F"/>
    <w:rsid w:val="00674FCA"/>
    <w:rsid w:val="00675B7A"/>
    <w:rsid w:val="00676036"/>
    <w:rsid w:val="00676082"/>
    <w:rsid w:val="006765E0"/>
    <w:rsid w:val="00676800"/>
    <w:rsid w:val="00676C24"/>
    <w:rsid w:val="0067701F"/>
    <w:rsid w:val="0067727E"/>
    <w:rsid w:val="00677484"/>
    <w:rsid w:val="00677B4A"/>
    <w:rsid w:val="00677ED7"/>
    <w:rsid w:val="006803EB"/>
    <w:rsid w:val="006804F2"/>
    <w:rsid w:val="00681723"/>
    <w:rsid w:val="006822C2"/>
    <w:rsid w:val="0068253A"/>
    <w:rsid w:val="006829BC"/>
    <w:rsid w:val="00682B4F"/>
    <w:rsid w:val="0068306F"/>
    <w:rsid w:val="0068334F"/>
    <w:rsid w:val="0068364C"/>
    <w:rsid w:val="00683688"/>
    <w:rsid w:val="006838B9"/>
    <w:rsid w:val="00683D42"/>
    <w:rsid w:val="00683E66"/>
    <w:rsid w:val="00683F13"/>
    <w:rsid w:val="006841A4"/>
    <w:rsid w:val="006841B2"/>
    <w:rsid w:val="006849FF"/>
    <w:rsid w:val="00684A07"/>
    <w:rsid w:val="00684E4C"/>
    <w:rsid w:val="0068586F"/>
    <w:rsid w:val="006858A2"/>
    <w:rsid w:val="00686EE6"/>
    <w:rsid w:val="00687A81"/>
    <w:rsid w:val="00687BC8"/>
    <w:rsid w:val="00687C3A"/>
    <w:rsid w:val="00690214"/>
    <w:rsid w:val="00690CF9"/>
    <w:rsid w:val="006919AE"/>
    <w:rsid w:val="006919DD"/>
    <w:rsid w:val="00691FFB"/>
    <w:rsid w:val="00692B7E"/>
    <w:rsid w:val="00693400"/>
    <w:rsid w:val="0069384F"/>
    <w:rsid w:val="006938D5"/>
    <w:rsid w:val="00693A95"/>
    <w:rsid w:val="00694301"/>
    <w:rsid w:val="0069490B"/>
    <w:rsid w:val="00695164"/>
    <w:rsid w:val="006953C2"/>
    <w:rsid w:val="006954C1"/>
    <w:rsid w:val="0069555F"/>
    <w:rsid w:val="00695B3A"/>
    <w:rsid w:val="00696842"/>
    <w:rsid w:val="006969B4"/>
    <w:rsid w:val="00696B90"/>
    <w:rsid w:val="00696E0E"/>
    <w:rsid w:val="006972C5"/>
    <w:rsid w:val="00697ADF"/>
    <w:rsid w:val="006A080D"/>
    <w:rsid w:val="006A0887"/>
    <w:rsid w:val="006A0D58"/>
    <w:rsid w:val="006A0DBF"/>
    <w:rsid w:val="006A15C7"/>
    <w:rsid w:val="006A1702"/>
    <w:rsid w:val="006A19D1"/>
    <w:rsid w:val="006A1D7F"/>
    <w:rsid w:val="006A1F27"/>
    <w:rsid w:val="006A25E8"/>
    <w:rsid w:val="006A2FAF"/>
    <w:rsid w:val="006A30C6"/>
    <w:rsid w:val="006A30DB"/>
    <w:rsid w:val="006A33D2"/>
    <w:rsid w:val="006A3FB8"/>
    <w:rsid w:val="006A42B8"/>
    <w:rsid w:val="006A5318"/>
    <w:rsid w:val="006A55D8"/>
    <w:rsid w:val="006A61F3"/>
    <w:rsid w:val="006A63A3"/>
    <w:rsid w:val="006A6446"/>
    <w:rsid w:val="006A6BB1"/>
    <w:rsid w:val="006A7156"/>
    <w:rsid w:val="006A7649"/>
    <w:rsid w:val="006A7691"/>
    <w:rsid w:val="006A7D41"/>
    <w:rsid w:val="006B0693"/>
    <w:rsid w:val="006B0930"/>
    <w:rsid w:val="006B09D6"/>
    <w:rsid w:val="006B2C5F"/>
    <w:rsid w:val="006B5611"/>
    <w:rsid w:val="006B5702"/>
    <w:rsid w:val="006B57DF"/>
    <w:rsid w:val="006B5A67"/>
    <w:rsid w:val="006B5DE4"/>
    <w:rsid w:val="006C0112"/>
    <w:rsid w:val="006C0E45"/>
    <w:rsid w:val="006C174A"/>
    <w:rsid w:val="006C226E"/>
    <w:rsid w:val="006C22DD"/>
    <w:rsid w:val="006C2EEB"/>
    <w:rsid w:val="006C3969"/>
    <w:rsid w:val="006C3A1E"/>
    <w:rsid w:val="006C3FB3"/>
    <w:rsid w:val="006C4030"/>
    <w:rsid w:val="006C47C6"/>
    <w:rsid w:val="006C485F"/>
    <w:rsid w:val="006C5012"/>
    <w:rsid w:val="006C52CB"/>
    <w:rsid w:val="006C5413"/>
    <w:rsid w:val="006C54B4"/>
    <w:rsid w:val="006C5961"/>
    <w:rsid w:val="006C6492"/>
    <w:rsid w:val="006C6C83"/>
    <w:rsid w:val="006C76EF"/>
    <w:rsid w:val="006C7716"/>
    <w:rsid w:val="006D093C"/>
    <w:rsid w:val="006D0F0E"/>
    <w:rsid w:val="006D17A7"/>
    <w:rsid w:val="006D1AC9"/>
    <w:rsid w:val="006D26C6"/>
    <w:rsid w:val="006D2C9B"/>
    <w:rsid w:val="006D309E"/>
    <w:rsid w:val="006D36F5"/>
    <w:rsid w:val="006D408F"/>
    <w:rsid w:val="006D40C5"/>
    <w:rsid w:val="006D4338"/>
    <w:rsid w:val="006D43A1"/>
    <w:rsid w:val="006D579C"/>
    <w:rsid w:val="006D5A50"/>
    <w:rsid w:val="006D6170"/>
    <w:rsid w:val="006D6DC1"/>
    <w:rsid w:val="006D6EAA"/>
    <w:rsid w:val="006D7A38"/>
    <w:rsid w:val="006E0479"/>
    <w:rsid w:val="006E0B19"/>
    <w:rsid w:val="006E0DFC"/>
    <w:rsid w:val="006E13C7"/>
    <w:rsid w:val="006E154A"/>
    <w:rsid w:val="006E181B"/>
    <w:rsid w:val="006E2A9E"/>
    <w:rsid w:val="006E30E0"/>
    <w:rsid w:val="006E3142"/>
    <w:rsid w:val="006E4669"/>
    <w:rsid w:val="006E47B7"/>
    <w:rsid w:val="006E537F"/>
    <w:rsid w:val="006E5663"/>
    <w:rsid w:val="006E58BC"/>
    <w:rsid w:val="006E5961"/>
    <w:rsid w:val="006E6B0A"/>
    <w:rsid w:val="006E73D3"/>
    <w:rsid w:val="006E7858"/>
    <w:rsid w:val="006E7B5E"/>
    <w:rsid w:val="006F097F"/>
    <w:rsid w:val="006F0A7A"/>
    <w:rsid w:val="006F0C97"/>
    <w:rsid w:val="006F1D6C"/>
    <w:rsid w:val="006F244E"/>
    <w:rsid w:val="006F29E3"/>
    <w:rsid w:val="006F3145"/>
    <w:rsid w:val="006F333A"/>
    <w:rsid w:val="006F3484"/>
    <w:rsid w:val="006F38D4"/>
    <w:rsid w:val="006F3B50"/>
    <w:rsid w:val="006F3BA3"/>
    <w:rsid w:val="006F3CE8"/>
    <w:rsid w:val="006F454D"/>
    <w:rsid w:val="006F4A0A"/>
    <w:rsid w:val="006F4BFF"/>
    <w:rsid w:val="006F4C58"/>
    <w:rsid w:val="006F5399"/>
    <w:rsid w:val="006F555B"/>
    <w:rsid w:val="006F58CC"/>
    <w:rsid w:val="006F5D33"/>
    <w:rsid w:val="006F6735"/>
    <w:rsid w:val="006F6772"/>
    <w:rsid w:val="006F6911"/>
    <w:rsid w:val="006F6DA2"/>
    <w:rsid w:val="00700F4D"/>
    <w:rsid w:val="007029F1"/>
    <w:rsid w:val="00702B3A"/>
    <w:rsid w:val="00702FFF"/>
    <w:rsid w:val="007030E3"/>
    <w:rsid w:val="0070313B"/>
    <w:rsid w:val="00703724"/>
    <w:rsid w:val="0070378B"/>
    <w:rsid w:val="00703DC9"/>
    <w:rsid w:val="00704F0A"/>
    <w:rsid w:val="00704F72"/>
    <w:rsid w:val="00704FE9"/>
    <w:rsid w:val="007052BB"/>
    <w:rsid w:val="0070586D"/>
    <w:rsid w:val="00705EF9"/>
    <w:rsid w:val="00706EDB"/>
    <w:rsid w:val="0070771A"/>
    <w:rsid w:val="00707D2A"/>
    <w:rsid w:val="0071013D"/>
    <w:rsid w:val="007103A0"/>
    <w:rsid w:val="00710CF6"/>
    <w:rsid w:val="00710DCC"/>
    <w:rsid w:val="00710E6A"/>
    <w:rsid w:val="00710EA7"/>
    <w:rsid w:val="00711500"/>
    <w:rsid w:val="00711727"/>
    <w:rsid w:val="00712838"/>
    <w:rsid w:val="007129A3"/>
    <w:rsid w:val="00712A04"/>
    <w:rsid w:val="00712AC4"/>
    <w:rsid w:val="00713683"/>
    <w:rsid w:val="0071408C"/>
    <w:rsid w:val="0071450C"/>
    <w:rsid w:val="0071468C"/>
    <w:rsid w:val="00714CD7"/>
    <w:rsid w:val="007152AF"/>
    <w:rsid w:val="007156FB"/>
    <w:rsid w:val="00716E18"/>
    <w:rsid w:val="00716EAE"/>
    <w:rsid w:val="0071708C"/>
    <w:rsid w:val="0071747F"/>
    <w:rsid w:val="007179A8"/>
    <w:rsid w:val="00717CAE"/>
    <w:rsid w:val="0072060B"/>
    <w:rsid w:val="0072065B"/>
    <w:rsid w:val="00720D51"/>
    <w:rsid w:val="0072236E"/>
    <w:rsid w:val="0072282A"/>
    <w:rsid w:val="00722D42"/>
    <w:rsid w:val="00722E29"/>
    <w:rsid w:val="00723050"/>
    <w:rsid w:val="00723F16"/>
    <w:rsid w:val="00724920"/>
    <w:rsid w:val="0072534E"/>
    <w:rsid w:val="00725FF3"/>
    <w:rsid w:val="007273E1"/>
    <w:rsid w:val="007279B0"/>
    <w:rsid w:val="00730055"/>
    <w:rsid w:val="007302F7"/>
    <w:rsid w:val="007309ED"/>
    <w:rsid w:val="00730E60"/>
    <w:rsid w:val="00731DCF"/>
    <w:rsid w:val="00731DF0"/>
    <w:rsid w:val="00732507"/>
    <w:rsid w:val="00732612"/>
    <w:rsid w:val="00732BCB"/>
    <w:rsid w:val="00732DAF"/>
    <w:rsid w:val="00732EF0"/>
    <w:rsid w:val="00733139"/>
    <w:rsid w:val="007336CC"/>
    <w:rsid w:val="00734442"/>
    <w:rsid w:val="007357CD"/>
    <w:rsid w:val="00735BA3"/>
    <w:rsid w:val="00735F0C"/>
    <w:rsid w:val="0073600B"/>
    <w:rsid w:val="007365C5"/>
    <w:rsid w:val="007366FF"/>
    <w:rsid w:val="0073687B"/>
    <w:rsid w:val="00736C0F"/>
    <w:rsid w:val="00736FC1"/>
    <w:rsid w:val="0073724D"/>
    <w:rsid w:val="00737949"/>
    <w:rsid w:val="007379D1"/>
    <w:rsid w:val="00737B70"/>
    <w:rsid w:val="007401A2"/>
    <w:rsid w:val="00740A4A"/>
    <w:rsid w:val="00740A4C"/>
    <w:rsid w:val="00740D06"/>
    <w:rsid w:val="00740E3D"/>
    <w:rsid w:val="00741363"/>
    <w:rsid w:val="0074172F"/>
    <w:rsid w:val="0074186A"/>
    <w:rsid w:val="00741EA8"/>
    <w:rsid w:val="007425DA"/>
    <w:rsid w:val="0074291F"/>
    <w:rsid w:val="00742D73"/>
    <w:rsid w:val="00743613"/>
    <w:rsid w:val="0074577C"/>
    <w:rsid w:val="0074587C"/>
    <w:rsid w:val="00745A0F"/>
    <w:rsid w:val="007472A8"/>
    <w:rsid w:val="00747A1A"/>
    <w:rsid w:val="0075003E"/>
    <w:rsid w:val="00750BCA"/>
    <w:rsid w:val="007510AB"/>
    <w:rsid w:val="00751E25"/>
    <w:rsid w:val="00752532"/>
    <w:rsid w:val="00752697"/>
    <w:rsid w:val="00752995"/>
    <w:rsid w:val="00753289"/>
    <w:rsid w:val="007537DE"/>
    <w:rsid w:val="007538E0"/>
    <w:rsid w:val="00753E8B"/>
    <w:rsid w:val="007541CB"/>
    <w:rsid w:val="00754229"/>
    <w:rsid w:val="007543B4"/>
    <w:rsid w:val="007552C1"/>
    <w:rsid w:val="007555C5"/>
    <w:rsid w:val="007568AD"/>
    <w:rsid w:val="00756CAA"/>
    <w:rsid w:val="00756E37"/>
    <w:rsid w:val="007570A8"/>
    <w:rsid w:val="0075731A"/>
    <w:rsid w:val="0075751B"/>
    <w:rsid w:val="0075790B"/>
    <w:rsid w:val="00760535"/>
    <w:rsid w:val="00760586"/>
    <w:rsid w:val="00761410"/>
    <w:rsid w:val="00761B31"/>
    <w:rsid w:val="00761B40"/>
    <w:rsid w:val="00761FC3"/>
    <w:rsid w:val="00762111"/>
    <w:rsid w:val="0076292C"/>
    <w:rsid w:val="00762D25"/>
    <w:rsid w:val="00763AB0"/>
    <w:rsid w:val="00763C87"/>
    <w:rsid w:val="0076419D"/>
    <w:rsid w:val="007641F0"/>
    <w:rsid w:val="00764477"/>
    <w:rsid w:val="007650B4"/>
    <w:rsid w:val="00765487"/>
    <w:rsid w:val="00765D34"/>
    <w:rsid w:val="007665FD"/>
    <w:rsid w:val="007666C9"/>
    <w:rsid w:val="00767814"/>
    <w:rsid w:val="00767963"/>
    <w:rsid w:val="00767C20"/>
    <w:rsid w:val="0077044E"/>
    <w:rsid w:val="0077081B"/>
    <w:rsid w:val="00770DB8"/>
    <w:rsid w:val="007710B4"/>
    <w:rsid w:val="007711A0"/>
    <w:rsid w:val="00771D03"/>
    <w:rsid w:val="00772CFE"/>
    <w:rsid w:val="00772FEE"/>
    <w:rsid w:val="007731EC"/>
    <w:rsid w:val="00773C3F"/>
    <w:rsid w:val="007746DC"/>
    <w:rsid w:val="007746EB"/>
    <w:rsid w:val="0077531D"/>
    <w:rsid w:val="007753DD"/>
    <w:rsid w:val="00775B66"/>
    <w:rsid w:val="00775C00"/>
    <w:rsid w:val="00775CD7"/>
    <w:rsid w:val="0077717B"/>
    <w:rsid w:val="007772D4"/>
    <w:rsid w:val="00777490"/>
    <w:rsid w:val="007775B4"/>
    <w:rsid w:val="00777905"/>
    <w:rsid w:val="00777A3D"/>
    <w:rsid w:val="00777B41"/>
    <w:rsid w:val="00780259"/>
    <w:rsid w:val="007802DC"/>
    <w:rsid w:val="007803AF"/>
    <w:rsid w:val="0078041F"/>
    <w:rsid w:val="00780AE5"/>
    <w:rsid w:val="00780F65"/>
    <w:rsid w:val="00781BA4"/>
    <w:rsid w:val="007823EF"/>
    <w:rsid w:val="007828C4"/>
    <w:rsid w:val="00782B46"/>
    <w:rsid w:val="0078422D"/>
    <w:rsid w:val="007845DD"/>
    <w:rsid w:val="007860B1"/>
    <w:rsid w:val="007865AA"/>
    <w:rsid w:val="00786605"/>
    <w:rsid w:val="007871B8"/>
    <w:rsid w:val="007871BF"/>
    <w:rsid w:val="007917EF"/>
    <w:rsid w:val="00792316"/>
    <w:rsid w:val="0079242F"/>
    <w:rsid w:val="00792805"/>
    <w:rsid w:val="0079283D"/>
    <w:rsid w:val="0079307E"/>
    <w:rsid w:val="0079418B"/>
    <w:rsid w:val="00794208"/>
    <w:rsid w:val="0079450B"/>
    <w:rsid w:val="007946C8"/>
    <w:rsid w:val="00795447"/>
    <w:rsid w:val="007962B8"/>
    <w:rsid w:val="0079632C"/>
    <w:rsid w:val="00796532"/>
    <w:rsid w:val="00796856"/>
    <w:rsid w:val="007969C3"/>
    <w:rsid w:val="007977B3"/>
    <w:rsid w:val="007A03C4"/>
    <w:rsid w:val="007A0597"/>
    <w:rsid w:val="007A08E0"/>
    <w:rsid w:val="007A0BE2"/>
    <w:rsid w:val="007A10AA"/>
    <w:rsid w:val="007A133D"/>
    <w:rsid w:val="007A1615"/>
    <w:rsid w:val="007A1AD5"/>
    <w:rsid w:val="007A1CA7"/>
    <w:rsid w:val="007A2E65"/>
    <w:rsid w:val="007A3130"/>
    <w:rsid w:val="007A3BDA"/>
    <w:rsid w:val="007A484E"/>
    <w:rsid w:val="007A5360"/>
    <w:rsid w:val="007A59DE"/>
    <w:rsid w:val="007A6807"/>
    <w:rsid w:val="007A6F81"/>
    <w:rsid w:val="007A7F10"/>
    <w:rsid w:val="007A7F79"/>
    <w:rsid w:val="007B1884"/>
    <w:rsid w:val="007B2929"/>
    <w:rsid w:val="007B32A2"/>
    <w:rsid w:val="007B43B2"/>
    <w:rsid w:val="007B442B"/>
    <w:rsid w:val="007B51BE"/>
    <w:rsid w:val="007B523C"/>
    <w:rsid w:val="007B5846"/>
    <w:rsid w:val="007B6BC6"/>
    <w:rsid w:val="007B7CB9"/>
    <w:rsid w:val="007C048D"/>
    <w:rsid w:val="007C052F"/>
    <w:rsid w:val="007C09F2"/>
    <w:rsid w:val="007C18D8"/>
    <w:rsid w:val="007C1C32"/>
    <w:rsid w:val="007C2B35"/>
    <w:rsid w:val="007C2BDC"/>
    <w:rsid w:val="007C365F"/>
    <w:rsid w:val="007C397D"/>
    <w:rsid w:val="007C3BD3"/>
    <w:rsid w:val="007C43E9"/>
    <w:rsid w:val="007C4CF6"/>
    <w:rsid w:val="007C5211"/>
    <w:rsid w:val="007C575C"/>
    <w:rsid w:val="007C58EE"/>
    <w:rsid w:val="007C6241"/>
    <w:rsid w:val="007C6489"/>
    <w:rsid w:val="007C6A19"/>
    <w:rsid w:val="007C71A7"/>
    <w:rsid w:val="007C79BC"/>
    <w:rsid w:val="007C7B0B"/>
    <w:rsid w:val="007D02C4"/>
    <w:rsid w:val="007D07C1"/>
    <w:rsid w:val="007D2690"/>
    <w:rsid w:val="007D3C23"/>
    <w:rsid w:val="007D447B"/>
    <w:rsid w:val="007D46D2"/>
    <w:rsid w:val="007D48B4"/>
    <w:rsid w:val="007D53D4"/>
    <w:rsid w:val="007D6780"/>
    <w:rsid w:val="007D68DF"/>
    <w:rsid w:val="007D6DBE"/>
    <w:rsid w:val="007D78C9"/>
    <w:rsid w:val="007D7D50"/>
    <w:rsid w:val="007E0DE1"/>
    <w:rsid w:val="007E1E26"/>
    <w:rsid w:val="007E20B6"/>
    <w:rsid w:val="007E41B0"/>
    <w:rsid w:val="007E4AAD"/>
    <w:rsid w:val="007E4D0F"/>
    <w:rsid w:val="007E53EB"/>
    <w:rsid w:val="007E62FE"/>
    <w:rsid w:val="007E6A6A"/>
    <w:rsid w:val="007E6F45"/>
    <w:rsid w:val="007E7980"/>
    <w:rsid w:val="007E7A46"/>
    <w:rsid w:val="007E7A5E"/>
    <w:rsid w:val="007E7F71"/>
    <w:rsid w:val="007F008E"/>
    <w:rsid w:val="007F04EA"/>
    <w:rsid w:val="007F0C71"/>
    <w:rsid w:val="007F1279"/>
    <w:rsid w:val="007F15E5"/>
    <w:rsid w:val="007F1AB9"/>
    <w:rsid w:val="007F2035"/>
    <w:rsid w:val="007F2499"/>
    <w:rsid w:val="007F2B1A"/>
    <w:rsid w:val="007F2D3E"/>
    <w:rsid w:val="007F2D46"/>
    <w:rsid w:val="007F301F"/>
    <w:rsid w:val="007F40A7"/>
    <w:rsid w:val="007F468F"/>
    <w:rsid w:val="007F49C3"/>
    <w:rsid w:val="007F5378"/>
    <w:rsid w:val="007F5529"/>
    <w:rsid w:val="007F5ABB"/>
    <w:rsid w:val="007F69E2"/>
    <w:rsid w:val="007F773C"/>
    <w:rsid w:val="007F7AA5"/>
    <w:rsid w:val="00800F55"/>
    <w:rsid w:val="00801A57"/>
    <w:rsid w:val="00801FB4"/>
    <w:rsid w:val="00802424"/>
    <w:rsid w:val="00802EE5"/>
    <w:rsid w:val="00804B92"/>
    <w:rsid w:val="00805A53"/>
    <w:rsid w:val="00805CD1"/>
    <w:rsid w:val="00806565"/>
    <w:rsid w:val="00806A06"/>
    <w:rsid w:val="00806AC3"/>
    <w:rsid w:val="00806C7B"/>
    <w:rsid w:val="00806E7C"/>
    <w:rsid w:val="008075F5"/>
    <w:rsid w:val="008077CC"/>
    <w:rsid w:val="00807DAF"/>
    <w:rsid w:val="0081039B"/>
    <w:rsid w:val="0081044F"/>
    <w:rsid w:val="00810621"/>
    <w:rsid w:val="008106B8"/>
    <w:rsid w:val="00810833"/>
    <w:rsid w:val="00810C2D"/>
    <w:rsid w:val="00811002"/>
    <w:rsid w:val="0081122B"/>
    <w:rsid w:val="008115C3"/>
    <w:rsid w:val="00811EDF"/>
    <w:rsid w:val="00812A73"/>
    <w:rsid w:val="00812E09"/>
    <w:rsid w:val="00813338"/>
    <w:rsid w:val="00813786"/>
    <w:rsid w:val="00813938"/>
    <w:rsid w:val="008141BF"/>
    <w:rsid w:val="00814316"/>
    <w:rsid w:val="0081459C"/>
    <w:rsid w:val="00814BC3"/>
    <w:rsid w:val="0081526B"/>
    <w:rsid w:val="008158A2"/>
    <w:rsid w:val="00816069"/>
    <w:rsid w:val="0081645B"/>
    <w:rsid w:val="008169E6"/>
    <w:rsid w:val="0081720D"/>
    <w:rsid w:val="008173E3"/>
    <w:rsid w:val="0081762C"/>
    <w:rsid w:val="0081789D"/>
    <w:rsid w:val="00820492"/>
    <w:rsid w:val="008208C1"/>
    <w:rsid w:val="008209D0"/>
    <w:rsid w:val="00820A70"/>
    <w:rsid w:val="00820D62"/>
    <w:rsid w:val="00820FAF"/>
    <w:rsid w:val="00821F63"/>
    <w:rsid w:val="00822050"/>
    <w:rsid w:val="0082259E"/>
    <w:rsid w:val="008229EF"/>
    <w:rsid w:val="00822AA6"/>
    <w:rsid w:val="008239F1"/>
    <w:rsid w:val="008243CB"/>
    <w:rsid w:val="00824D7B"/>
    <w:rsid w:val="00824E4A"/>
    <w:rsid w:val="00825015"/>
    <w:rsid w:val="00826682"/>
    <w:rsid w:val="00826EBD"/>
    <w:rsid w:val="00827490"/>
    <w:rsid w:val="0083020E"/>
    <w:rsid w:val="00830503"/>
    <w:rsid w:val="00830EA4"/>
    <w:rsid w:val="00832908"/>
    <w:rsid w:val="00832ACE"/>
    <w:rsid w:val="00832B66"/>
    <w:rsid w:val="0083389C"/>
    <w:rsid w:val="00833B02"/>
    <w:rsid w:val="00833E08"/>
    <w:rsid w:val="008348C9"/>
    <w:rsid w:val="008351FD"/>
    <w:rsid w:val="008358A2"/>
    <w:rsid w:val="00835D34"/>
    <w:rsid w:val="008366EA"/>
    <w:rsid w:val="008367D2"/>
    <w:rsid w:val="00836C99"/>
    <w:rsid w:val="00836FD8"/>
    <w:rsid w:val="00840FB0"/>
    <w:rsid w:val="0084144B"/>
    <w:rsid w:val="00841C7F"/>
    <w:rsid w:val="008428C5"/>
    <w:rsid w:val="00842970"/>
    <w:rsid w:val="00843BC0"/>
    <w:rsid w:val="00843E24"/>
    <w:rsid w:val="00843F3A"/>
    <w:rsid w:val="00844085"/>
    <w:rsid w:val="008449C7"/>
    <w:rsid w:val="00844FC5"/>
    <w:rsid w:val="00845BB8"/>
    <w:rsid w:val="00845E55"/>
    <w:rsid w:val="00845F0E"/>
    <w:rsid w:val="008470B3"/>
    <w:rsid w:val="008471CE"/>
    <w:rsid w:val="0084771F"/>
    <w:rsid w:val="00847EF4"/>
    <w:rsid w:val="00847F65"/>
    <w:rsid w:val="00850174"/>
    <w:rsid w:val="008501E9"/>
    <w:rsid w:val="0085050B"/>
    <w:rsid w:val="00850CA9"/>
    <w:rsid w:val="00850D0B"/>
    <w:rsid w:val="00851894"/>
    <w:rsid w:val="0085299E"/>
    <w:rsid w:val="0085334F"/>
    <w:rsid w:val="008544F5"/>
    <w:rsid w:val="008547D4"/>
    <w:rsid w:val="00854ADF"/>
    <w:rsid w:val="00855C79"/>
    <w:rsid w:val="0085629C"/>
    <w:rsid w:val="00856A9C"/>
    <w:rsid w:val="00857AFB"/>
    <w:rsid w:val="00857C36"/>
    <w:rsid w:val="008603B8"/>
    <w:rsid w:val="00860591"/>
    <w:rsid w:val="00860647"/>
    <w:rsid w:val="00860697"/>
    <w:rsid w:val="00860A62"/>
    <w:rsid w:val="008612B5"/>
    <w:rsid w:val="00861513"/>
    <w:rsid w:val="00861A89"/>
    <w:rsid w:val="00861EC5"/>
    <w:rsid w:val="008630DD"/>
    <w:rsid w:val="0086328D"/>
    <w:rsid w:val="008632C5"/>
    <w:rsid w:val="00863598"/>
    <w:rsid w:val="0086366C"/>
    <w:rsid w:val="00863843"/>
    <w:rsid w:val="008639A0"/>
    <w:rsid w:val="00863C39"/>
    <w:rsid w:val="00863FBB"/>
    <w:rsid w:val="00865671"/>
    <w:rsid w:val="00865B3C"/>
    <w:rsid w:val="0086619B"/>
    <w:rsid w:val="00866EAA"/>
    <w:rsid w:val="00866F48"/>
    <w:rsid w:val="008677FE"/>
    <w:rsid w:val="00872073"/>
    <w:rsid w:val="00872A66"/>
    <w:rsid w:val="0087311C"/>
    <w:rsid w:val="00873867"/>
    <w:rsid w:val="00873B13"/>
    <w:rsid w:val="00873B4E"/>
    <w:rsid w:val="0087422C"/>
    <w:rsid w:val="008742C6"/>
    <w:rsid w:val="00874343"/>
    <w:rsid w:val="00874487"/>
    <w:rsid w:val="00874EA5"/>
    <w:rsid w:val="00875170"/>
    <w:rsid w:val="0087601B"/>
    <w:rsid w:val="00876C2B"/>
    <w:rsid w:val="008804C8"/>
    <w:rsid w:val="00881E51"/>
    <w:rsid w:val="008827D8"/>
    <w:rsid w:val="00882858"/>
    <w:rsid w:val="00882EBB"/>
    <w:rsid w:val="00882F1F"/>
    <w:rsid w:val="00883960"/>
    <w:rsid w:val="00884058"/>
    <w:rsid w:val="00884138"/>
    <w:rsid w:val="00884703"/>
    <w:rsid w:val="00884E80"/>
    <w:rsid w:val="00885A8E"/>
    <w:rsid w:val="00885D08"/>
    <w:rsid w:val="00886CE6"/>
    <w:rsid w:val="00887181"/>
    <w:rsid w:val="008877FD"/>
    <w:rsid w:val="00887AAF"/>
    <w:rsid w:val="0089051C"/>
    <w:rsid w:val="008909D4"/>
    <w:rsid w:val="00890B10"/>
    <w:rsid w:val="00890C17"/>
    <w:rsid w:val="00890D94"/>
    <w:rsid w:val="008916A7"/>
    <w:rsid w:val="00891A65"/>
    <w:rsid w:val="00891B73"/>
    <w:rsid w:val="00891B79"/>
    <w:rsid w:val="00891CA6"/>
    <w:rsid w:val="00892C1D"/>
    <w:rsid w:val="008932FD"/>
    <w:rsid w:val="008933F1"/>
    <w:rsid w:val="0089340D"/>
    <w:rsid w:val="0089364A"/>
    <w:rsid w:val="0089368B"/>
    <w:rsid w:val="00893F66"/>
    <w:rsid w:val="008945CF"/>
    <w:rsid w:val="008964D0"/>
    <w:rsid w:val="00896A90"/>
    <w:rsid w:val="00896BD5"/>
    <w:rsid w:val="00897000"/>
    <w:rsid w:val="008970B6"/>
    <w:rsid w:val="008974AE"/>
    <w:rsid w:val="008975ED"/>
    <w:rsid w:val="008A02C6"/>
    <w:rsid w:val="008A1416"/>
    <w:rsid w:val="008A1E03"/>
    <w:rsid w:val="008A1F4A"/>
    <w:rsid w:val="008A22C0"/>
    <w:rsid w:val="008A2600"/>
    <w:rsid w:val="008A2CDC"/>
    <w:rsid w:val="008A310B"/>
    <w:rsid w:val="008A342D"/>
    <w:rsid w:val="008A352B"/>
    <w:rsid w:val="008A3B68"/>
    <w:rsid w:val="008A40ED"/>
    <w:rsid w:val="008A4532"/>
    <w:rsid w:val="008A537D"/>
    <w:rsid w:val="008A53DF"/>
    <w:rsid w:val="008A58DF"/>
    <w:rsid w:val="008A5A11"/>
    <w:rsid w:val="008A5E77"/>
    <w:rsid w:val="008A6028"/>
    <w:rsid w:val="008A61BA"/>
    <w:rsid w:val="008A6215"/>
    <w:rsid w:val="008A64A9"/>
    <w:rsid w:val="008A7393"/>
    <w:rsid w:val="008A7421"/>
    <w:rsid w:val="008B04CD"/>
    <w:rsid w:val="008B100A"/>
    <w:rsid w:val="008B1165"/>
    <w:rsid w:val="008B13E5"/>
    <w:rsid w:val="008B1465"/>
    <w:rsid w:val="008B1BD7"/>
    <w:rsid w:val="008B1DFF"/>
    <w:rsid w:val="008B250D"/>
    <w:rsid w:val="008B29C5"/>
    <w:rsid w:val="008B2A85"/>
    <w:rsid w:val="008B3643"/>
    <w:rsid w:val="008B36E7"/>
    <w:rsid w:val="008B39B3"/>
    <w:rsid w:val="008B47E2"/>
    <w:rsid w:val="008B4D8F"/>
    <w:rsid w:val="008B56B3"/>
    <w:rsid w:val="008B58EB"/>
    <w:rsid w:val="008B62D2"/>
    <w:rsid w:val="008B6AE1"/>
    <w:rsid w:val="008B6D27"/>
    <w:rsid w:val="008B6D6C"/>
    <w:rsid w:val="008B75A3"/>
    <w:rsid w:val="008B78B7"/>
    <w:rsid w:val="008B7CB4"/>
    <w:rsid w:val="008C0308"/>
    <w:rsid w:val="008C0970"/>
    <w:rsid w:val="008C0B96"/>
    <w:rsid w:val="008C0D44"/>
    <w:rsid w:val="008C1BCF"/>
    <w:rsid w:val="008C2349"/>
    <w:rsid w:val="008C2968"/>
    <w:rsid w:val="008C2A4C"/>
    <w:rsid w:val="008C2D26"/>
    <w:rsid w:val="008C3523"/>
    <w:rsid w:val="008C3934"/>
    <w:rsid w:val="008C3AEF"/>
    <w:rsid w:val="008C4034"/>
    <w:rsid w:val="008C40FA"/>
    <w:rsid w:val="008C4FAE"/>
    <w:rsid w:val="008C61C9"/>
    <w:rsid w:val="008C6CEA"/>
    <w:rsid w:val="008C6EF0"/>
    <w:rsid w:val="008C75F2"/>
    <w:rsid w:val="008C7A15"/>
    <w:rsid w:val="008C7C95"/>
    <w:rsid w:val="008C7D84"/>
    <w:rsid w:val="008C7DF0"/>
    <w:rsid w:val="008C7E7A"/>
    <w:rsid w:val="008D01BE"/>
    <w:rsid w:val="008D035B"/>
    <w:rsid w:val="008D06C0"/>
    <w:rsid w:val="008D104C"/>
    <w:rsid w:val="008D1D54"/>
    <w:rsid w:val="008D2188"/>
    <w:rsid w:val="008D3206"/>
    <w:rsid w:val="008D47E3"/>
    <w:rsid w:val="008D4EA8"/>
    <w:rsid w:val="008D4F2D"/>
    <w:rsid w:val="008D4FAE"/>
    <w:rsid w:val="008D5081"/>
    <w:rsid w:val="008D6A34"/>
    <w:rsid w:val="008D6C7D"/>
    <w:rsid w:val="008D6D69"/>
    <w:rsid w:val="008D7123"/>
    <w:rsid w:val="008D77A0"/>
    <w:rsid w:val="008E0035"/>
    <w:rsid w:val="008E014E"/>
    <w:rsid w:val="008E10CE"/>
    <w:rsid w:val="008E1240"/>
    <w:rsid w:val="008E1F0E"/>
    <w:rsid w:val="008E2599"/>
    <w:rsid w:val="008E2739"/>
    <w:rsid w:val="008E29CE"/>
    <w:rsid w:val="008E2FD3"/>
    <w:rsid w:val="008E330F"/>
    <w:rsid w:val="008E3363"/>
    <w:rsid w:val="008E34B6"/>
    <w:rsid w:val="008E3C05"/>
    <w:rsid w:val="008E4259"/>
    <w:rsid w:val="008E4CC5"/>
    <w:rsid w:val="008E511F"/>
    <w:rsid w:val="008E6039"/>
    <w:rsid w:val="008E6662"/>
    <w:rsid w:val="008E6832"/>
    <w:rsid w:val="008E6E43"/>
    <w:rsid w:val="008E709B"/>
    <w:rsid w:val="008E7629"/>
    <w:rsid w:val="008E7D31"/>
    <w:rsid w:val="008F01A4"/>
    <w:rsid w:val="008F0E6D"/>
    <w:rsid w:val="008F0EAA"/>
    <w:rsid w:val="008F11A7"/>
    <w:rsid w:val="008F14E5"/>
    <w:rsid w:val="008F1707"/>
    <w:rsid w:val="008F19B8"/>
    <w:rsid w:val="008F342D"/>
    <w:rsid w:val="008F46A6"/>
    <w:rsid w:val="008F4722"/>
    <w:rsid w:val="008F47F8"/>
    <w:rsid w:val="008F5A50"/>
    <w:rsid w:val="008F6A18"/>
    <w:rsid w:val="009007C6"/>
    <w:rsid w:val="009010A0"/>
    <w:rsid w:val="0090186C"/>
    <w:rsid w:val="00901C3A"/>
    <w:rsid w:val="00901EB3"/>
    <w:rsid w:val="0090254D"/>
    <w:rsid w:val="00902C83"/>
    <w:rsid w:val="00903935"/>
    <w:rsid w:val="00904194"/>
    <w:rsid w:val="00904EFA"/>
    <w:rsid w:val="00905771"/>
    <w:rsid w:val="009058AF"/>
    <w:rsid w:val="00905CF1"/>
    <w:rsid w:val="00905FD4"/>
    <w:rsid w:val="009060EB"/>
    <w:rsid w:val="009065E8"/>
    <w:rsid w:val="00907138"/>
    <w:rsid w:val="0090717F"/>
    <w:rsid w:val="009075DA"/>
    <w:rsid w:val="00910262"/>
    <w:rsid w:val="009105F0"/>
    <w:rsid w:val="0091092E"/>
    <w:rsid w:val="00911115"/>
    <w:rsid w:val="00911CF0"/>
    <w:rsid w:val="0091260A"/>
    <w:rsid w:val="009126BA"/>
    <w:rsid w:val="00912CA1"/>
    <w:rsid w:val="00913936"/>
    <w:rsid w:val="00914164"/>
    <w:rsid w:val="009143C6"/>
    <w:rsid w:val="00915452"/>
    <w:rsid w:val="0091681E"/>
    <w:rsid w:val="00916E90"/>
    <w:rsid w:val="00916F8B"/>
    <w:rsid w:val="0091709A"/>
    <w:rsid w:val="00917442"/>
    <w:rsid w:val="00917B1F"/>
    <w:rsid w:val="0092039D"/>
    <w:rsid w:val="00920591"/>
    <w:rsid w:val="00920D3F"/>
    <w:rsid w:val="00921411"/>
    <w:rsid w:val="00921639"/>
    <w:rsid w:val="009225CC"/>
    <w:rsid w:val="009225E8"/>
    <w:rsid w:val="009227E4"/>
    <w:rsid w:val="00922807"/>
    <w:rsid w:val="00922D8B"/>
    <w:rsid w:val="00923317"/>
    <w:rsid w:val="00924809"/>
    <w:rsid w:val="00924A42"/>
    <w:rsid w:val="00924C1A"/>
    <w:rsid w:val="00924CED"/>
    <w:rsid w:val="009250C3"/>
    <w:rsid w:val="009252D1"/>
    <w:rsid w:val="009256C5"/>
    <w:rsid w:val="00925959"/>
    <w:rsid w:val="00925AEA"/>
    <w:rsid w:val="009260EB"/>
    <w:rsid w:val="00926641"/>
    <w:rsid w:val="00926E81"/>
    <w:rsid w:val="00926F8B"/>
    <w:rsid w:val="009274B4"/>
    <w:rsid w:val="00927BEF"/>
    <w:rsid w:val="00930080"/>
    <w:rsid w:val="009303CF"/>
    <w:rsid w:val="00931675"/>
    <w:rsid w:val="0093176E"/>
    <w:rsid w:val="00932064"/>
    <w:rsid w:val="00932094"/>
    <w:rsid w:val="00932193"/>
    <w:rsid w:val="009323D5"/>
    <w:rsid w:val="00932F5E"/>
    <w:rsid w:val="00933151"/>
    <w:rsid w:val="00933529"/>
    <w:rsid w:val="00933738"/>
    <w:rsid w:val="0093373B"/>
    <w:rsid w:val="00933EB1"/>
    <w:rsid w:val="009342DE"/>
    <w:rsid w:val="0093452D"/>
    <w:rsid w:val="00935292"/>
    <w:rsid w:val="00935E94"/>
    <w:rsid w:val="0093653D"/>
    <w:rsid w:val="00937BE1"/>
    <w:rsid w:val="009412CE"/>
    <w:rsid w:val="0094159E"/>
    <w:rsid w:val="00941B03"/>
    <w:rsid w:val="00941C74"/>
    <w:rsid w:val="0094263E"/>
    <w:rsid w:val="009429B3"/>
    <w:rsid w:val="00943851"/>
    <w:rsid w:val="00943D32"/>
    <w:rsid w:val="009441E8"/>
    <w:rsid w:val="00945019"/>
    <w:rsid w:val="00945F95"/>
    <w:rsid w:val="009463EA"/>
    <w:rsid w:val="00946810"/>
    <w:rsid w:val="00946F26"/>
    <w:rsid w:val="009472A7"/>
    <w:rsid w:val="00950A3A"/>
    <w:rsid w:val="00950D62"/>
    <w:rsid w:val="00951ACE"/>
    <w:rsid w:val="00952061"/>
    <w:rsid w:val="00952923"/>
    <w:rsid w:val="0095305E"/>
    <w:rsid w:val="0095338F"/>
    <w:rsid w:val="00953856"/>
    <w:rsid w:val="00953943"/>
    <w:rsid w:val="00953CAC"/>
    <w:rsid w:val="00953FE8"/>
    <w:rsid w:val="00954231"/>
    <w:rsid w:val="00954393"/>
    <w:rsid w:val="00954AB7"/>
    <w:rsid w:val="00954C8C"/>
    <w:rsid w:val="00954D3A"/>
    <w:rsid w:val="00954F7A"/>
    <w:rsid w:val="0095507A"/>
    <w:rsid w:val="009556A7"/>
    <w:rsid w:val="00955D49"/>
    <w:rsid w:val="0095649B"/>
    <w:rsid w:val="00956665"/>
    <w:rsid w:val="00957384"/>
    <w:rsid w:val="0095781D"/>
    <w:rsid w:val="009579C2"/>
    <w:rsid w:val="00957CBE"/>
    <w:rsid w:val="009601F4"/>
    <w:rsid w:val="00960AF4"/>
    <w:rsid w:val="00960BC2"/>
    <w:rsid w:val="00960C96"/>
    <w:rsid w:val="00960FCC"/>
    <w:rsid w:val="009618A0"/>
    <w:rsid w:val="00961A97"/>
    <w:rsid w:val="00961CAD"/>
    <w:rsid w:val="00961E72"/>
    <w:rsid w:val="009622A7"/>
    <w:rsid w:val="00962D2C"/>
    <w:rsid w:val="0096312F"/>
    <w:rsid w:val="00963EE5"/>
    <w:rsid w:val="009642E4"/>
    <w:rsid w:val="009646DA"/>
    <w:rsid w:val="009656F1"/>
    <w:rsid w:val="009657B9"/>
    <w:rsid w:val="00965896"/>
    <w:rsid w:val="00965DA5"/>
    <w:rsid w:val="009661D5"/>
    <w:rsid w:val="009666BF"/>
    <w:rsid w:val="00966996"/>
    <w:rsid w:val="009679A1"/>
    <w:rsid w:val="00967EB0"/>
    <w:rsid w:val="00967F95"/>
    <w:rsid w:val="00970085"/>
    <w:rsid w:val="00970145"/>
    <w:rsid w:val="00970D6C"/>
    <w:rsid w:val="00971B4D"/>
    <w:rsid w:val="00971EAA"/>
    <w:rsid w:val="00972717"/>
    <w:rsid w:val="009731A4"/>
    <w:rsid w:val="009734E8"/>
    <w:rsid w:val="00973926"/>
    <w:rsid w:val="0097426E"/>
    <w:rsid w:val="009743B4"/>
    <w:rsid w:val="0097453A"/>
    <w:rsid w:val="009753BE"/>
    <w:rsid w:val="00976B00"/>
    <w:rsid w:val="00976DCB"/>
    <w:rsid w:val="009770EF"/>
    <w:rsid w:val="0097737E"/>
    <w:rsid w:val="00977F7A"/>
    <w:rsid w:val="00980642"/>
    <w:rsid w:val="0098157E"/>
    <w:rsid w:val="009817E3"/>
    <w:rsid w:val="00981BCF"/>
    <w:rsid w:val="00981F1B"/>
    <w:rsid w:val="0098203B"/>
    <w:rsid w:val="009827BA"/>
    <w:rsid w:val="0098316B"/>
    <w:rsid w:val="009838BE"/>
    <w:rsid w:val="00984364"/>
    <w:rsid w:val="009852A5"/>
    <w:rsid w:val="009853DE"/>
    <w:rsid w:val="009859C9"/>
    <w:rsid w:val="009863A5"/>
    <w:rsid w:val="00986B3C"/>
    <w:rsid w:val="00986F2D"/>
    <w:rsid w:val="00987555"/>
    <w:rsid w:val="009915EF"/>
    <w:rsid w:val="0099184C"/>
    <w:rsid w:val="009920B0"/>
    <w:rsid w:val="009933CC"/>
    <w:rsid w:val="00993CC0"/>
    <w:rsid w:val="00993FB8"/>
    <w:rsid w:val="0099409F"/>
    <w:rsid w:val="009941A3"/>
    <w:rsid w:val="00994263"/>
    <w:rsid w:val="00994D99"/>
    <w:rsid w:val="0099665D"/>
    <w:rsid w:val="00996C1B"/>
    <w:rsid w:val="00997308"/>
    <w:rsid w:val="009977C3"/>
    <w:rsid w:val="00997CF3"/>
    <w:rsid w:val="009A0319"/>
    <w:rsid w:val="009A03B2"/>
    <w:rsid w:val="009A0408"/>
    <w:rsid w:val="009A0C75"/>
    <w:rsid w:val="009A1A7E"/>
    <w:rsid w:val="009A22C9"/>
    <w:rsid w:val="009A29AF"/>
    <w:rsid w:val="009A336F"/>
    <w:rsid w:val="009A33D9"/>
    <w:rsid w:val="009A3DB7"/>
    <w:rsid w:val="009A3DD1"/>
    <w:rsid w:val="009A418B"/>
    <w:rsid w:val="009A459B"/>
    <w:rsid w:val="009A4BB5"/>
    <w:rsid w:val="009A4DEF"/>
    <w:rsid w:val="009A51C1"/>
    <w:rsid w:val="009A5269"/>
    <w:rsid w:val="009A59A1"/>
    <w:rsid w:val="009A5D86"/>
    <w:rsid w:val="009A5ED0"/>
    <w:rsid w:val="009A6B49"/>
    <w:rsid w:val="009A7094"/>
    <w:rsid w:val="009A756C"/>
    <w:rsid w:val="009A775F"/>
    <w:rsid w:val="009B04C6"/>
    <w:rsid w:val="009B08AC"/>
    <w:rsid w:val="009B141E"/>
    <w:rsid w:val="009B1578"/>
    <w:rsid w:val="009B1844"/>
    <w:rsid w:val="009B1902"/>
    <w:rsid w:val="009B1989"/>
    <w:rsid w:val="009B1CAB"/>
    <w:rsid w:val="009B1F01"/>
    <w:rsid w:val="009B225F"/>
    <w:rsid w:val="009B310D"/>
    <w:rsid w:val="009B3546"/>
    <w:rsid w:val="009B4CCD"/>
    <w:rsid w:val="009B50E7"/>
    <w:rsid w:val="009B598A"/>
    <w:rsid w:val="009B7156"/>
    <w:rsid w:val="009C0470"/>
    <w:rsid w:val="009C07AB"/>
    <w:rsid w:val="009C15EB"/>
    <w:rsid w:val="009C18DA"/>
    <w:rsid w:val="009C1F96"/>
    <w:rsid w:val="009C272D"/>
    <w:rsid w:val="009C297C"/>
    <w:rsid w:val="009C30E0"/>
    <w:rsid w:val="009C3106"/>
    <w:rsid w:val="009C3193"/>
    <w:rsid w:val="009C32DC"/>
    <w:rsid w:val="009C39E7"/>
    <w:rsid w:val="009C446C"/>
    <w:rsid w:val="009C5C97"/>
    <w:rsid w:val="009C63C5"/>
    <w:rsid w:val="009C66E0"/>
    <w:rsid w:val="009C6877"/>
    <w:rsid w:val="009C719A"/>
    <w:rsid w:val="009C71B7"/>
    <w:rsid w:val="009C75C8"/>
    <w:rsid w:val="009C7E95"/>
    <w:rsid w:val="009D0AC0"/>
    <w:rsid w:val="009D1476"/>
    <w:rsid w:val="009D15BE"/>
    <w:rsid w:val="009D1614"/>
    <w:rsid w:val="009D191F"/>
    <w:rsid w:val="009D1A15"/>
    <w:rsid w:val="009D1A9C"/>
    <w:rsid w:val="009D1B39"/>
    <w:rsid w:val="009D26D8"/>
    <w:rsid w:val="009D2773"/>
    <w:rsid w:val="009D38E7"/>
    <w:rsid w:val="009D3E3F"/>
    <w:rsid w:val="009D48C9"/>
    <w:rsid w:val="009D493B"/>
    <w:rsid w:val="009D4956"/>
    <w:rsid w:val="009D582D"/>
    <w:rsid w:val="009D5FDD"/>
    <w:rsid w:val="009D68E4"/>
    <w:rsid w:val="009D719B"/>
    <w:rsid w:val="009D77B5"/>
    <w:rsid w:val="009D7ADE"/>
    <w:rsid w:val="009E0662"/>
    <w:rsid w:val="009E07FC"/>
    <w:rsid w:val="009E1CA7"/>
    <w:rsid w:val="009E42C5"/>
    <w:rsid w:val="009E44BC"/>
    <w:rsid w:val="009E4AF2"/>
    <w:rsid w:val="009E4C93"/>
    <w:rsid w:val="009E4D11"/>
    <w:rsid w:val="009E5327"/>
    <w:rsid w:val="009E7012"/>
    <w:rsid w:val="009E7660"/>
    <w:rsid w:val="009E7BA8"/>
    <w:rsid w:val="009E7BC8"/>
    <w:rsid w:val="009E7C08"/>
    <w:rsid w:val="009F0906"/>
    <w:rsid w:val="009F1435"/>
    <w:rsid w:val="009F17CD"/>
    <w:rsid w:val="009F183D"/>
    <w:rsid w:val="009F20BA"/>
    <w:rsid w:val="009F2565"/>
    <w:rsid w:val="009F2622"/>
    <w:rsid w:val="009F2773"/>
    <w:rsid w:val="009F318B"/>
    <w:rsid w:val="009F390B"/>
    <w:rsid w:val="009F3C90"/>
    <w:rsid w:val="009F6492"/>
    <w:rsid w:val="009F7441"/>
    <w:rsid w:val="00A00DD5"/>
    <w:rsid w:val="00A00EE9"/>
    <w:rsid w:val="00A00FB1"/>
    <w:rsid w:val="00A0208A"/>
    <w:rsid w:val="00A026C2"/>
    <w:rsid w:val="00A02798"/>
    <w:rsid w:val="00A02DEF"/>
    <w:rsid w:val="00A03693"/>
    <w:rsid w:val="00A04FE6"/>
    <w:rsid w:val="00A05E52"/>
    <w:rsid w:val="00A06F62"/>
    <w:rsid w:val="00A072C4"/>
    <w:rsid w:val="00A0771B"/>
    <w:rsid w:val="00A077C2"/>
    <w:rsid w:val="00A07FE8"/>
    <w:rsid w:val="00A10311"/>
    <w:rsid w:val="00A10705"/>
    <w:rsid w:val="00A108F4"/>
    <w:rsid w:val="00A11908"/>
    <w:rsid w:val="00A1218E"/>
    <w:rsid w:val="00A124C5"/>
    <w:rsid w:val="00A12725"/>
    <w:rsid w:val="00A13807"/>
    <w:rsid w:val="00A13E08"/>
    <w:rsid w:val="00A1665E"/>
    <w:rsid w:val="00A16C32"/>
    <w:rsid w:val="00A16E48"/>
    <w:rsid w:val="00A1722C"/>
    <w:rsid w:val="00A17A37"/>
    <w:rsid w:val="00A17D2C"/>
    <w:rsid w:val="00A17E0F"/>
    <w:rsid w:val="00A200D7"/>
    <w:rsid w:val="00A20132"/>
    <w:rsid w:val="00A20B2D"/>
    <w:rsid w:val="00A21906"/>
    <w:rsid w:val="00A2221D"/>
    <w:rsid w:val="00A22B80"/>
    <w:rsid w:val="00A23136"/>
    <w:rsid w:val="00A2318C"/>
    <w:rsid w:val="00A2365C"/>
    <w:rsid w:val="00A2549B"/>
    <w:rsid w:val="00A2609F"/>
    <w:rsid w:val="00A26254"/>
    <w:rsid w:val="00A26E98"/>
    <w:rsid w:val="00A27395"/>
    <w:rsid w:val="00A277BC"/>
    <w:rsid w:val="00A27D3F"/>
    <w:rsid w:val="00A27FA2"/>
    <w:rsid w:val="00A27FE2"/>
    <w:rsid w:val="00A3148F"/>
    <w:rsid w:val="00A31B1F"/>
    <w:rsid w:val="00A31EE3"/>
    <w:rsid w:val="00A3230C"/>
    <w:rsid w:val="00A33811"/>
    <w:rsid w:val="00A33A84"/>
    <w:rsid w:val="00A33FC0"/>
    <w:rsid w:val="00A3429E"/>
    <w:rsid w:val="00A344B8"/>
    <w:rsid w:val="00A349DC"/>
    <w:rsid w:val="00A35B2C"/>
    <w:rsid w:val="00A364B2"/>
    <w:rsid w:val="00A36B73"/>
    <w:rsid w:val="00A376FB"/>
    <w:rsid w:val="00A37876"/>
    <w:rsid w:val="00A40038"/>
    <w:rsid w:val="00A402AA"/>
    <w:rsid w:val="00A40653"/>
    <w:rsid w:val="00A40B08"/>
    <w:rsid w:val="00A415E4"/>
    <w:rsid w:val="00A41CB5"/>
    <w:rsid w:val="00A42058"/>
    <w:rsid w:val="00A428C3"/>
    <w:rsid w:val="00A43935"/>
    <w:rsid w:val="00A44838"/>
    <w:rsid w:val="00A449D3"/>
    <w:rsid w:val="00A449F6"/>
    <w:rsid w:val="00A44E0E"/>
    <w:rsid w:val="00A45E52"/>
    <w:rsid w:val="00A46207"/>
    <w:rsid w:val="00A46499"/>
    <w:rsid w:val="00A46AE5"/>
    <w:rsid w:val="00A4741C"/>
    <w:rsid w:val="00A50292"/>
    <w:rsid w:val="00A502A2"/>
    <w:rsid w:val="00A503FF"/>
    <w:rsid w:val="00A50615"/>
    <w:rsid w:val="00A508DE"/>
    <w:rsid w:val="00A50AE4"/>
    <w:rsid w:val="00A50B7E"/>
    <w:rsid w:val="00A52368"/>
    <w:rsid w:val="00A52A98"/>
    <w:rsid w:val="00A52CC8"/>
    <w:rsid w:val="00A52ED7"/>
    <w:rsid w:val="00A5472F"/>
    <w:rsid w:val="00A54745"/>
    <w:rsid w:val="00A54876"/>
    <w:rsid w:val="00A54A25"/>
    <w:rsid w:val="00A54BCC"/>
    <w:rsid w:val="00A54EE5"/>
    <w:rsid w:val="00A55A56"/>
    <w:rsid w:val="00A56026"/>
    <w:rsid w:val="00A56195"/>
    <w:rsid w:val="00A5663B"/>
    <w:rsid w:val="00A56D90"/>
    <w:rsid w:val="00A57156"/>
    <w:rsid w:val="00A57B20"/>
    <w:rsid w:val="00A60DA4"/>
    <w:rsid w:val="00A612CD"/>
    <w:rsid w:val="00A616DE"/>
    <w:rsid w:val="00A61BDD"/>
    <w:rsid w:val="00A6221F"/>
    <w:rsid w:val="00A62C4B"/>
    <w:rsid w:val="00A62CAC"/>
    <w:rsid w:val="00A63177"/>
    <w:rsid w:val="00A63582"/>
    <w:rsid w:val="00A636C3"/>
    <w:rsid w:val="00A63C90"/>
    <w:rsid w:val="00A63EAC"/>
    <w:rsid w:val="00A6443C"/>
    <w:rsid w:val="00A64999"/>
    <w:rsid w:val="00A64B29"/>
    <w:rsid w:val="00A64E02"/>
    <w:rsid w:val="00A65305"/>
    <w:rsid w:val="00A6538B"/>
    <w:rsid w:val="00A659D8"/>
    <w:rsid w:val="00A6654C"/>
    <w:rsid w:val="00A66824"/>
    <w:rsid w:val="00A6776A"/>
    <w:rsid w:val="00A67C3C"/>
    <w:rsid w:val="00A705B5"/>
    <w:rsid w:val="00A70A77"/>
    <w:rsid w:val="00A70D10"/>
    <w:rsid w:val="00A70F23"/>
    <w:rsid w:val="00A71921"/>
    <w:rsid w:val="00A72D36"/>
    <w:rsid w:val="00A743FA"/>
    <w:rsid w:val="00A74505"/>
    <w:rsid w:val="00A7512A"/>
    <w:rsid w:val="00A75ADB"/>
    <w:rsid w:val="00A75F50"/>
    <w:rsid w:val="00A763BF"/>
    <w:rsid w:val="00A76449"/>
    <w:rsid w:val="00A766BE"/>
    <w:rsid w:val="00A76E3B"/>
    <w:rsid w:val="00A76F0F"/>
    <w:rsid w:val="00A77A7F"/>
    <w:rsid w:val="00A77B9A"/>
    <w:rsid w:val="00A80D32"/>
    <w:rsid w:val="00A80FA5"/>
    <w:rsid w:val="00A81130"/>
    <w:rsid w:val="00A8136A"/>
    <w:rsid w:val="00A81576"/>
    <w:rsid w:val="00A81A1B"/>
    <w:rsid w:val="00A82358"/>
    <w:rsid w:val="00A823F2"/>
    <w:rsid w:val="00A824B9"/>
    <w:rsid w:val="00A8325F"/>
    <w:rsid w:val="00A832CD"/>
    <w:rsid w:val="00A83C12"/>
    <w:rsid w:val="00A83CB4"/>
    <w:rsid w:val="00A8413E"/>
    <w:rsid w:val="00A85E86"/>
    <w:rsid w:val="00A86115"/>
    <w:rsid w:val="00A86369"/>
    <w:rsid w:val="00A863C2"/>
    <w:rsid w:val="00A864D6"/>
    <w:rsid w:val="00A86A92"/>
    <w:rsid w:val="00A86ACD"/>
    <w:rsid w:val="00A87595"/>
    <w:rsid w:val="00A875DB"/>
    <w:rsid w:val="00A877F1"/>
    <w:rsid w:val="00A87ADD"/>
    <w:rsid w:val="00A87D01"/>
    <w:rsid w:val="00A903A6"/>
    <w:rsid w:val="00A9055C"/>
    <w:rsid w:val="00A90B56"/>
    <w:rsid w:val="00A91BE1"/>
    <w:rsid w:val="00A9235E"/>
    <w:rsid w:val="00A92C42"/>
    <w:rsid w:val="00A92F7A"/>
    <w:rsid w:val="00A938CE"/>
    <w:rsid w:val="00A9402B"/>
    <w:rsid w:val="00A94E20"/>
    <w:rsid w:val="00A94EF7"/>
    <w:rsid w:val="00A950F2"/>
    <w:rsid w:val="00A958CC"/>
    <w:rsid w:val="00A96056"/>
    <w:rsid w:val="00A9634E"/>
    <w:rsid w:val="00A96A16"/>
    <w:rsid w:val="00A96D5E"/>
    <w:rsid w:val="00AA0A2F"/>
    <w:rsid w:val="00AA102C"/>
    <w:rsid w:val="00AA141A"/>
    <w:rsid w:val="00AA1F8B"/>
    <w:rsid w:val="00AA2096"/>
    <w:rsid w:val="00AA25A0"/>
    <w:rsid w:val="00AA2BB0"/>
    <w:rsid w:val="00AA344F"/>
    <w:rsid w:val="00AA376E"/>
    <w:rsid w:val="00AA4AF7"/>
    <w:rsid w:val="00AA4BBE"/>
    <w:rsid w:val="00AA54C4"/>
    <w:rsid w:val="00AA5E18"/>
    <w:rsid w:val="00AA62AC"/>
    <w:rsid w:val="00AA6F3E"/>
    <w:rsid w:val="00AB1A4F"/>
    <w:rsid w:val="00AB1BC5"/>
    <w:rsid w:val="00AB288B"/>
    <w:rsid w:val="00AB29AC"/>
    <w:rsid w:val="00AB2A57"/>
    <w:rsid w:val="00AB3DB7"/>
    <w:rsid w:val="00AB4512"/>
    <w:rsid w:val="00AB4A7B"/>
    <w:rsid w:val="00AB4E2D"/>
    <w:rsid w:val="00AB54F0"/>
    <w:rsid w:val="00AB5DD1"/>
    <w:rsid w:val="00AB7152"/>
    <w:rsid w:val="00AB7238"/>
    <w:rsid w:val="00AB7BF9"/>
    <w:rsid w:val="00AC0990"/>
    <w:rsid w:val="00AC0DB5"/>
    <w:rsid w:val="00AC1D06"/>
    <w:rsid w:val="00AC1D44"/>
    <w:rsid w:val="00AC2BEC"/>
    <w:rsid w:val="00AC2DF4"/>
    <w:rsid w:val="00AC3C3A"/>
    <w:rsid w:val="00AC3DB4"/>
    <w:rsid w:val="00AC40FD"/>
    <w:rsid w:val="00AC4DAA"/>
    <w:rsid w:val="00AC5F85"/>
    <w:rsid w:val="00AC607C"/>
    <w:rsid w:val="00AC66F7"/>
    <w:rsid w:val="00AC7063"/>
    <w:rsid w:val="00AC7695"/>
    <w:rsid w:val="00AD0F2E"/>
    <w:rsid w:val="00AD1A5B"/>
    <w:rsid w:val="00AD1E12"/>
    <w:rsid w:val="00AD1E42"/>
    <w:rsid w:val="00AD316D"/>
    <w:rsid w:val="00AD32A9"/>
    <w:rsid w:val="00AD3815"/>
    <w:rsid w:val="00AD42D9"/>
    <w:rsid w:val="00AD5364"/>
    <w:rsid w:val="00AD580A"/>
    <w:rsid w:val="00AD5ABF"/>
    <w:rsid w:val="00AD6DF4"/>
    <w:rsid w:val="00AD7652"/>
    <w:rsid w:val="00AD7E36"/>
    <w:rsid w:val="00AE0A16"/>
    <w:rsid w:val="00AE1462"/>
    <w:rsid w:val="00AE21C2"/>
    <w:rsid w:val="00AE237D"/>
    <w:rsid w:val="00AE2E70"/>
    <w:rsid w:val="00AE351E"/>
    <w:rsid w:val="00AE42A1"/>
    <w:rsid w:val="00AE5957"/>
    <w:rsid w:val="00AE5DE4"/>
    <w:rsid w:val="00AE6406"/>
    <w:rsid w:val="00AE6537"/>
    <w:rsid w:val="00AE6BA3"/>
    <w:rsid w:val="00AE731B"/>
    <w:rsid w:val="00AF0006"/>
    <w:rsid w:val="00AF0408"/>
    <w:rsid w:val="00AF0707"/>
    <w:rsid w:val="00AF1412"/>
    <w:rsid w:val="00AF2092"/>
    <w:rsid w:val="00AF222E"/>
    <w:rsid w:val="00AF2A15"/>
    <w:rsid w:val="00AF2B14"/>
    <w:rsid w:val="00AF2DA4"/>
    <w:rsid w:val="00AF2F1A"/>
    <w:rsid w:val="00AF3A1A"/>
    <w:rsid w:val="00AF41FC"/>
    <w:rsid w:val="00AF5217"/>
    <w:rsid w:val="00AF55F5"/>
    <w:rsid w:val="00AF73A1"/>
    <w:rsid w:val="00AF7C6D"/>
    <w:rsid w:val="00B019AD"/>
    <w:rsid w:val="00B02460"/>
    <w:rsid w:val="00B025EC"/>
    <w:rsid w:val="00B0376C"/>
    <w:rsid w:val="00B037CB"/>
    <w:rsid w:val="00B03AFE"/>
    <w:rsid w:val="00B041B8"/>
    <w:rsid w:val="00B04267"/>
    <w:rsid w:val="00B0464D"/>
    <w:rsid w:val="00B04B45"/>
    <w:rsid w:val="00B05154"/>
    <w:rsid w:val="00B05597"/>
    <w:rsid w:val="00B059C4"/>
    <w:rsid w:val="00B0630A"/>
    <w:rsid w:val="00B065A6"/>
    <w:rsid w:val="00B06C6D"/>
    <w:rsid w:val="00B06F99"/>
    <w:rsid w:val="00B07438"/>
    <w:rsid w:val="00B076B2"/>
    <w:rsid w:val="00B079A7"/>
    <w:rsid w:val="00B07C46"/>
    <w:rsid w:val="00B10493"/>
    <w:rsid w:val="00B10A5C"/>
    <w:rsid w:val="00B10DCE"/>
    <w:rsid w:val="00B10E50"/>
    <w:rsid w:val="00B116D6"/>
    <w:rsid w:val="00B11A36"/>
    <w:rsid w:val="00B11C28"/>
    <w:rsid w:val="00B11E32"/>
    <w:rsid w:val="00B12139"/>
    <w:rsid w:val="00B1219B"/>
    <w:rsid w:val="00B1253D"/>
    <w:rsid w:val="00B126D0"/>
    <w:rsid w:val="00B136BB"/>
    <w:rsid w:val="00B137D7"/>
    <w:rsid w:val="00B137FC"/>
    <w:rsid w:val="00B13E53"/>
    <w:rsid w:val="00B142F3"/>
    <w:rsid w:val="00B151E1"/>
    <w:rsid w:val="00B15629"/>
    <w:rsid w:val="00B15D5A"/>
    <w:rsid w:val="00B1669A"/>
    <w:rsid w:val="00B17253"/>
    <w:rsid w:val="00B176DB"/>
    <w:rsid w:val="00B17853"/>
    <w:rsid w:val="00B201CB"/>
    <w:rsid w:val="00B20923"/>
    <w:rsid w:val="00B20997"/>
    <w:rsid w:val="00B21068"/>
    <w:rsid w:val="00B21ECE"/>
    <w:rsid w:val="00B22414"/>
    <w:rsid w:val="00B226C1"/>
    <w:rsid w:val="00B22758"/>
    <w:rsid w:val="00B2281F"/>
    <w:rsid w:val="00B22B7E"/>
    <w:rsid w:val="00B22F60"/>
    <w:rsid w:val="00B243CD"/>
    <w:rsid w:val="00B24E36"/>
    <w:rsid w:val="00B24F71"/>
    <w:rsid w:val="00B25766"/>
    <w:rsid w:val="00B25A16"/>
    <w:rsid w:val="00B25F7E"/>
    <w:rsid w:val="00B260E5"/>
    <w:rsid w:val="00B2652C"/>
    <w:rsid w:val="00B26A1E"/>
    <w:rsid w:val="00B26DE2"/>
    <w:rsid w:val="00B30461"/>
    <w:rsid w:val="00B3047B"/>
    <w:rsid w:val="00B30812"/>
    <w:rsid w:val="00B30A8A"/>
    <w:rsid w:val="00B30D32"/>
    <w:rsid w:val="00B30D66"/>
    <w:rsid w:val="00B31061"/>
    <w:rsid w:val="00B3334A"/>
    <w:rsid w:val="00B334B5"/>
    <w:rsid w:val="00B33CA2"/>
    <w:rsid w:val="00B33E37"/>
    <w:rsid w:val="00B34472"/>
    <w:rsid w:val="00B349C3"/>
    <w:rsid w:val="00B3532E"/>
    <w:rsid w:val="00B359CA"/>
    <w:rsid w:val="00B36C03"/>
    <w:rsid w:val="00B37746"/>
    <w:rsid w:val="00B37BE4"/>
    <w:rsid w:val="00B37F8B"/>
    <w:rsid w:val="00B40190"/>
    <w:rsid w:val="00B4090E"/>
    <w:rsid w:val="00B40ACA"/>
    <w:rsid w:val="00B4117B"/>
    <w:rsid w:val="00B41A51"/>
    <w:rsid w:val="00B41BFD"/>
    <w:rsid w:val="00B41CB0"/>
    <w:rsid w:val="00B421D3"/>
    <w:rsid w:val="00B42555"/>
    <w:rsid w:val="00B42C5A"/>
    <w:rsid w:val="00B42F96"/>
    <w:rsid w:val="00B430DB"/>
    <w:rsid w:val="00B4341E"/>
    <w:rsid w:val="00B4386D"/>
    <w:rsid w:val="00B441FF"/>
    <w:rsid w:val="00B44ABA"/>
    <w:rsid w:val="00B4552F"/>
    <w:rsid w:val="00B45DE0"/>
    <w:rsid w:val="00B45FA9"/>
    <w:rsid w:val="00B45FC5"/>
    <w:rsid w:val="00B46625"/>
    <w:rsid w:val="00B46738"/>
    <w:rsid w:val="00B46AE3"/>
    <w:rsid w:val="00B4727D"/>
    <w:rsid w:val="00B472A7"/>
    <w:rsid w:val="00B4756C"/>
    <w:rsid w:val="00B47570"/>
    <w:rsid w:val="00B47858"/>
    <w:rsid w:val="00B50DAB"/>
    <w:rsid w:val="00B5142C"/>
    <w:rsid w:val="00B51F84"/>
    <w:rsid w:val="00B523F9"/>
    <w:rsid w:val="00B5268D"/>
    <w:rsid w:val="00B536CC"/>
    <w:rsid w:val="00B536CD"/>
    <w:rsid w:val="00B5392B"/>
    <w:rsid w:val="00B53AD4"/>
    <w:rsid w:val="00B543AC"/>
    <w:rsid w:val="00B54404"/>
    <w:rsid w:val="00B54406"/>
    <w:rsid w:val="00B54BC5"/>
    <w:rsid w:val="00B54E10"/>
    <w:rsid w:val="00B54E98"/>
    <w:rsid w:val="00B557EC"/>
    <w:rsid w:val="00B55F6E"/>
    <w:rsid w:val="00B56348"/>
    <w:rsid w:val="00B56702"/>
    <w:rsid w:val="00B5784D"/>
    <w:rsid w:val="00B57D19"/>
    <w:rsid w:val="00B57EA6"/>
    <w:rsid w:val="00B6126A"/>
    <w:rsid w:val="00B613EC"/>
    <w:rsid w:val="00B62246"/>
    <w:rsid w:val="00B63B9F"/>
    <w:rsid w:val="00B641C8"/>
    <w:rsid w:val="00B648F6"/>
    <w:rsid w:val="00B64CE4"/>
    <w:rsid w:val="00B64D08"/>
    <w:rsid w:val="00B6604B"/>
    <w:rsid w:val="00B66A91"/>
    <w:rsid w:val="00B67A7D"/>
    <w:rsid w:val="00B7054C"/>
    <w:rsid w:val="00B70CB6"/>
    <w:rsid w:val="00B72099"/>
    <w:rsid w:val="00B7338D"/>
    <w:rsid w:val="00B7360C"/>
    <w:rsid w:val="00B738FC"/>
    <w:rsid w:val="00B743CD"/>
    <w:rsid w:val="00B74B5F"/>
    <w:rsid w:val="00B74BC2"/>
    <w:rsid w:val="00B74FE7"/>
    <w:rsid w:val="00B7552B"/>
    <w:rsid w:val="00B7585E"/>
    <w:rsid w:val="00B75E14"/>
    <w:rsid w:val="00B75E80"/>
    <w:rsid w:val="00B764F4"/>
    <w:rsid w:val="00B76653"/>
    <w:rsid w:val="00B76ECC"/>
    <w:rsid w:val="00B774F0"/>
    <w:rsid w:val="00B77E5B"/>
    <w:rsid w:val="00B80489"/>
    <w:rsid w:val="00B810F4"/>
    <w:rsid w:val="00B8125D"/>
    <w:rsid w:val="00B816B5"/>
    <w:rsid w:val="00B825AF"/>
    <w:rsid w:val="00B82854"/>
    <w:rsid w:val="00B829D2"/>
    <w:rsid w:val="00B82B4E"/>
    <w:rsid w:val="00B82C95"/>
    <w:rsid w:val="00B83AAF"/>
    <w:rsid w:val="00B83B8F"/>
    <w:rsid w:val="00B84D53"/>
    <w:rsid w:val="00B85DF3"/>
    <w:rsid w:val="00B860E2"/>
    <w:rsid w:val="00B870C2"/>
    <w:rsid w:val="00B8744D"/>
    <w:rsid w:val="00B87612"/>
    <w:rsid w:val="00B87ED4"/>
    <w:rsid w:val="00B90482"/>
    <w:rsid w:val="00B90996"/>
    <w:rsid w:val="00B90F63"/>
    <w:rsid w:val="00B92375"/>
    <w:rsid w:val="00B9263F"/>
    <w:rsid w:val="00B92BE1"/>
    <w:rsid w:val="00B930EB"/>
    <w:rsid w:val="00B93567"/>
    <w:rsid w:val="00B93741"/>
    <w:rsid w:val="00B93868"/>
    <w:rsid w:val="00B9417E"/>
    <w:rsid w:val="00B950F8"/>
    <w:rsid w:val="00B95D95"/>
    <w:rsid w:val="00B969B8"/>
    <w:rsid w:val="00B97162"/>
    <w:rsid w:val="00B97413"/>
    <w:rsid w:val="00B976BD"/>
    <w:rsid w:val="00B976FE"/>
    <w:rsid w:val="00B9782E"/>
    <w:rsid w:val="00BA0210"/>
    <w:rsid w:val="00BA0B26"/>
    <w:rsid w:val="00BA123C"/>
    <w:rsid w:val="00BA2177"/>
    <w:rsid w:val="00BA26E5"/>
    <w:rsid w:val="00BA2D12"/>
    <w:rsid w:val="00BA2D7D"/>
    <w:rsid w:val="00BA326C"/>
    <w:rsid w:val="00BA328B"/>
    <w:rsid w:val="00BA3673"/>
    <w:rsid w:val="00BA3D51"/>
    <w:rsid w:val="00BA40C0"/>
    <w:rsid w:val="00BA40F3"/>
    <w:rsid w:val="00BA43F0"/>
    <w:rsid w:val="00BA4BB7"/>
    <w:rsid w:val="00BA5648"/>
    <w:rsid w:val="00BA5820"/>
    <w:rsid w:val="00BA5E20"/>
    <w:rsid w:val="00BA6864"/>
    <w:rsid w:val="00BA68F9"/>
    <w:rsid w:val="00BA6B3F"/>
    <w:rsid w:val="00BA6D27"/>
    <w:rsid w:val="00BA79D6"/>
    <w:rsid w:val="00BB15B3"/>
    <w:rsid w:val="00BB18D9"/>
    <w:rsid w:val="00BB19EA"/>
    <w:rsid w:val="00BB2164"/>
    <w:rsid w:val="00BB25D1"/>
    <w:rsid w:val="00BB2C98"/>
    <w:rsid w:val="00BB508A"/>
    <w:rsid w:val="00BB54C8"/>
    <w:rsid w:val="00BB5A27"/>
    <w:rsid w:val="00BB5E18"/>
    <w:rsid w:val="00BB638D"/>
    <w:rsid w:val="00BB63F1"/>
    <w:rsid w:val="00BB64F8"/>
    <w:rsid w:val="00BB6500"/>
    <w:rsid w:val="00BB6863"/>
    <w:rsid w:val="00BB6A42"/>
    <w:rsid w:val="00BB6C93"/>
    <w:rsid w:val="00BB79E2"/>
    <w:rsid w:val="00BB7CB8"/>
    <w:rsid w:val="00BC0481"/>
    <w:rsid w:val="00BC06A5"/>
    <w:rsid w:val="00BC1955"/>
    <w:rsid w:val="00BC2B65"/>
    <w:rsid w:val="00BC2FA7"/>
    <w:rsid w:val="00BC30C6"/>
    <w:rsid w:val="00BC3FEE"/>
    <w:rsid w:val="00BC43F0"/>
    <w:rsid w:val="00BC4C7D"/>
    <w:rsid w:val="00BC4E9F"/>
    <w:rsid w:val="00BC4FDE"/>
    <w:rsid w:val="00BC59C3"/>
    <w:rsid w:val="00BC60E0"/>
    <w:rsid w:val="00BC6E03"/>
    <w:rsid w:val="00BC73E4"/>
    <w:rsid w:val="00BC79F6"/>
    <w:rsid w:val="00BC7DFF"/>
    <w:rsid w:val="00BD0260"/>
    <w:rsid w:val="00BD093D"/>
    <w:rsid w:val="00BD0976"/>
    <w:rsid w:val="00BD0C87"/>
    <w:rsid w:val="00BD0CB0"/>
    <w:rsid w:val="00BD0CCE"/>
    <w:rsid w:val="00BD0DF5"/>
    <w:rsid w:val="00BD0FBF"/>
    <w:rsid w:val="00BD116C"/>
    <w:rsid w:val="00BD1F97"/>
    <w:rsid w:val="00BD20AF"/>
    <w:rsid w:val="00BD20D3"/>
    <w:rsid w:val="00BD20EA"/>
    <w:rsid w:val="00BD2AA1"/>
    <w:rsid w:val="00BD4751"/>
    <w:rsid w:val="00BD48F0"/>
    <w:rsid w:val="00BD4B28"/>
    <w:rsid w:val="00BD5047"/>
    <w:rsid w:val="00BD5955"/>
    <w:rsid w:val="00BD5AC4"/>
    <w:rsid w:val="00BD5D93"/>
    <w:rsid w:val="00BD629A"/>
    <w:rsid w:val="00BD66F9"/>
    <w:rsid w:val="00BD674B"/>
    <w:rsid w:val="00BD694F"/>
    <w:rsid w:val="00BE0255"/>
    <w:rsid w:val="00BE1337"/>
    <w:rsid w:val="00BE1452"/>
    <w:rsid w:val="00BE148A"/>
    <w:rsid w:val="00BE14CF"/>
    <w:rsid w:val="00BE1656"/>
    <w:rsid w:val="00BE2447"/>
    <w:rsid w:val="00BE2469"/>
    <w:rsid w:val="00BE2F6D"/>
    <w:rsid w:val="00BE3990"/>
    <w:rsid w:val="00BE3BB8"/>
    <w:rsid w:val="00BE4A34"/>
    <w:rsid w:val="00BE4BB5"/>
    <w:rsid w:val="00BE4DEE"/>
    <w:rsid w:val="00BE5AA4"/>
    <w:rsid w:val="00BE5AAC"/>
    <w:rsid w:val="00BE5C26"/>
    <w:rsid w:val="00BE62BA"/>
    <w:rsid w:val="00BE6D40"/>
    <w:rsid w:val="00BE7CC7"/>
    <w:rsid w:val="00BE7E21"/>
    <w:rsid w:val="00BF050C"/>
    <w:rsid w:val="00BF0788"/>
    <w:rsid w:val="00BF0924"/>
    <w:rsid w:val="00BF19EB"/>
    <w:rsid w:val="00BF1BA5"/>
    <w:rsid w:val="00BF27A5"/>
    <w:rsid w:val="00BF2CEE"/>
    <w:rsid w:val="00BF341C"/>
    <w:rsid w:val="00BF3688"/>
    <w:rsid w:val="00BF3D93"/>
    <w:rsid w:val="00BF3E7F"/>
    <w:rsid w:val="00BF433E"/>
    <w:rsid w:val="00BF4409"/>
    <w:rsid w:val="00BF4C32"/>
    <w:rsid w:val="00BF4DE2"/>
    <w:rsid w:val="00BF528C"/>
    <w:rsid w:val="00BF5C5B"/>
    <w:rsid w:val="00BF5CB1"/>
    <w:rsid w:val="00BF63B6"/>
    <w:rsid w:val="00BF6508"/>
    <w:rsid w:val="00BF6972"/>
    <w:rsid w:val="00BF6A31"/>
    <w:rsid w:val="00BF79FE"/>
    <w:rsid w:val="00BF7DEC"/>
    <w:rsid w:val="00C014AB"/>
    <w:rsid w:val="00C01E17"/>
    <w:rsid w:val="00C02237"/>
    <w:rsid w:val="00C025EE"/>
    <w:rsid w:val="00C0305F"/>
    <w:rsid w:val="00C03223"/>
    <w:rsid w:val="00C03B35"/>
    <w:rsid w:val="00C03B9D"/>
    <w:rsid w:val="00C03F60"/>
    <w:rsid w:val="00C0414B"/>
    <w:rsid w:val="00C04DD8"/>
    <w:rsid w:val="00C053FF"/>
    <w:rsid w:val="00C05E8C"/>
    <w:rsid w:val="00C0617E"/>
    <w:rsid w:val="00C06D5E"/>
    <w:rsid w:val="00C07138"/>
    <w:rsid w:val="00C07F7B"/>
    <w:rsid w:val="00C1086C"/>
    <w:rsid w:val="00C10CB4"/>
    <w:rsid w:val="00C11720"/>
    <w:rsid w:val="00C117B3"/>
    <w:rsid w:val="00C1201C"/>
    <w:rsid w:val="00C138D5"/>
    <w:rsid w:val="00C13A03"/>
    <w:rsid w:val="00C13DAC"/>
    <w:rsid w:val="00C13EDC"/>
    <w:rsid w:val="00C14931"/>
    <w:rsid w:val="00C15734"/>
    <w:rsid w:val="00C15D35"/>
    <w:rsid w:val="00C15E3B"/>
    <w:rsid w:val="00C16573"/>
    <w:rsid w:val="00C166F8"/>
    <w:rsid w:val="00C16CD9"/>
    <w:rsid w:val="00C17076"/>
    <w:rsid w:val="00C170DA"/>
    <w:rsid w:val="00C212C1"/>
    <w:rsid w:val="00C21C8E"/>
    <w:rsid w:val="00C22055"/>
    <w:rsid w:val="00C223B1"/>
    <w:rsid w:val="00C22B7A"/>
    <w:rsid w:val="00C22B88"/>
    <w:rsid w:val="00C23307"/>
    <w:rsid w:val="00C234CE"/>
    <w:rsid w:val="00C24784"/>
    <w:rsid w:val="00C24EC2"/>
    <w:rsid w:val="00C24FA8"/>
    <w:rsid w:val="00C25386"/>
    <w:rsid w:val="00C25488"/>
    <w:rsid w:val="00C254BE"/>
    <w:rsid w:val="00C25CFF"/>
    <w:rsid w:val="00C25DA5"/>
    <w:rsid w:val="00C25F3F"/>
    <w:rsid w:val="00C26549"/>
    <w:rsid w:val="00C26D9E"/>
    <w:rsid w:val="00C27A79"/>
    <w:rsid w:val="00C31838"/>
    <w:rsid w:val="00C31B8C"/>
    <w:rsid w:val="00C31C4B"/>
    <w:rsid w:val="00C31EF7"/>
    <w:rsid w:val="00C31F0B"/>
    <w:rsid w:val="00C32274"/>
    <w:rsid w:val="00C32714"/>
    <w:rsid w:val="00C34692"/>
    <w:rsid w:val="00C34DBF"/>
    <w:rsid w:val="00C34FD9"/>
    <w:rsid w:val="00C35225"/>
    <w:rsid w:val="00C35B40"/>
    <w:rsid w:val="00C36ED3"/>
    <w:rsid w:val="00C37B9A"/>
    <w:rsid w:val="00C40046"/>
    <w:rsid w:val="00C40350"/>
    <w:rsid w:val="00C40963"/>
    <w:rsid w:val="00C41394"/>
    <w:rsid w:val="00C414E5"/>
    <w:rsid w:val="00C415BF"/>
    <w:rsid w:val="00C416EF"/>
    <w:rsid w:val="00C41E73"/>
    <w:rsid w:val="00C41E8C"/>
    <w:rsid w:val="00C423C9"/>
    <w:rsid w:val="00C428F9"/>
    <w:rsid w:val="00C42F26"/>
    <w:rsid w:val="00C430D4"/>
    <w:rsid w:val="00C43500"/>
    <w:rsid w:val="00C437B3"/>
    <w:rsid w:val="00C44453"/>
    <w:rsid w:val="00C44536"/>
    <w:rsid w:val="00C4498C"/>
    <w:rsid w:val="00C45573"/>
    <w:rsid w:val="00C4582B"/>
    <w:rsid w:val="00C45B40"/>
    <w:rsid w:val="00C45C7D"/>
    <w:rsid w:val="00C46D8C"/>
    <w:rsid w:val="00C4711F"/>
    <w:rsid w:val="00C473B1"/>
    <w:rsid w:val="00C47D60"/>
    <w:rsid w:val="00C5028B"/>
    <w:rsid w:val="00C506C2"/>
    <w:rsid w:val="00C508D8"/>
    <w:rsid w:val="00C50BA7"/>
    <w:rsid w:val="00C50F9C"/>
    <w:rsid w:val="00C51311"/>
    <w:rsid w:val="00C5134F"/>
    <w:rsid w:val="00C515CD"/>
    <w:rsid w:val="00C5177E"/>
    <w:rsid w:val="00C51A0D"/>
    <w:rsid w:val="00C527F2"/>
    <w:rsid w:val="00C52ED7"/>
    <w:rsid w:val="00C535C4"/>
    <w:rsid w:val="00C53B49"/>
    <w:rsid w:val="00C5486F"/>
    <w:rsid w:val="00C54A88"/>
    <w:rsid w:val="00C54BCA"/>
    <w:rsid w:val="00C54D0D"/>
    <w:rsid w:val="00C54E7B"/>
    <w:rsid w:val="00C5541B"/>
    <w:rsid w:val="00C557C4"/>
    <w:rsid w:val="00C5590B"/>
    <w:rsid w:val="00C5594E"/>
    <w:rsid w:val="00C559FB"/>
    <w:rsid w:val="00C55BBE"/>
    <w:rsid w:val="00C55CD3"/>
    <w:rsid w:val="00C5618C"/>
    <w:rsid w:val="00C5645F"/>
    <w:rsid w:val="00C56DF8"/>
    <w:rsid w:val="00C56EC6"/>
    <w:rsid w:val="00C57104"/>
    <w:rsid w:val="00C572B5"/>
    <w:rsid w:val="00C57517"/>
    <w:rsid w:val="00C57CAC"/>
    <w:rsid w:val="00C604F6"/>
    <w:rsid w:val="00C60800"/>
    <w:rsid w:val="00C61FF6"/>
    <w:rsid w:val="00C622D9"/>
    <w:rsid w:val="00C62D55"/>
    <w:rsid w:val="00C64068"/>
    <w:rsid w:val="00C642BF"/>
    <w:rsid w:val="00C6431F"/>
    <w:rsid w:val="00C643FC"/>
    <w:rsid w:val="00C648C7"/>
    <w:rsid w:val="00C64A67"/>
    <w:rsid w:val="00C6509D"/>
    <w:rsid w:val="00C65510"/>
    <w:rsid w:val="00C65B58"/>
    <w:rsid w:val="00C66178"/>
    <w:rsid w:val="00C67637"/>
    <w:rsid w:val="00C67C71"/>
    <w:rsid w:val="00C67DB2"/>
    <w:rsid w:val="00C70139"/>
    <w:rsid w:val="00C7083F"/>
    <w:rsid w:val="00C70B30"/>
    <w:rsid w:val="00C71ED5"/>
    <w:rsid w:val="00C72888"/>
    <w:rsid w:val="00C73634"/>
    <w:rsid w:val="00C743AB"/>
    <w:rsid w:val="00C7586E"/>
    <w:rsid w:val="00C76324"/>
    <w:rsid w:val="00C763C2"/>
    <w:rsid w:val="00C76CD1"/>
    <w:rsid w:val="00C7705B"/>
    <w:rsid w:val="00C77481"/>
    <w:rsid w:val="00C801CB"/>
    <w:rsid w:val="00C804C7"/>
    <w:rsid w:val="00C80C66"/>
    <w:rsid w:val="00C80D5D"/>
    <w:rsid w:val="00C81773"/>
    <w:rsid w:val="00C82438"/>
    <w:rsid w:val="00C8257F"/>
    <w:rsid w:val="00C829AF"/>
    <w:rsid w:val="00C836D1"/>
    <w:rsid w:val="00C84776"/>
    <w:rsid w:val="00C84D33"/>
    <w:rsid w:val="00C857AA"/>
    <w:rsid w:val="00C85B68"/>
    <w:rsid w:val="00C86140"/>
    <w:rsid w:val="00C86E28"/>
    <w:rsid w:val="00C87B3D"/>
    <w:rsid w:val="00C90027"/>
    <w:rsid w:val="00C9156C"/>
    <w:rsid w:val="00C91A8E"/>
    <w:rsid w:val="00C92228"/>
    <w:rsid w:val="00C922BF"/>
    <w:rsid w:val="00C927F9"/>
    <w:rsid w:val="00C92A12"/>
    <w:rsid w:val="00C92AC6"/>
    <w:rsid w:val="00C92D37"/>
    <w:rsid w:val="00C93808"/>
    <w:rsid w:val="00C942E0"/>
    <w:rsid w:val="00C943CF"/>
    <w:rsid w:val="00C94470"/>
    <w:rsid w:val="00C947BB"/>
    <w:rsid w:val="00C954D4"/>
    <w:rsid w:val="00C9556A"/>
    <w:rsid w:val="00C960F8"/>
    <w:rsid w:val="00C963DF"/>
    <w:rsid w:val="00C967EC"/>
    <w:rsid w:val="00C9698A"/>
    <w:rsid w:val="00C96A03"/>
    <w:rsid w:val="00C96D3D"/>
    <w:rsid w:val="00C975B5"/>
    <w:rsid w:val="00C977F1"/>
    <w:rsid w:val="00C9785A"/>
    <w:rsid w:val="00C97AB3"/>
    <w:rsid w:val="00C97F17"/>
    <w:rsid w:val="00CA01F7"/>
    <w:rsid w:val="00CA08BA"/>
    <w:rsid w:val="00CA0BF2"/>
    <w:rsid w:val="00CA0C7F"/>
    <w:rsid w:val="00CA10D6"/>
    <w:rsid w:val="00CA2343"/>
    <w:rsid w:val="00CA2872"/>
    <w:rsid w:val="00CA2884"/>
    <w:rsid w:val="00CA2888"/>
    <w:rsid w:val="00CA2DDA"/>
    <w:rsid w:val="00CA2F6F"/>
    <w:rsid w:val="00CA34D2"/>
    <w:rsid w:val="00CA3B44"/>
    <w:rsid w:val="00CA3C57"/>
    <w:rsid w:val="00CA3CB5"/>
    <w:rsid w:val="00CA3D4C"/>
    <w:rsid w:val="00CA3ECC"/>
    <w:rsid w:val="00CA43A3"/>
    <w:rsid w:val="00CA48E2"/>
    <w:rsid w:val="00CA4F22"/>
    <w:rsid w:val="00CA4FB1"/>
    <w:rsid w:val="00CA4FBA"/>
    <w:rsid w:val="00CA54DD"/>
    <w:rsid w:val="00CA5894"/>
    <w:rsid w:val="00CA663C"/>
    <w:rsid w:val="00CA7292"/>
    <w:rsid w:val="00CA7566"/>
    <w:rsid w:val="00CB0CE9"/>
    <w:rsid w:val="00CB0D6D"/>
    <w:rsid w:val="00CB18BB"/>
    <w:rsid w:val="00CB1B21"/>
    <w:rsid w:val="00CB216D"/>
    <w:rsid w:val="00CB2270"/>
    <w:rsid w:val="00CB24CD"/>
    <w:rsid w:val="00CB2D67"/>
    <w:rsid w:val="00CB35EF"/>
    <w:rsid w:val="00CB377A"/>
    <w:rsid w:val="00CB3B72"/>
    <w:rsid w:val="00CB3D61"/>
    <w:rsid w:val="00CB462C"/>
    <w:rsid w:val="00CB47CB"/>
    <w:rsid w:val="00CB494C"/>
    <w:rsid w:val="00CB4FA4"/>
    <w:rsid w:val="00CB575B"/>
    <w:rsid w:val="00CB57A6"/>
    <w:rsid w:val="00CB645E"/>
    <w:rsid w:val="00CB6A82"/>
    <w:rsid w:val="00CC0AD4"/>
    <w:rsid w:val="00CC0C33"/>
    <w:rsid w:val="00CC13F8"/>
    <w:rsid w:val="00CC1AAA"/>
    <w:rsid w:val="00CC1DF4"/>
    <w:rsid w:val="00CC225B"/>
    <w:rsid w:val="00CC2AA2"/>
    <w:rsid w:val="00CC324F"/>
    <w:rsid w:val="00CC32F6"/>
    <w:rsid w:val="00CC3B54"/>
    <w:rsid w:val="00CC40AF"/>
    <w:rsid w:val="00CC415C"/>
    <w:rsid w:val="00CC4506"/>
    <w:rsid w:val="00CC48FA"/>
    <w:rsid w:val="00CC5BDD"/>
    <w:rsid w:val="00CC61BC"/>
    <w:rsid w:val="00CC680D"/>
    <w:rsid w:val="00CC6B28"/>
    <w:rsid w:val="00CC6C45"/>
    <w:rsid w:val="00CC707E"/>
    <w:rsid w:val="00CC7286"/>
    <w:rsid w:val="00CC7996"/>
    <w:rsid w:val="00CC7BAE"/>
    <w:rsid w:val="00CD0142"/>
    <w:rsid w:val="00CD03B6"/>
    <w:rsid w:val="00CD2E2A"/>
    <w:rsid w:val="00CD2FEE"/>
    <w:rsid w:val="00CD3D60"/>
    <w:rsid w:val="00CD4A8C"/>
    <w:rsid w:val="00CD516A"/>
    <w:rsid w:val="00CD5682"/>
    <w:rsid w:val="00CD5AF8"/>
    <w:rsid w:val="00CD5BD2"/>
    <w:rsid w:val="00CD6042"/>
    <w:rsid w:val="00CD60DB"/>
    <w:rsid w:val="00CD6BF3"/>
    <w:rsid w:val="00CD6C83"/>
    <w:rsid w:val="00CD6F1A"/>
    <w:rsid w:val="00CD75BF"/>
    <w:rsid w:val="00CD7644"/>
    <w:rsid w:val="00CD7BCF"/>
    <w:rsid w:val="00CE07CD"/>
    <w:rsid w:val="00CE0BF5"/>
    <w:rsid w:val="00CE1355"/>
    <w:rsid w:val="00CE15CD"/>
    <w:rsid w:val="00CE207D"/>
    <w:rsid w:val="00CE2E1C"/>
    <w:rsid w:val="00CE2E81"/>
    <w:rsid w:val="00CE3669"/>
    <w:rsid w:val="00CE3D6D"/>
    <w:rsid w:val="00CE4098"/>
    <w:rsid w:val="00CE4DFC"/>
    <w:rsid w:val="00CE4E6E"/>
    <w:rsid w:val="00CE5253"/>
    <w:rsid w:val="00CE5854"/>
    <w:rsid w:val="00CE59F8"/>
    <w:rsid w:val="00CE614A"/>
    <w:rsid w:val="00CE6BC6"/>
    <w:rsid w:val="00CE6C43"/>
    <w:rsid w:val="00CF068D"/>
    <w:rsid w:val="00CF076F"/>
    <w:rsid w:val="00CF11FE"/>
    <w:rsid w:val="00CF1FD9"/>
    <w:rsid w:val="00CF2075"/>
    <w:rsid w:val="00CF227D"/>
    <w:rsid w:val="00CF31A4"/>
    <w:rsid w:val="00CF3408"/>
    <w:rsid w:val="00CF3D7A"/>
    <w:rsid w:val="00CF4A2B"/>
    <w:rsid w:val="00CF5291"/>
    <w:rsid w:val="00CF5A19"/>
    <w:rsid w:val="00CF6219"/>
    <w:rsid w:val="00D010FE"/>
    <w:rsid w:val="00D01599"/>
    <w:rsid w:val="00D02B2D"/>
    <w:rsid w:val="00D02CCF"/>
    <w:rsid w:val="00D0324A"/>
    <w:rsid w:val="00D033A3"/>
    <w:rsid w:val="00D03EA7"/>
    <w:rsid w:val="00D04ABB"/>
    <w:rsid w:val="00D04C3F"/>
    <w:rsid w:val="00D04EEA"/>
    <w:rsid w:val="00D053EB"/>
    <w:rsid w:val="00D0556A"/>
    <w:rsid w:val="00D05598"/>
    <w:rsid w:val="00D05737"/>
    <w:rsid w:val="00D05745"/>
    <w:rsid w:val="00D05763"/>
    <w:rsid w:val="00D05BE0"/>
    <w:rsid w:val="00D06145"/>
    <w:rsid w:val="00D06595"/>
    <w:rsid w:val="00D071F1"/>
    <w:rsid w:val="00D0783B"/>
    <w:rsid w:val="00D07893"/>
    <w:rsid w:val="00D07C3E"/>
    <w:rsid w:val="00D07D7E"/>
    <w:rsid w:val="00D07F69"/>
    <w:rsid w:val="00D10332"/>
    <w:rsid w:val="00D1034D"/>
    <w:rsid w:val="00D10C4C"/>
    <w:rsid w:val="00D11491"/>
    <w:rsid w:val="00D12E66"/>
    <w:rsid w:val="00D13E55"/>
    <w:rsid w:val="00D13E87"/>
    <w:rsid w:val="00D149EE"/>
    <w:rsid w:val="00D1562F"/>
    <w:rsid w:val="00D1624A"/>
    <w:rsid w:val="00D164D0"/>
    <w:rsid w:val="00D16CAD"/>
    <w:rsid w:val="00D17ADB"/>
    <w:rsid w:val="00D17B06"/>
    <w:rsid w:val="00D17BF6"/>
    <w:rsid w:val="00D200A7"/>
    <w:rsid w:val="00D205A4"/>
    <w:rsid w:val="00D20CF4"/>
    <w:rsid w:val="00D20E1F"/>
    <w:rsid w:val="00D20FF6"/>
    <w:rsid w:val="00D211E0"/>
    <w:rsid w:val="00D2120A"/>
    <w:rsid w:val="00D21567"/>
    <w:rsid w:val="00D21F5A"/>
    <w:rsid w:val="00D22517"/>
    <w:rsid w:val="00D22667"/>
    <w:rsid w:val="00D22B6A"/>
    <w:rsid w:val="00D234EF"/>
    <w:rsid w:val="00D23881"/>
    <w:rsid w:val="00D2430F"/>
    <w:rsid w:val="00D2464D"/>
    <w:rsid w:val="00D24B19"/>
    <w:rsid w:val="00D24EC0"/>
    <w:rsid w:val="00D24F32"/>
    <w:rsid w:val="00D25BC9"/>
    <w:rsid w:val="00D25F52"/>
    <w:rsid w:val="00D264D1"/>
    <w:rsid w:val="00D264D6"/>
    <w:rsid w:val="00D26A00"/>
    <w:rsid w:val="00D26B3A"/>
    <w:rsid w:val="00D26BB2"/>
    <w:rsid w:val="00D26C02"/>
    <w:rsid w:val="00D27212"/>
    <w:rsid w:val="00D274CD"/>
    <w:rsid w:val="00D30210"/>
    <w:rsid w:val="00D30A73"/>
    <w:rsid w:val="00D30C19"/>
    <w:rsid w:val="00D30D4A"/>
    <w:rsid w:val="00D312B9"/>
    <w:rsid w:val="00D31390"/>
    <w:rsid w:val="00D31D59"/>
    <w:rsid w:val="00D31FC1"/>
    <w:rsid w:val="00D33813"/>
    <w:rsid w:val="00D3530A"/>
    <w:rsid w:val="00D354A0"/>
    <w:rsid w:val="00D355D2"/>
    <w:rsid w:val="00D358DD"/>
    <w:rsid w:val="00D35B8E"/>
    <w:rsid w:val="00D35EBD"/>
    <w:rsid w:val="00D35F9C"/>
    <w:rsid w:val="00D36359"/>
    <w:rsid w:val="00D37617"/>
    <w:rsid w:val="00D37725"/>
    <w:rsid w:val="00D4007D"/>
    <w:rsid w:val="00D40103"/>
    <w:rsid w:val="00D40442"/>
    <w:rsid w:val="00D407DB"/>
    <w:rsid w:val="00D409FE"/>
    <w:rsid w:val="00D411D6"/>
    <w:rsid w:val="00D41B61"/>
    <w:rsid w:val="00D41D4A"/>
    <w:rsid w:val="00D422C2"/>
    <w:rsid w:val="00D422CD"/>
    <w:rsid w:val="00D4238E"/>
    <w:rsid w:val="00D4263A"/>
    <w:rsid w:val="00D427F0"/>
    <w:rsid w:val="00D42EB9"/>
    <w:rsid w:val="00D432A7"/>
    <w:rsid w:val="00D43945"/>
    <w:rsid w:val="00D44000"/>
    <w:rsid w:val="00D44C13"/>
    <w:rsid w:val="00D44C79"/>
    <w:rsid w:val="00D44E93"/>
    <w:rsid w:val="00D46055"/>
    <w:rsid w:val="00D46236"/>
    <w:rsid w:val="00D46326"/>
    <w:rsid w:val="00D46743"/>
    <w:rsid w:val="00D4689A"/>
    <w:rsid w:val="00D469F3"/>
    <w:rsid w:val="00D46C4D"/>
    <w:rsid w:val="00D46C67"/>
    <w:rsid w:val="00D478EC"/>
    <w:rsid w:val="00D501EC"/>
    <w:rsid w:val="00D510B9"/>
    <w:rsid w:val="00D510C5"/>
    <w:rsid w:val="00D51156"/>
    <w:rsid w:val="00D51463"/>
    <w:rsid w:val="00D519F5"/>
    <w:rsid w:val="00D52264"/>
    <w:rsid w:val="00D52FEF"/>
    <w:rsid w:val="00D531F1"/>
    <w:rsid w:val="00D53652"/>
    <w:rsid w:val="00D538A8"/>
    <w:rsid w:val="00D53A32"/>
    <w:rsid w:val="00D53BA8"/>
    <w:rsid w:val="00D54005"/>
    <w:rsid w:val="00D5454F"/>
    <w:rsid w:val="00D54B0F"/>
    <w:rsid w:val="00D55217"/>
    <w:rsid w:val="00D553DA"/>
    <w:rsid w:val="00D553DF"/>
    <w:rsid w:val="00D55E1F"/>
    <w:rsid w:val="00D570E3"/>
    <w:rsid w:val="00D57533"/>
    <w:rsid w:val="00D5779B"/>
    <w:rsid w:val="00D5780E"/>
    <w:rsid w:val="00D57C3A"/>
    <w:rsid w:val="00D6104B"/>
    <w:rsid w:val="00D6173A"/>
    <w:rsid w:val="00D624C0"/>
    <w:rsid w:val="00D62673"/>
    <w:rsid w:val="00D629F3"/>
    <w:rsid w:val="00D62A82"/>
    <w:rsid w:val="00D6320F"/>
    <w:rsid w:val="00D63212"/>
    <w:rsid w:val="00D6325B"/>
    <w:rsid w:val="00D6359D"/>
    <w:rsid w:val="00D63929"/>
    <w:rsid w:val="00D63BFD"/>
    <w:rsid w:val="00D6406B"/>
    <w:rsid w:val="00D64095"/>
    <w:rsid w:val="00D65F75"/>
    <w:rsid w:val="00D66003"/>
    <w:rsid w:val="00D665AD"/>
    <w:rsid w:val="00D67431"/>
    <w:rsid w:val="00D678B8"/>
    <w:rsid w:val="00D67A3A"/>
    <w:rsid w:val="00D67E09"/>
    <w:rsid w:val="00D70A02"/>
    <w:rsid w:val="00D70BD3"/>
    <w:rsid w:val="00D710E5"/>
    <w:rsid w:val="00D722E0"/>
    <w:rsid w:val="00D72B25"/>
    <w:rsid w:val="00D72F51"/>
    <w:rsid w:val="00D7307C"/>
    <w:rsid w:val="00D74196"/>
    <w:rsid w:val="00D74DC0"/>
    <w:rsid w:val="00D75698"/>
    <w:rsid w:val="00D75C63"/>
    <w:rsid w:val="00D75DC3"/>
    <w:rsid w:val="00D75F83"/>
    <w:rsid w:val="00D7605E"/>
    <w:rsid w:val="00D76605"/>
    <w:rsid w:val="00D76C83"/>
    <w:rsid w:val="00D7748C"/>
    <w:rsid w:val="00D80593"/>
    <w:rsid w:val="00D80BCB"/>
    <w:rsid w:val="00D80DD2"/>
    <w:rsid w:val="00D812B9"/>
    <w:rsid w:val="00D8146C"/>
    <w:rsid w:val="00D81BE3"/>
    <w:rsid w:val="00D829FE"/>
    <w:rsid w:val="00D82A20"/>
    <w:rsid w:val="00D82CC5"/>
    <w:rsid w:val="00D8335C"/>
    <w:rsid w:val="00D83629"/>
    <w:rsid w:val="00D83C5A"/>
    <w:rsid w:val="00D84390"/>
    <w:rsid w:val="00D84891"/>
    <w:rsid w:val="00D84A08"/>
    <w:rsid w:val="00D858DF"/>
    <w:rsid w:val="00D858E5"/>
    <w:rsid w:val="00D85AA1"/>
    <w:rsid w:val="00D86DBD"/>
    <w:rsid w:val="00D86F65"/>
    <w:rsid w:val="00D871B7"/>
    <w:rsid w:val="00D87328"/>
    <w:rsid w:val="00D87741"/>
    <w:rsid w:val="00D877A3"/>
    <w:rsid w:val="00D90822"/>
    <w:rsid w:val="00D90ACA"/>
    <w:rsid w:val="00D90EFD"/>
    <w:rsid w:val="00D91501"/>
    <w:rsid w:val="00D915F9"/>
    <w:rsid w:val="00D91EEC"/>
    <w:rsid w:val="00D92CD3"/>
    <w:rsid w:val="00D935F4"/>
    <w:rsid w:val="00D937CE"/>
    <w:rsid w:val="00D937FC"/>
    <w:rsid w:val="00D93F1B"/>
    <w:rsid w:val="00D94363"/>
    <w:rsid w:val="00D94430"/>
    <w:rsid w:val="00D94BA3"/>
    <w:rsid w:val="00D961EE"/>
    <w:rsid w:val="00D965FB"/>
    <w:rsid w:val="00D96E48"/>
    <w:rsid w:val="00D97E1A"/>
    <w:rsid w:val="00D97F60"/>
    <w:rsid w:val="00DA0EB1"/>
    <w:rsid w:val="00DA1751"/>
    <w:rsid w:val="00DA2848"/>
    <w:rsid w:val="00DA3074"/>
    <w:rsid w:val="00DA3456"/>
    <w:rsid w:val="00DA37C0"/>
    <w:rsid w:val="00DA4235"/>
    <w:rsid w:val="00DA4C2C"/>
    <w:rsid w:val="00DA4DAD"/>
    <w:rsid w:val="00DA50DE"/>
    <w:rsid w:val="00DA56C2"/>
    <w:rsid w:val="00DA5B2A"/>
    <w:rsid w:val="00DA5CE1"/>
    <w:rsid w:val="00DA6F42"/>
    <w:rsid w:val="00DA717A"/>
    <w:rsid w:val="00DA745F"/>
    <w:rsid w:val="00DB00E5"/>
    <w:rsid w:val="00DB0733"/>
    <w:rsid w:val="00DB0FAE"/>
    <w:rsid w:val="00DB1C11"/>
    <w:rsid w:val="00DB2206"/>
    <w:rsid w:val="00DB253C"/>
    <w:rsid w:val="00DB25A1"/>
    <w:rsid w:val="00DB27BB"/>
    <w:rsid w:val="00DB2DC7"/>
    <w:rsid w:val="00DB313C"/>
    <w:rsid w:val="00DB3796"/>
    <w:rsid w:val="00DB4DC7"/>
    <w:rsid w:val="00DB6337"/>
    <w:rsid w:val="00DB6C5E"/>
    <w:rsid w:val="00DB730B"/>
    <w:rsid w:val="00DC0053"/>
    <w:rsid w:val="00DC0BA6"/>
    <w:rsid w:val="00DC16FD"/>
    <w:rsid w:val="00DC19CA"/>
    <w:rsid w:val="00DC1E12"/>
    <w:rsid w:val="00DC2851"/>
    <w:rsid w:val="00DC2D6F"/>
    <w:rsid w:val="00DC30B9"/>
    <w:rsid w:val="00DC395F"/>
    <w:rsid w:val="00DC4032"/>
    <w:rsid w:val="00DC4458"/>
    <w:rsid w:val="00DC4885"/>
    <w:rsid w:val="00DC49F9"/>
    <w:rsid w:val="00DC4F10"/>
    <w:rsid w:val="00DC50D0"/>
    <w:rsid w:val="00DC51A8"/>
    <w:rsid w:val="00DC5596"/>
    <w:rsid w:val="00DC5889"/>
    <w:rsid w:val="00DC5AE9"/>
    <w:rsid w:val="00DC5CB3"/>
    <w:rsid w:val="00DC5F3D"/>
    <w:rsid w:val="00DC6403"/>
    <w:rsid w:val="00DC6BFA"/>
    <w:rsid w:val="00DC6FE5"/>
    <w:rsid w:val="00DC742A"/>
    <w:rsid w:val="00DC7A27"/>
    <w:rsid w:val="00DD06A2"/>
    <w:rsid w:val="00DD1189"/>
    <w:rsid w:val="00DD1846"/>
    <w:rsid w:val="00DD1D59"/>
    <w:rsid w:val="00DD1D70"/>
    <w:rsid w:val="00DD1F92"/>
    <w:rsid w:val="00DD2510"/>
    <w:rsid w:val="00DD29CD"/>
    <w:rsid w:val="00DD2B33"/>
    <w:rsid w:val="00DD3009"/>
    <w:rsid w:val="00DD3F15"/>
    <w:rsid w:val="00DD4163"/>
    <w:rsid w:val="00DD5864"/>
    <w:rsid w:val="00DD59F2"/>
    <w:rsid w:val="00DE0478"/>
    <w:rsid w:val="00DE051F"/>
    <w:rsid w:val="00DE0864"/>
    <w:rsid w:val="00DE0904"/>
    <w:rsid w:val="00DE0B41"/>
    <w:rsid w:val="00DE1289"/>
    <w:rsid w:val="00DE185F"/>
    <w:rsid w:val="00DE1938"/>
    <w:rsid w:val="00DE197E"/>
    <w:rsid w:val="00DE217F"/>
    <w:rsid w:val="00DE242C"/>
    <w:rsid w:val="00DE30D1"/>
    <w:rsid w:val="00DE32CA"/>
    <w:rsid w:val="00DE4883"/>
    <w:rsid w:val="00DE4B89"/>
    <w:rsid w:val="00DE541A"/>
    <w:rsid w:val="00DE5A68"/>
    <w:rsid w:val="00DE5DF9"/>
    <w:rsid w:val="00DE60E8"/>
    <w:rsid w:val="00DE6A2D"/>
    <w:rsid w:val="00DE7988"/>
    <w:rsid w:val="00DF085F"/>
    <w:rsid w:val="00DF0DF9"/>
    <w:rsid w:val="00DF1D49"/>
    <w:rsid w:val="00DF1D6B"/>
    <w:rsid w:val="00DF24B9"/>
    <w:rsid w:val="00DF27A6"/>
    <w:rsid w:val="00DF2831"/>
    <w:rsid w:val="00DF2C8C"/>
    <w:rsid w:val="00DF2E29"/>
    <w:rsid w:val="00DF366A"/>
    <w:rsid w:val="00DF38A7"/>
    <w:rsid w:val="00DF3E91"/>
    <w:rsid w:val="00DF4C81"/>
    <w:rsid w:val="00DF5EB5"/>
    <w:rsid w:val="00DF6077"/>
    <w:rsid w:val="00DF6523"/>
    <w:rsid w:val="00DF6B54"/>
    <w:rsid w:val="00DF7BE4"/>
    <w:rsid w:val="00DF7C36"/>
    <w:rsid w:val="00E0120E"/>
    <w:rsid w:val="00E01CAC"/>
    <w:rsid w:val="00E01D7D"/>
    <w:rsid w:val="00E01E8D"/>
    <w:rsid w:val="00E02E5D"/>
    <w:rsid w:val="00E033FA"/>
    <w:rsid w:val="00E03EFC"/>
    <w:rsid w:val="00E04246"/>
    <w:rsid w:val="00E04D64"/>
    <w:rsid w:val="00E052D3"/>
    <w:rsid w:val="00E05530"/>
    <w:rsid w:val="00E05617"/>
    <w:rsid w:val="00E06695"/>
    <w:rsid w:val="00E06F65"/>
    <w:rsid w:val="00E06FFC"/>
    <w:rsid w:val="00E07134"/>
    <w:rsid w:val="00E07180"/>
    <w:rsid w:val="00E104E9"/>
    <w:rsid w:val="00E1099A"/>
    <w:rsid w:val="00E1108A"/>
    <w:rsid w:val="00E11EB8"/>
    <w:rsid w:val="00E12262"/>
    <w:rsid w:val="00E129CA"/>
    <w:rsid w:val="00E13348"/>
    <w:rsid w:val="00E135C3"/>
    <w:rsid w:val="00E14CC3"/>
    <w:rsid w:val="00E14E6D"/>
    <w:rsid w:val="00E15600"/>
    <w:rsid w:val="00E15B0F"/>
    <w:rsid w:val="00E1616B"/>
    <w:rsid w:val="00E167FD"/>
    <w:rsid w:val="00E16941"/>
    <w:rsid w:val="00E176B3"/>
    <w:rsid w:val="00E17865"/>
    <w:rsid w:val="00E17873"/>
    <w:rsid w:val="00E20270"/>
    <w:rsid w:val="00E2044B"/>
    <w:rsid w:val="00E20507"/>
    <w:rsid w:val="00E206C2"/>
    <w:rsid w:val="00E207CF"/>
    <w:rsid w:val="00E2133D"/>
    <w:rsid w:val="00E21ED7"/>
    <w:rsid w:val="00E2222B"/>
    <w:rsid w:val="00E2233B"/>
    <w:rsid w:val="00E22561"/>
    <w:rsid w:val="00E24194"/>
    <w:rsid w:val="00E2449C"/>
    <w:rsid w:val="00E24507"/>
    <w:rsid w:val="00E24701"/>
    <w:rsid w:val="00E24A22"/>
    <w:rsid w:val="00E24A79"/>
    <w:rsid w:val="00E24E73"/>
    <w:rsid w:val="00E25296"/>
    <w:rsid w:val="00E2560F"/>
    <w:rsid w:val="00E257C1"/>
    <w:rsid w:val="00E2619C"/>
    <w:rsid w:val="00E2625B"/>
    <w:rsid w:val="00E26400"/>
    <w:rsid w:val="00E27537"/>
    <w:rsid w:val="00E27A48"/>
    <w:rsid w:val="00E27E1A"/>
    <w:rsid w:val="00E27E8C"/>
    <w:rsid w:val="00E30044"/>
    <w:rsid w:val="00E3160B"/>
    <w:rsid w:val="00E31D43"/>
    <w:rsid w:val="00E31ED7"/>
    <w:rsid w:val="00E32EA9"/>
    <w:rsid w:val="00E3314E"/>
    <w:rsid w:val="00E33420"/>
    <w:rsid w:val="00E3383C"/>
    <w:rsid w:val="00E33B56"/>
    <w:rsid w:val="00E342EC"/>
    <w:rsid w:val="00E3457F"/>
    <w:rsid w:val="00E34C7C"/>
    <w:rsid w:val="00E34F73"/>
    <w:rsid w:val="00E3577D"/>
    <w:rsid w:val="00E362FA"/>
    <w:rsid w:val="00E364EE"/>
    <w:rsid w:val="00E3668A"/>
    <w:rsid w:val="00E36901"/>
    <w:rsid w:val="00E3697B"/>
    <w:rsid w:val="00E37528"/>
    <w:rsid w:val="00E3778B"/>
    <w:rsid w:val="00E41448"/>
    <w:rsid w:val="00E41F44"/>
    <w:rsid w:val="00E422D4"/>
    <w:rsid w:val="00E43A22"/>
    <w:rsid w:val="00E447C2"/>
    <w:rsid w:val="00E450B8"/>
    <w:rsid w:val="00E45FAC"/>
    <w:rsid w:val="00E46183"/>
    <w:rsid w:val="00E4621E"/>
    <w:rsid w:val="00E462A5"/>
    <w:rsid w:val="00E467EC"/>
    <w:rsid w:val="00E47291"/>
    <w:rsid w:val="00E47554"/>
    <w:rsid w:val="00E476AA"/>
    <w:rsid w:val="00E5024B"/>
    <w:rsid w:val="00E50949"/>
    <w:rsid w:val="00E509C9"/>
    <w:rsid w:val="00E50B69"/>
    <w:rsid w:val="00E50FBA"/>
    <w:rsid w:val="00E525DD"/>
    <w:rsid w:val="00E52868"/>
    <w:rsid w:val="00E52E24"/>
    <w:rsid w:val="00E533D4"/>
    <w:rsid w:val="00E5388F"/>
    <w:rsid w:val="00E540E8"/>
    <w:rsid w:val="00E54584"/>
    <w:rsid w:val="00E55383"/>
    <w:rsid w:val="00E5564A"/>
    <w:rsid w:val="00E557E1"/>
    <w:rsid w:val="00E5637E"/>
    <w:rsid w:val="00E5662D"/>
    <w:rsid w:val="00E5733D"/>
    <w:rsid w:val="00E576E0"/>
    <w:rsid w:val="00E57D4F"/>
    <w:rsid w:val="00E57ED7"/>
    <w:rsid w:val="00E60C8A"/>
    <w:rsid w:val="00E60FE0"/>
    <w:rsid w:val="00E625AB"/>
    <w:rsid w:val="00E62863"/>
    <w:rsid w:val="00E638A0"/>
    <w:rsid w:val="00E63C91"/>
    <w:rsid w:val="00E6495B"/>
    <w:rsid w:val="00E6525C"/>
    <w:rsid w:val="00E66690"/>
    <w:rsid w:val="00E676B1"/>
    <w:rsid w:val="00E6797F"/>
    <w:rsid w:val="00E67BE4"/>
    <w:rsid w:val="00E70235"/>
    <w:rsid w:val="00E7075E"/>
    <w:rsid w:val="00E70A32"/>
    <w:rsid w:val="00E70ACE"/>
    <w:rsid w:val="00E70F94"/>
    <w:rsid w:val="00E71211"/>
    <w:rsid w:val="00E7132E"/>
    <w:rsid w:val="00E714F9"/>
    <w:rsid w:val="00E71888"/>
    <w:rsid w:val="00E72342"/>
    <w:rsid w:val="00E72F55"/>
    <w:rsid w:val="00E730C9"/>
    <w:rsid w:val="00E7373F"/>
    <w:rsid w:val="00E73DB4"/>
    <w:rsid w:val="00E74CCD"/>
    <w:rsid w:val="00E75B0C"/>
    <w:rsid w:val="00E764B1"/>
    <w:rsid w:val="00E7673F"/>
    <w:rsid w:val="00E76A77"/>
    <w:rsid w:val="00E773C3"/>
    <w:rsid w:val="00E80B02"/>
    <w:rsid w:val="00E80DBF"/>
    <w:rsid w:val="00E8110B"/>
    <w:rsid w:val="00E81687"/>
    <w:rsid w:val="00E81B07"/>
    <w:rsid w:val="00E81D3C"/>
    <w:rsid w:val="00E81DD8"/>
    <w:rsid w:val="00E822FC"/>
    <w:rsid w:val="00E824A5"/>
    <w:rsid w:val="00E82EEC"/>
    <w:rsid w:val="00E82F7E"/>
    <w:rsid w:val="00E83176"/>
    <w:rsid w:val="00E83EE3"/>
    <w:rsid w:val="00E8422F"/>
    <w:rsid w:val="00E84D61"/>
    <w:rsid w:val="00E86D36"/>
    <w:rsid w:val="00E86FEF"/>
    <w:rsid w:val="00E8707B"/>
    <w:rsid w:val="00E87552"/>
    <w:rsid w:val="00E87B74"/>
    <w:rsid w:val="00E90050"/>
    <w:rsid w:val="00E90862"/>
    <w:rsid w:val="00E911E5"/>
    <w:rsid w:val="00E91320"/>
    <w:rsid w:val="00E91AA1"/>
    <w:rsid w:val="00E91F11"/>
    <w:rsid w:val="00E9217B"/>
    <w:rsid w:val="00E92490"/>
    <w:rsid w:val="00E92E67"/>
    <w:rsid w:val="00E93404"/>
    <w:rsid w:val="00E93D41"/>
    <w:rsid w:val="00E95007"/>
    <w:rsid w:val="00E958D2"/>
    <w:rsid w:val="00E95B68"/>
    <w:rsid w:val="00E966DE"/>
    <w:rsid w:val="00E97710"/>
    <w:rsid w:val="00E97718"/>
    <w:rsid w:val="00EA00D2"/>
    <w:rsid w:val="00EA03CA"/>
    <w:rsid w:val="00EA0BE2"/>
    <w:rsid w:val="00EA0C56"/>
    <w:rsid w:val="00EA0EB3"/>
    <w:rsid w:val="00EA0F5A"/>
    <w:rsid w:val="00EA12B2"/>
    <w:rsid w:val="00EA1500"/>
    <w:rsid w:val="00EA15EA"/>
    <w:rsid w:val="00EA17BF"/>
    <w:rsid w:val="00EA30BD"/>
    <w:rsid w:val="00EA3756"/>
    <w:rsid w:val="00EA37EB"/>
    <w:rsid w:val="00EA3EDF"/>
    <w:rsid w:val="00EA4646"/>
    <w:rsid w:val="00EA4E9E"/>
    <w:rsid w:val="00EA51B4"/>
    <w:rsid w:val="00EA547F"/>
    <w:rsid w:val="00EA598D"/>
    <w:rsid w:val="00EA6EC2"/>
    <w:rsid w:val="00EA729B"/>
    <w:rsid w:val="00EB08A0"/>
    <w:rsid w:val="00EB1170"/>
    <w:rsid w:val="00EB1351"/>
    <w:rsid w:val="00EB252E"/>
    <w:rsid w:val="00EB26EF"/>
    <w:rsid w:val="00EB2D8A"/>
    <w:rsid w:val="00EB309B"/>
    <w:rsid w:val="00EB324B"/>
    <w:rsid w:val="00EB339F"/>
    <w:rsid w:val="00EB3BB4"/>
    <w:rsid w:val="00EB3D3B"/>
    <w:rsid w:val="00EB4181"/>
    <w:rsid w:val="00EB4CF6"/>
    <w:rsid w:val="00EB5D7C"/>
    <w:rsid w:val="00EB63C8"/>
    <w:rsid w:val="00EB64E2"/>
    <w:rsid w:val="00EB66A4"/>
    <w:rsid w:val="00EB6AA2"/>
    <w:rsid w:val="00EB72CC"/>
    <w:rsid w:val="00EB7655"/>
    <w:rsid w:val="00EC01EA"/>
    <w:rsid w:val="00EC0CE4"/>
    <w:rsid w:val="00EC14C6"/>
    <w:rsid w:val="00EC1724"/>
    <w:rsid w:val="00EC1BC4"/>
    <w:rsid w:val="00EC1BF0"/>
    <w:rsid w:val="00EC2B51"/>
    <w:rsid w:val="00EC2F55"/>
    <w:rsid w:val="00EC33C9"/>
    <w:rsid w:val="00EC346A"/>
    <w:rsid w:val="00EC35F2"/>
    <w:rsid w:val="00EC3E3C"/>
    <w:rsid w:val="00EC3F08"/>
    <w:rsid w:val="00EC4D22"/>
    <w:rsid w:val="00EC5448"/>
    <w:rsid w:val="00EC5725"/>
    <w:rsid w:val="00EC5B94"/>
    <w:rsid w:val="00EC5BD1"/>
    <w:rsid w:val="00EC5C24"/>
    <w:rsid w:val="00EC634E"/>
    <w:rsid w:val="00EC6586"/>
    <w:rsid w:val="00EC6CC3"/>
    <w:rsid w:val="00EC72C4"/>
    <w:rsid w:val="00EC7559"/>
    <w:rsid w:val="00EC7CFA"/>
    <w:rsid w:val="00ED0111"/>
    <w:rsid w:val="00ED0F27"/>
    <w:rsid w:val="00ED122F"/>
    <w:rsid w:val="00ED2185"/>
    <w:rsid w:val="00ED21EF"/>
    <w:rsid w:val="00ED2707"/>
    <w:rsid w:val="00ED2CE4"/>
    <w:rsid w:val="00ED3469"/>
    <w:rsid w:val="00ED3479"/>
    <w:rsid w:val="00ED3857"/>
    <w:rsid w:val="00ED3EA7"/>
    <w:rsid w:val="00ED4298"/>
    <w:rsid w:val="00ED4429"/>
    <w:rsid w:val="00ED453D"/>
    <w:rsid w:val="00ED5B4C"/>
    <w:rsid w:val="00ED5D80"/>
    <w:rsid w:val="00ED63A2"/>
    <w:rsid w:val="00ED6C9D"/>
    <w:rsid w:val="00ED7FE7"/>
    <w:rsid w:val="00EE04E0"/>
    <w:rsid w:val="00EE06A8"/>
    <w:rsid w:val="00EE079C"/>
    <w:rsid w:val="00EE0EEE"/>
    <w:rsid w:val="00EE140A"/>
    <w:rsid w:val="00EE1448"/>
    <w:rsid w:val="00EE1A50"/>
    <w:rsid w:val="00EE1A81"/>
    <w:rsid w:val="00EE3550"/>
    <w:rsid w:val="00EE37C3"/>
    <w:rsid w:val="00EE3BC6"/>
    <w:rsid w:val="00EE3C25"/>
    <w:rsid w:val="00EE413D"/>
    <w:rsid w:val="00EE47BC"/>
    <w:rsid w:val="00EE4ABB"/>
    <w:rsid w:val="00EE513B"/>
    <w:rsid w:val="00EE56FD"/>
    <w:rsid w:val="00EE669C"/>
    <w:rsid w:val="00EE6785"/>
    <w:rsid w:val="00EE6C2B"/>
    <w:rsid w:val="00EE756A"/>
    <w:rsid w:val="00EE7615"/>
    <w:rsid w:val="00EF00E9"/>
    <w:rsid w:val="00EF0C4C"/>
    <w:rsid w:val="00EF0E17"/>
    <w:rsid w:val="00EF170B"/>
    <w:rsid w:val="00EF1974"/>
    <w:rsid w:val="00EF1E8F"/>
    <w:rsid w:val="00EF220D"/>
    <w:rsid w:val="00EF2A15"/>
    <w:rsid w:val="00EF3141"/>
    <w:rsid w:val="00EF31BB"/>
    <w:rsid w:val="00EF3658"/>
    <w:rsid w:val="00EF3691"/>
    <w:rsid w:val="00EF3CE8"/>
    <w:rsid w:val="00EF44C4"/>
    <w:rsid w:val="00EF4AC2"/>
    <w:rsid w:val="00EF4F24"/>
    <w:rsid w:val="00EF517A"/>
    <w:rsid w:val="00EF5262"/>
    <w:rsid w:val="00EF5291"/>
    <w:rsid w:val="00EF52CD"/>
    <w:rsid w:val="00EF5983"/>
    <w:rsid w:val="00EF5AD6"/>
    <w:rsid w:val="00EF5C85"/>
    <w:rsid w:val="00EF6AD0"/>
    <w:rsid w:val="00EF6F33"/>
    <w:rsid w:val="00EF6F3B"/>
    <w:rsid w:val="00EF7911"/>
    <w:rsid w:val="00EF7AA5"/>
    <w:rsid w:val="00F00688"/>
    <w:rsid w:val="00F01543"/>
    <w:rsid w:val="00F01F58"/>
    <w:rsid w:val="00F02611"/>
    <w:rsid w:val="00F03406"/>
    <w:rsid w:val="00F036CB"/>
    <w:rsid w:val="00F0524D"/>
    <w:rsid w:val="00F05DA6"/>
    <w:rsid w:val="00F060DF"/>
    <w:rsid w:val="00F06720"/>
    <w:rsid w:val="00F07A73"/>
    <w:rsid w:val="00F10809"/>
    <w:rsid w:val="00F10C29"/>
    <w:rsid w:val="00F10E66"/>
    <w:rsid w:val="00F10EDF"/>
    <w:rsid w:val="00F11610"/>
    <w:rsid w:val="00F1181D"/>
    <w:rsid w:val="00F12FC8"/>
    <w:rsid w:val="00F13361"/>
    <w:rsid w:val="00F13BCD"/>
    <w:rsid w:val="00F13D22"/>
    <w:rsid w:val="00F14934"/>
    <w:rsid w:val="00F14C16"/>
    <w:rsid w:val="00F14DD0"/>
    <w:rsid w:val="00F15744"/>
    <w:rsid w:val="00F158AF"/>
    <w:rsid w:val="00F15D92"/>
    <w:rsid w:val="00F16132"/>
    <w:rsid w:val="00F162A6"/>
    <w:rsid w:val="00F16D58"/>
    <w:rsid w:val="00F173EF"/>
    <w:rsid w:val="00F17F91"/>
    <w:rsid w:val="00F208C9"/>
    <w:rsid w:val="00F21A3D"/>
    <w:rsid w:val="00F22898"/>
    <w:rsid w:val="00F22B22"/>
    <w:rsid w:val="00F22F72"/>
    <w:rsid w:val="00F2324B"/>
    <w:rsid w:val="00F23777"/>
    <w:rsid w:val="00F23DC7"/>
    <w:rsid w:val="00F249CE"/>
    <w:rsid w:val="00F25AB5"/>
    <w:rsid w:val="00F25B1D"/>
    <w:rsid w:val="00F25BB5"/>
    <w:rsid w:val="00F2637E"/>
    <w:rsid w:val="00F2683A"/>
    <w:rsid w:val="00F269CB"/>
    <w:rsid w:val="00F26BA5"/>
    <w:rsid w:val="00F26E60"/>
    <w:rsid w:val="00F27DF2"/>
    <w:rsid w:val="00F30648"/>
    <w:rsid w:val="00F30A67"/>
    <w:rsid w:val="00F31410"/>
    <w:rsid w:val="00F31A03"/>
    <w:rsid w:val="00F31D68"/>
    <w:rsid w:val="00F323F0"/>
    <w:rsid w:val="00F32C02"/>
    <w:rsid w:val="00F33BA1"/>
    <w:rsid w:val="00F34DE8"/>
    <w:rsid w:val="00F3560C"/>
    <w:rsid w:val="00F35AFC"/>
    <w:rsid w:val="00F37574"/>
    <w:rsid w:val="00F37EBB"/>
    <w:rsid w:val="00F402E4"/>
    <w:rsid w:val="00F406E8"/>
    <w:rsid w:val="00F417B3"/>
    <w:rsid w:val="00F4181A"/>
    <w:rsid w:val="00F419B9"/>
    <w:rsid w:val="00F41F37"/>
    <w:rsid w:val="00F42531"/>
    <w:rsid w:val="00F42765"/>
    <w:rsid w:val="00F4343D"/>
    <w:rsid w:val="00F44910"/>
    <w:rsid w:val="00F44DCD"/>
    <w:rsid w:val="00F4509E"/>
    <w:rsid w:val="00F454E4"/>
    <w:rsid w:val="00F455EB"/>
    <w:rsid w:val="00F45AE5"/>
    <w:rsid w:val="00F45D35"/>
    <w:rsid w:val="00F45EB1"/>
    <w:rsid w:val="00F46357"/>
    <w:rsid w:val="00F465C0"/>
    <w:rsid w:val="00F4688C"/>
    <w:rsid w:val="00F46ED3"/>
    <w:rsid w:val="00F47E8F"/>
    <w:rsid w:val="00F500E7"/>
    <w:rsid w:val="00F50959"/>
    <w:rsid w:val="00F50AF1"/>
    <w:rsid w:val="00F50D7E"/>
    <w:rsid w:val="00F51057"/>
    <w:rsid w:val="00F5109C"/>
    <w:rsid w:val="00F51306"/>
    <w:rsid w:val="00F51526"/>
    <w:rsid w:val="00F51957"/>
    <w:rsid w:val="00F51E9B"/>
    <w:rsid w:val="00F51F07"/>
    <w:rsid w:val="00F51F66"/>
    <w:rsid w:val="00F5207B"/>
    <w:rsid w:val="00F521C7"/>
    <w:rsid w:val="00F523BC"/>
    <w:rsid w:val="00F527A5"/>
    <w:rsid w:val="00F52F3F"/>
    <w:rsid w:val="00F53D3F"/>
    <w:rsid w:val="00F53DE3"/>
    <w:rsid w:val="00F53DFB"/>
    <w:rsid w:val="00F544E9"/>
    <w:rsid w:val="00F54D6D"/>
    <w:rsid w:val="00F55019"/>
    <w:rsid w:val="00F557E4"/>
    <w:rsid w:val="00F55FFE"/>
    <w:rsid w:val="00F56955"/>
    <w:rsid w:val="00F57171"/>
    <w:rsid w:val="00F603BB"/>
    <w:rsid w:val="00F604C3"/>
    <w:rsid w:val="00F609AA"/>
    <w:rsid w:val="00F60BF5"/>
    <w:rsid w:val="00F61B68"/>
    <w:rsid w:val="00F61C35"/>
    <w:rsid w:val="00F6230A"/>
    <w:rsid w:val="00F62D44"/>
    <w:rsid w:val="00F6385D"/>
    <w:rsid w:val="00F6434E"/>
    <w:rsid w:val="00F6453C"/>
    <w:rsid w:val="00F64BB8"/>
    <w:rsid w:val="00F64DBE"/>
    <w:rsid w:val="00F651D5"/>
    <w:rsid w:val="00F664A3"/>
    <w:rsid w:val="00F67713"/>
    <w:rsid w:val="00F67A4E"/>
    <w:rsid w:val="00F70014"/>
    <w:rsid w:val="00F70DFE"/>
    <w:rsid w:val="00F70F38"/>
    <w:rsid w:val="00F70FA3"/>
    <w:rsid w:val="00F7128F"/>
    <w:rsid w:val="00F71F4E"/>
    <w:rsid w:val="00F72048"/>
    <w:rsid w:val="00F725C8"/>
    <w:rsid w:val="00F727A0"/>
    <w:rsid w:val="00F7346A"/>
    <w:rsid w:val="00F73884"/>
    <w:rsid w:val="00F73CEC"/>
    <w:rsid w:val="00F741E0"/>
    <w:rsid w:val="00F74E03"/>
    <w:rsid w:val="00F74EE8"/>
    <w:rsid w:val="00F7501F"/>
    <w:rsid w:val="00F75460"/>
    <w:rsid w:val="00F75A20"/>
    <w:rsid w:val="00F7677D"/>
    <w:rsid w:val="00F76825"/>
    <w:rsid w:val="00F769D7"/>
    <w:rsid w:val="00F76C54"/>
    <w:rsid w:val="00F76FCF"/>
    <w:rsid w:val="00F7704E"/>
    <w:rsid w:val="00F770EC"/>
    <w:rsid w:val="00F77275"/>
    <w:rsid w:val="00F772E2"/>
    <w:rsid w:val="00F77691"/>
    <w:rsid w:val="00F7786B"/>
    <w:rsid w:val="00F77C64"/>
    <w:rsid w:val="00F77D10"/>
    <w:rsid w:val="00F80878"/>
    <w:rsid w:val="00F8094D"/>
    <w:rsid w:val="00F817EA"/>
    <w:rsid w:val="00F81C63"/>
    <w:rsid w:val="00F81F0F"/>
    <w:rsid w:val="00F821D7"/>
    <w:rsid w:val="00F82233"/>
    <w:rsid w:val="00F82434"/>
    <w:rsid w:val="00F8362E"/>
    <w:rsid w:val="00F83D51"/>
    <w:rsid w:val="00F856EC"/>
    <w:rsid w:val="00F8670F"/>
    <w:rsid w:val="00F868F3"/>
    <w:rsid w:val="00F86DCE"/>
    <w:rsid w:val="00F87288"/>
    <w:rsid w:val="00F875FD"/>
    <w:rsid w:val="00F87A04"/>
    <w:rsid w:val="00F900A4"/>
    <w:rsid w:val="00F90277"/>
    <w:rsid w:val="00F907A4"/>
    <w:rsid w:val="00F9129B"/>
    <w:rsid w:val="00F9150A"/>
    <w:rsid w:val="00F91742"/>
    <w:rsid w:val="00F91972"/>
    <w:rsid w:val="00F92030"/>
    <w:rsid w:val="00F9285F"/>
    <w:rsid w:val="00F92B4C"/>
    <w:rsid w:val="00F93143"/>
    <w:rsid w:val="00F933ED"/>
    <w:rsid w:val="00F935F4"/>
    <w:rsid w:val="00F93629"/>
    <w:rsid w:val="00F93D78"/>
    <w:rsid w:val="00F942BB"/>
    <w:rsid w:val="00F949C3"/>
    <w:rsid w:val="00F94C1F"/>
    <w:rsid w:val="00F94DB7"/>
    <w:rsid w:val="00F95CC4"/>
    <w:rsid w:val="00F95E02"/>
    <w:rsid w:val="00F95F13"/>
    <w:rsid w:val="00F97BDF"/>
    <w:rsid w:val="00FA1517"/>
    <w:rsid w:val="00FA1746"/>
    <w:rsid w:val="00FA17E0"/>
    <w:rsid w:val="00FA1C83"/>
    <w:rsid w:val="00FA2612"/>
    <w:rsid w:val="00FA2AB4"/>
    <w:rsid w:val="00FA301F"/>
    <w:rsid w:val="00FA4549"/>
    <w:rsid w:val="00FA5C18"/>
    <w:rsid w:val="00FA60A5"/>
    <w:rsid w:val="00FA6734"/>
    <w:rsid w:val="00FA6BD5"/>
    <w:rsid w:val="00FA6E88"/>
    <w:rsid w:val="00FA6FAD"/>
    <w:rsid w:val="00FA7B52"/>
    <w:rsid w:val="00FB0A7D"/>
    <w:rsid w:val="00FB1853"/>
    <w:rsid w:val="00FB194B"/>
    <w:rsid w:val="00FB2335"/>
    <w:rsid w:val="00FB24C9"/>
    <w:rsid w:val="00FB3194"/>
    <w:rsid w:val="00FB350F"/>
    <w:rsid w:val="00FB360B"/>
    <w:rsid w:val="00FB367F"/>
    <w:rsid w:val="00FB475F"/>
    <w:rsid w:val="00FB4AA7"/>
    <w:rsid w:val="00FB4B00"/>
    <w:rsid w:val="00FB5E81"/>
    <w:rsid w:val="00FB6992"/>
    <w:rsid w:val="00FB6ACF"/>
    <w:rsid w:val="00FC03FB"/>
    <w:rsid w:val="00FC0624"/>
    <w:rsid w:val="00FC0743"/>
    <w:rsid w:val="00FC0745"/>
    <w:rsid w:val="00FC0FFD"/>
    <w:rsid w:val="00FC119B"/>
    <w:rsid w:val="00FC11C5"/>
    <w:rsid w:val="00FC1D63"/>
    <w:rsid w:val="00FC2195"/>
    <w:rsid w:val="00FC21BA"/>
    <w:rsid w:val="00FC26C6"/>
    <w:rsid w:val="00FC32E5"/>
    <w:rsid w:val="00FC3D65"/>
    <w:rsid w:val="00FC49A4"/>
    <w:rsid w:val="00FC4B58"/>
    <w:rsid w:val="00FC4C18"/>
    <w:rsid w:val="00FC4C3F"/>
    <w:rsid w:val="00FC5CC2"/>
    <w:rsid w:val="00FC5FE5"/>
    <w:rsid w:val="00FC6123"/>
    <w:rsid w:val="00FC665D"/>
    <w:rsid w:val="00FC678C"/>
    <w:rsid w:val="00FC7274"/>
    <w:rsid w:val="00FC7345"/>
    <w:rsid w:val="00FC73D5"/>
    <w:rsid w:val="00FD0650"/>
    <w:rsid w:val="00FD0C6E"/>
    <w:rsid w:val="00FD0EAC"/>
    <w:rsid w:val="00FD1321"/>
    <w:rsid w:val="00FD24BA"/>
    <w:rsid w:val="00FD25A3"/>
    <w:rsid w:val="00FD290F"/>
    <w:rsid w:val="00FD2E9E"/>
    <w:rsid w:val="00FD363C"/>
    <w:rsid w:val="00FD366E"/>
    <w:rsid w:val="00FD3E9D"/>
    <w:rsid w:val="00FD5D81"/>
    <w:rsid w:val="00FD62BC"/>
    <w:rsid w:val="00FD6663"/>
    <w:rsid w:val="00FD6B84"/>
    <w:rsid w:val="00FD6F2C"/>
    <w:rsid w:val="00FD73A5"/>
    <w:rsid w:val="00FD73E8"/>
    <w:rsid w:val="00FE01AA"/>
    <w:rsid w:val="00FE083E"/>
    <w:rsid w:val="00FE0DF7"/>
    <w:rsid w:val="00FE0EFA"/>
    <w:rsid w:val="00FE0F8C"/>
    <w:rsid w:val="00FE1004"/>
    <w:rsid w:val="00FE108D"/>
    <w:rsid w:val="00FE23F0"/>
    <w:rsid w:val="00FE31CA"/>
    <w:rsid w:val="00FE390E"/>
    <w:rsid w:val="00FE3DCA"/>
    <w:rsid w:val="00FE4BC7"/>
    <w:rsid w:val="00FE4BFD"/>
    <w:rsid w:val="00FE4F6B"/>
    <w:rsid w:val="00FE5091"/>
    <w:rsid w:val="00FE50CA"/>
    <w:rsid w:val="00FE53E3"/>
    <w:rsid w:val="00FE5828"/>
    <w:rsid w:val="00FE62BF"/>
    <w:rsid w:val="00FE6FE7"/>
    <w:rsid w:val="00FE7438"/>
    <w:rsid w:val="00FE7C6A"/>
    <w:rsid w:val="00FE7FE3"/>
    <w:rsid w:val="00FF00DF"/>
    <w:rsid w:val="00FF07B8"/>
    <w:rsid w:val="00FF0818"/>
    <w:rsid w:val="00FF13E6"/>
    <w:rsid w:val="00FF1EFC"/>
    <w:rsid w:val="00FF2C7F"/>
    <w:rsid w:val="00FF3098"/>
    <w:rsid w:val="00FF311B"/>
    <w:rsid w:val="00FF3962"/>
    <w:rsid w:val="00FF3D1D"/>
    <w:rsid w:val="00FF46AB"/>
    <w:rsid w:val="00FF4A8E"/>
    <w:rsid w:val="00FF50DE"/>
    <w:rsid w:val="00FF56E7"/>
    <w:rsid w:val="00FF5A06"/>
    <w:rsid w:val="00FF5E1B"/>
    <w:rsid w:val="00FF5E89"/>
    <w:rsid w:val="00FF6D18"/>
    <w:rsid w:val="00FF6E89"/>
    <w:rsid w:val="00FF7B60"/>
    <w:rsid w:val="03187FE1"/>
    <w:rsid w:val="09C851E3"/>
    <w:rsid w:val="0B7C4083"/>
    <w:rsid w:val="2A335204"/>
    <w:rsid w:val="2F4774AA"/>
    <w:rsid w:val="39987D02"/>
    <w:rsid w:val="3B2D19A2"/>
    <w:rsid w:val="3FC03C8B"/>
    <w:rsid w:val="43B35B13"/>
    <w:rsid w:val="486B2460"/>
    <w:rsid w:val="4DE15BF1"/>
    <w:rsid w:val="50E85C87"/>
    <w:rsid w:val="52173BDE"/>
    <w:rsid w:val="5B6634E0"/>
    <w:rsid w:val="5CEE378D"/>
    <w:rsid w:val="5E205BB1"/>
    <w:rsid w:val="5FBF63D5"/>
    <w:rsid w:val="6C875C30"/>
    <w:rsid w:val="6D927418"/>
    <w:rsid w:val="6EEA46FD"/>
    <w:rsid w:val="6FB663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3D91F595"/>
  <w15:docId w15:val="{7A6CC18E-21F9-4381-9B07-14FC2307DB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uiPriority="39" w:unhideWhenUsed="1"/>
    <w:lsdException w:name="toc 3"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A1489"/>
    <w:pPr>
      <w:spacing w:before="100" w:beforeAutospacing="1" w:after="200" w:line="273" w:lineRule="auto"/>
    </w:pPr>
    <w:rPr>
      <w:rFonts w:ascii="Calibri" w:eastAsia="Times New Roman" w:hAnsi="Calibri"/>
      <w:sz w:val="22"/>
      <w:szCs w:val="22"/>
    </w:rPr>
  </w:style>
  <w:style w:type="paragraph" w:styleId="Heading1">
    <w:name w:val="heading 1"/>
    <w:basedOn w:val="Normal"/>
    <w:next w:val="Normal"/>
    <w:link w:val="Heading1Char"/>
    <w:uiPriority w:val="9"/>
    <w:qFormat/>
    <w:rsid w:val="007129A3"/>
    <w:pPr>
      <w:keepNext/>
      <w:keepLines/>
      <w:numPr>
        <w:numId w:val="15"/>
      </w:numPr>
      <w:spacing w:before="120" w:after="0"/>
      <w:jc w:val="center"/>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uiPriority w:val="9"/>
    <w:unhideWhenUsed/>
    <w:qFormat/>
    <w:rsid w:val="007129A3"/>
    <w:pPr>
      <w:keepNext/>
      <w:keepLines/>
      <w:numPr>
        <w:ilvl w:val="1"/>
        <w:numId w:val="15"/>
      </w:numPr>
      <w:spacing w:before="40" w:after="0"/>
      <w:outlineLvl w:val="1"/>
    </w:pPr>
    <w:rPr>
      <w:rFonts w:ascii="Times New Roman" w:eastAsiaTheme="majorEastAsia" w:hAnsi="Times New Roman" w:cstheme="majorBidi"/>
      <w:b/>
      <w:sz w:val="26"/>
      <w:szCs w:val="26"/>
    </w:rPr>
  </w:style>
  <w:style w:type="paragraph" w:styleId="Heading3">
    <w:name w:val="heading 3"/>
    <w:basedOn w:val="Normal"/>
    <w:next w:val="Normal"/>
    <w:link w:val="Heading3Char"/>
    <w:uiPriority w:val="9"/>
    <w:unhideWhenUsed/>
    <w:qFormat/>
    <w:rsid w:val="007129A3"/>
    <w:pPr>
      <w:keepNext/>
      <w:keepLines/>
      <w:numPr>
        <w:ilvl w:val="2"/>
        <w:numId w:val="15"/>
      </w:numPr>
      <w:spacing w:before="0" w:after="0" w:line="240" w:lineRule="auto"/>
      <w:outlineLvl w:val="2"/>
    </w:pPr>
    <w:rPr>
      <w:rFonts w:ascii="Times New Roman" w:eastAsiaTheme="majorEastAsia" w:hAnsi="Times New Roman" w:cstheme="majorBidi"/>
      <w:b/>
      <w:sz w:val="24"/>
      <w:szCs w:val="24"/>
    </w:rPr>
  </w:style>
  <w:style w:type="paragraph" w:styleId="Heading4">
    <w:name w:val="heading 4"/>
    <w:basedOn w:val="Normal"/>
    <w:next w:val="Normal"/>
    <w:link w:val="Heading4Char"/>
    <w:autoRedefine/>
    <w:uiPriority w:val="9"/>
    <w:unhideWhenUsed/>
    <w:qFormat/>
    <w:rsid w:val="00616968"/>
    <w:pPr>
      <w:keepNext/>
      <w:keepLines/>
      <w:numPr>
        <w:ilvl w:val="3"/>
        <w:numId w:val="15"/>
      </w:numPr>
      <w:spacing w:after="0" w:line="360" w:lineRule="auto"/>
      <w:outlineLvl w:val="3"/>
    </w:pPr>
    <w:rPr>
      <w:rFonts w:ascii="Times New Roman" w:eastAsiaTheme="majorEastAsia" w:hAnsi="Times New Roman"/>
      <w:b/>
      <w:sz w:val="24"/>
      <w:szCs w:val="24"/>
    </w:rPr>
  </w:style>
  <w:style w:type="paragraph" w:styleId="Heading5">
    <w:name w:val="heading 5"/>
    <w:basedOn w:val="Normal"/>
    <w:next w:val="Normal"/>
    <w:link w:val="Heading5Char"/>
    <w:uiPriority w:val="9"/>
    <w:unhideWhenUsed/>
    <w:qFormat/>
    <w:pPr>
      <w:keepNext/>
      <w:keepLines/>
      <w:numPr>
        <w:ilvl w:val="4"/>
        <w:numId w:val="15"/>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unhideWhenUsed/>
    <w:qFormat/>
    <w:rsid w:val="00ED21EF"/>
    <w:pPr>
      <w:keepNext/>
      <w:keepLines/>
      <w:numPr>
        <w:ilvl w:val="5"/>
        <w:numId w:val="15"/>
      </w:numPr>
      <w:spacing w:before="40" w:beforeAutospacing="0" w:after="0" w:line="259" w:lineRule="auto"/>
      <w:outlineLvl w:val="5"/>
    </w:pPr>
    <w:rPr>
      <w:rFonts w:ascii="Times New Roman" w:eastAsiaTheme="majorEastAsia" w:hAnsi="Times New Roman" w:cstheme="majorBidi"/>
      <w:b/>
      <w:kern w:val="2"/>
      <w:sz w:val="24"/>
      <w:lang w:eastAsia="zh-CN"/>
      <w14:ligatures w14:val="standardContextual"/>
    </w:rPr>
  </w:style>
  <w:style w:type="paragraph" w:styleId="Heading7">
    <w:name w:val="heading 7"/>
    <w:basedOn w:val="Normal"/>
    <w:next w:val="Normal"/>
    <w:link w:val="Heading7Char"/>
    <w:uiPriority w:val="9"/>
    <w:unhideWhenUsed/>
    <w:qFormat/>
    <w:rsid w:val="00ED21EF"/>
    <w:pPr>
      <w:keepNext/>
      <w:keepLines/>
      <w:numPr>
        <w:ilvl w:val="6"/>
        <w:numId w:val="15"/>
      </w:numPr>
      <w:spacing w:before="40" w:beforeAutospacing="0" w:after="0" w:line="259" w:lineRule="auto"/>
      <w:outlineLvl w:val="6"/>
    </w:pPr>
    <w:rPr>
      <w:rFonts w:ascii="Times New Roman" w:eastAsiaTheme="majorEastAsia" w:hAnsi="Times New Roman" w:cstheme="majorBidi"/>
      <w:b/>
      <w:iCs/>
      <w:kern w:val="2"/>
      <w:sz w:val="24"/>
      <w:lang w:eastAsia="zh-CN"/>
      <w14:ligatures w14:val="standardContextual"/>
    </w:rPr>
  </w:style>
  <w:style w:type="paragraph" w:styleId="Heading8">
    <w:name w:val="heading 8"/>
    <w:basedOn w:val="Normal"/>
    <w:next w:val="Normal"/>
    <w:link w:val="Heading8Char"/>
    <w:uiPriority w:val="9"/>
    <w:unhideWhenUsed/>
    <w:qFormat/>
    <w:rsid w:val="00ED21EF"/>
    <w:pPr>
      <w:keepNext/>
      <w:keepLines/>
      <w:numPr>
        <w:ilvl w:val="7"/>
        <w:numId w:val="15"/>
      </w:numPr>
      <w:spacing w:before="40" w:beforeAutospacing="0" w:after="0" w:line="259" w:lineRule="auto"/>
      <w:outlineLvl w:val="7"/>
    </w:pPr>
    <w:rPr>
      <w:rFonts w:ascii="Times New Roman" w:eastAsiaTheme="majorEastAsia" w:hAnsi="Times New Roman" w:cstheme="majorBidi"/>
      <w:b/>
      <w:kern w:val="2"/>
      <w:sz w:val="24"/>
      <w:szCs w:val="21"/>
      <w:lang w:eastAsia="zh-CN"/>
      <w14:ligatures w14:val="standardContextual"/>
    </w:rPr>
  </w:style>
  <w:style w:type="paragraph" w:styleId="Heading9">
    <w:name w:val="heading 9"/>
    <w:basedOn w:val="Normal"/>
    <w:next w:val="Normal"/>
    <w:link w:val="Heading9Char"/>
    <w:uiPriority w:val="9"/>
    <w:unhideWhenUsed/>
    <w:qFormat/>
    <w:rsid w:val="00ED21EF"/>
    <w:pPr>
      <w:keepNext/>
      <w:keepLines/>
      <w:numPr>
        <w:ilvl w:val="8"/>
        <w:numId w:val="15"/>
      </w:numPr>
      <w:spacing w:before="40" w:beforeAutospacing="0" w:after="0" w:line="259" w:lineRule="auto"/>
      <w:outlineLvl w:val="8"/>
    </w:pPr>
    <w:rPr>
      <w:rFonts w:ascii="Times New Roman" w:eastAsiaTheme="majorEastAsia" w:hAnsi="Times New Roman" w:cstheme="majorBidi"/>
      <w:b/>
      <w:iCs/>
      <w:kern w:val="2"/>
      <w:sz w:val="24"/>
      <w:szCs w:val="21"/>
      <w:lang w:eastAsia="zh-CN"/>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29A3"/>
    <w:rPr>
      <w:rFonts w:eastAsiaTheme="majorEastAsia" w:cstheme="majorBidi"/>
      <w:b/>
      <w:sz w:val="24"/>
      <w:szCs w:val="32"/>
    </w:rPr>
  </w:style>
  <w:style w:type="character" w:customStyle="1" w:styleId="Heading2Char">
    <w:name w:val="Heading 2 Char"/>
    <w:basedOn w:val="DefaultParagraphFont"/>
    <w:link w:val="Heading2"/>
    <w:uiPriority w:val="9"/>
    <w:rsid w:val="007129A3"/>
    <w:rPr>
      <w:rFonts w:eastAsiaTheme="majorEastAsia" w:cstheme="majorBidi"/>
      <w:b/>
      <w:sz w:val="26"/>
      <w:szCs w:val="26"/>
    </w:rPr>
  </w:style>
  <w:style w:type="character" w:customStyle="1" w:styleId="Heading3Char">
    <w:name w:val="Heading 3 Char"/>
    <w:basedOn w:val="DefaultParagraphFont"/>
    <w:link w:val="Heading3"/>
    <w:uiPriority w:val="9"/>
    <w:rsid w:val="007129A3"/>
    <w:rPr>
      <w:rFonts w:eastAsiaTheme="majorEastAsia" w:cstheme="majorBidi"/>
      <w:b/>
      <w:sz w:val="24"/>
      <w:szCs w:val="24"/>
    </w:rPr>
  </w:style>
  <w:style w:type="character" w:customStyle="1" w:styleId="Heading4Char">
    <w:name w:val="Heading 4 Char"/>
    <w:basedOn w:val="DefaultParagraphFont"/>
    <w:link w:val="Heading4"/>
    <w:uiPriority w:val="9"/>
    <w:rsid w:val="00616968"/>
    <w:rPr>
      <w:rFonts w:eastAsiaTheme="majorEastAsia"/>
      <w:b/>
      <w:sz w:val="24"/>
      <w:szCs w:val="24"/>
    </w:rPr>
  </w:style>
  <w:style w:type="character" w:customStyle="1" w:styleId="Heading5Char">
    <w:name w:val="Heading 5 Char"/>
    <w:basedOn w:val="DefaultParagraphFont"/>
    <w:link w:val="Heading5"/>
    <w:uiPriority w:val="9"/>
    <w:rPr>
      <w:rFonts w:asciiTheme="majorHAnsi" w:eastAsiaTheme="majorEastAsia" w:hAnsiTheme="majorHAnsi" w:cstheme="majorBidi"/>
      <w:color w:val="2F5496" w:themeColor="accent1" w:themeShade="BF"/>
      <w:sz w:val="22"/>
      <w:szCs w:val="22"/>
    </w:rPr>
  </w:style>
  <w:style w:type="character" w:customStyle="1" w:styleId="Heading6Char">
    <w:name w:val="Heading 6 Char"/>
    <w:basedOn w:val="DefaultParagraphFont"/>
    <w:link w:val="Heading6"/>
    <w:uiPriority w:val="9"/>
    <w:rsid w:val="00ED21EF"/>
    <w:rPr>
      <w:rFonts w:eastAsiaTheme="majorEastAsia" w:cstheme="majorBidi"/>
      <w:b/>
      <w:kern w:val="2"/>
      <w:sz w:val="24"/>
      <w:szCs w:val="22"/>
      <w:lang w:eastAsia="zh-CN"/>
      <w14:ligatures w14:val="standardContextual"/>
    </w:rPr>
  </w:style>
  <w:style w:type="character" w:customStyle="1" w:styleId="Heading7Char">
    <w:name w:val="Heading 7 Char"/>
    <w:basedOn w:val="DefaultParagraphFont"/>
    <w:link w:val="Heading7"/>
    <w:uiPriority w:val="9"/>
    <w:rsid w:val="00ED21EF"/>
    <w:rPr>
      <w:rFonts w:eastAsiaTheme="majorEastAsia" w:cstheme="majorBidi"/>
      <w:b/>
      <w:iCs/>
      <w:kern w:val="2"/>
      <w:sz w:val="24"/>
      <w:szCs w:val="22"/>
      <w:lang w:eastAsia="zh-CN"/>
      <w14:ligatures w14:val="standardContextual"/>
    </w:rPr>
  </w:style>
  <w:style w:type="character" w:customStyle="1" w:styleId="Heading8Char">
    <w:name w:val="Heading 8 Char"/>
    <w:basedOn w:val="DefaultParagraphFont"/>
    <w:link w:val="Heading8"/>
    <w:uiPriority w:val="9"/>
    <w:rsid w:val="00ED21EF"/>
    <w:rPr>
      <w:rFonts w:eastAsiaTheme="majorEastAsia" w:cstheme="majorBidi"/>
      <w:b/>
      <w:kern w:val="2"/>
      <w:sz w:val="24"/>
      <w:szCs w:val="21"/>
      <w:lang w:eastAsia="zh-CN"/>
      <w14:ligatures w14:val="standardContextual"/>
    </w:rPr>
  </w:style>
  <w:style w:type="character" w:customStyle="1" w:styleId="Heading9Char">
    <w:name w:val="Heading 9 Char"/>
    <w:basedOn w:val="DefaultParagraphFont"/>
    <w:link w:val="Heading9"/>
    <w:uiPriority w:val="9"/>
    <w:rsid w:val="00ED21EF"/>
    <w:rPr>
      <w:rFonts w:eastAsiaTheme="majorEastAsia" w:cstheme="majorBidi"/>
      <w:b/>
      <w:iCs/>
      <w:kern w:val="2"/>
      <w:sz w:val="24"/>
      <w:szCs w:val="21"/>
      <w:lang w:eastAsia="zh-CN"/>
      <w14:ligatures w14:val="standardContextual"/>
    </w:rPr>
  </w:style>
  <w:style w:type="paragraph" w:styleId="BalloonText">
    <w:name w:val="Balloon Text"/>
    <w:basedOn w:val="Normal"/>
    <w:link w:val="BalloonTextChar"/>
    <w:uiPriority w:val="99"/>
    <w:semiHidden/>
    <w:unhideWhenUse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Pr>
      <w:rFonts w:ascii="Segoe UI" w:eastAsia="Times New Roman" w:hAnsi="Segoe UI" w:cs="Segoe UI"/>
      <w:sz w:val="18"/>
      <w:szCs w:val="18"/>
    </w:r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rFonts w:ascii="Calibri" w:eastAsia="Times New Roman" w:hAnsi="Calibri"/>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rFonts w:ascii="Calibri" w:eastAsia="Times New Roman" w:hAnsi="Calibri"/>
      <w:b/>
      <w:bCs/>
    </w:rPr>
  </w:style>
  <w:style w:type="paragraph" w:styleId="Footer">
    <w:name w:val="footer"/>
    <w:basedOn w:val="Normal"/>
    <w:link w:val="FooterChar"/>
    <w:uiPriority w:val="99"/>
    <w:unhideWhenUsed/>
    <w:pPr>
      <w:spacing w:after="0" w:line="240" w:lineRule="auto"/>
    </w:pPr>
  </w:style>
  <w:style w:type="character" w:customStyle="1" w:styleId="FooterChar">
    <w:name w:val="Footer Char"/>
    <w:basedOn w:val="DefaultParagraphFont"/>
    <w:link w:val="Footer"/>
    <w:uiPriority w:val="99"/>
    <w:rPr>
      <w:rFonts w:ascii="Calibri" w:eastAsia="Times New Roman" w:hAnsi="Calibri" w:cs="Times New Roman"/>
    </w:rPr>
  </w:style>
  <w:style w:type="paragraph" w:styleId="Header">
    <w:name w:val="header"/>
    <w:basedOn w:val="Normal"/>
    <w:link w:val="HeaderChar"/>
    <w:uiPriority w:val="99"/>
    <w:unhideWhenUsed/>
    <w:pPr>
      <w:tabs>
        <w:tab w:val="center" w:pos="4680"/>
        <w:tab w:val="right" w:pos="9360"/>
      </w:tabs>
      <w:spacing w:before="0" w:after="0" w:line="240" w:lineRule="auto"/>
    </w:pPr>
  </w:style>
  <w:style w:type="character" w:customStyle="1" w:styleId="HeaderChar">
    <w:name w:val="Header Char"/>
    <w:basedOn w:val="DefaultParagraphFont"/>
    <w:link w:val="Header"/>
    <w:uiPriority w:val="99"/>
    <w:rPr>
      <w:rFonts w:ascii="Calibri" w:eastAsia="Times New Roman" w:hAnsi="Calibri" w:cs="Times New Roman"/>
      <w:sz w:val="22"/>
      <w:szCs w:val="22"/>
    </w:rPr>
  </w:style>
  <w:style w:type="character" w:styleId="Hyperlink">
    <w:name w:val="Hyperlink"/>
    <w:basedOn w:val="DefaultParagraphFont"/>
    <w:uiPriority w:val="99"/>
    <w:unhideWhenUsed/>
    <w:rPr>
      <w:color w:val="0563C1" w:themeColor="hyperlink"/>
      <w:u w:val="single"/>
    </w:rPr>
  </w:style>
  <w:style w:type="table" w:styleId="TableGrid">
    <w:name w:val="Table Grid"/>
    <w:basedOn w:val="TableNormal"/>
    <w:uiPriority w:val="39"/>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uiPriority w:val="39"/>
    <w:unhideWhenUsed/>
    <w:rsid w:val="001B7341"/>
    <w:pPr>
      <w:spacing w:after="100"/>
    </w:pPr>
    <w:rPr>
      <w:rFonts w:ascii="Times New Roman" w:hAnsi="Times New Roman"/>
      <w:sz w:val="24"/>
    </w:rPr>
  </w:style>
  <w:style w:type="paragraph" w:styleId="TOC2">
    <w:name w:val="toc 2"/>
    <w:basedOn w:val="Normal"/>
    <w:next w:val="Normal"/>
    <w:uiPriority w:val="39"/>
    <w:unhideWhenUsed/>
    <w:rsid w:val="001B7341"/>
    <w:pPr>
      <w:spacing w:after="100"/>
      <w:ind w:left="220"/>
    </w:pPr>
    <w:rPr>
      <w:rFonts w:ascii="Times New Roman" w:hAnsi="Times New Roman"/>
      <w:sz w:val="24"/>
    </w:rPr>
  </w:style>
  <w:style w:type="paragraph" w:styleId="TOC3">
    <w:name w:val="toc 3"/>
    <w:basedOn w:val="Normal"/>
    <w:next w:val="Normal"/>
    <w:uiPriority w:val="39"/>
    <w:unhideWhenUsed/>
    <w:rsid w:val="001B7341"/>
    <w:pPr>
      <w:spacing w:after="100"/>
      <w:ind w:left="440"/>
    </w:pPr>
    <w:rPr>
      <w:rFonts w:ascii="Times New Roman" w:hAnsi="Times New Roman"/>
      <w:sz w:val="24"/>
    </w:rPr>
  </w:style>
  <w:style w:type="paragraph" w:customStyle="1" w:styleId="msonormal0">
    <w:name w:val="msonormal"/>
    <w:basedOn w:val="Normal"/>
    <w:pPr>
      <w:spacing w:after="100" w:afterAutospacing="1" w:line="240" w:lineRule="auto"/>
    </w:pPr>
    <w:rPr>
      <w:rFonts w:ascii="Times New Roman" w:hAnsi="Times New Roman"/>
      <w:sz w:val="24"/>
      <w:szCs w:val="24"/>
    </w:rPr>
  </w:style>
  <w:style w:type="paragraph" w:styleId="ListParagraph">
    <w:name w:val="List Paragraph"/>
    <w:basedOn w:val="Normal"/>
    <w:uiPriority w:val="34"/>
    <w:qFormat/>
    <w:pPr>
      <w:ind w:left="720"/>
      <w:contextualSpacing/>
    </w:pPr>
  </w:style>
  <w:style w:type="paragraph" w:styleId="NoSpacing">
    <w:name w:val="No Spacing"/>
    <w:basedOn w:val="Normal"/>
    <w:uiPriority w:val="1"/>
    <w:qFormat/>
    <w:pPr>
      <w:spacing w:before="0" w:beforeAutospacing="0" w:after="0" w:line="240" w:lineRule="auto"/>
    </w:pPr>
  </w:style>
  <w:style w:type="character" w:customStyle="1" w:styleId="15">
    <w:name w:val="15"/>
    <w:basedOn w:val="DefaultParagraphFont"/>
    <w:rPr>
      <w:rFonts w:ascii="Calibri" w:hAnsi="Calibri" w:cs="Calibri" w:hint="default"/>
    </w:rPr>
  </w:style>
  <w:style w:type="character" w:customStyle="1" w:styleId="16">
    <w:name w:val="16"/>
    <w:basedOn w:val="DefaultParagraphFont"/>
    <w:rPr>
      <w:rFonts w:ascii="Calibri" w:hAnsi="Calibri" w:cs="Calibri" w:hint="default"/>
    </w:rPr>
  </w:style>
  <w:style w:type="character" w:customStyle="1" w:styleId="UnresolvedMention1">
    <w:name w:val="Unresolved Mention1"/>
    <w:basedOn w:val="DefaultParagraphFont"/>
    <w:uiPriority w:val="99"/>
    <w:semiHidden/>
    <w:unhideWhenUsed/>
    <w:rPr>
      <w:color w:val="605E5C"/>
      <w:shd w:val="clear" w:color="auto" w:fill="E1DFDD"/>
    </w:rPr>
  </w:style>
  <w:style w:type="paragraph" w:customStyle="1" w:styleId="TOCHeading1">
    <w:name w:val="TOC Heading1"/>
    <w:basedOn w:val="Heading1"/>
    <w:next w:val="Normal"/>
    <w:uiPriority w:val="39"/>
    <w:unhideWhenUsed/>
    <w:qFormat/>
    <w:pPr>
      <w:spacing w:before="240" w:beforeAutospacing="0" w:line="259" w:lineRule="auto"/>
      <w:jc w:val="left"/>
      <w:outlineLvl w:val="9"/>
    </w:pPr>
    <w:rPr>
      <w:rFonts w:asciiTheme="majorHAnsi" w:hAnsiTheme="majorHAnsi"/>
      <w:b w:val="0"/>
      <w:color w:val="2F5496" w:themeColor="accent1" w:themeShade="BF"/>
    </w:rPr>
  </w:style>
  <w:style w:type="character" w:styleId="PlaceholderText">
    <w:name w:val="Placeholder Text"/>
    <w:basedOn w:val="DefaultParagraphFont"/>
    <w:uiPriority w:val="99"/>
    <w:semiHidden/>
    <w:rPr>
      <w:color w:val="808080"/>
    </w:rPr>
  </w:style>
  <w:style w:type="character" w:customStyle="1" w:styleId="UnresolvedMention2">
    <w:name w:val="Unresolved Mention2"/>
    <w:basedOn w:val="DefaultParagraphFont"/>
    <w:uiPriority w:val="99"/>
    <w:semiHidden/>
    <w:unhideWhenUsed/>
    <w:rsid w:val="00ED21EF"/>
    <w:rPr>
      <w:color w:val="605E5C"/>
      <w:shd w:val="clear" w:color="auto" w:fill="E1DFDD"/>
    </w:rPr>
  </w:style>
  <w:style w:type="paragraph" w:styleId="NormalWeb">
    <w:name w:val="Normal (Web)"/>
    <w:basedOn w:val="Normal"/>
    <w:uiPriority w:val="99"/>
    <w:unhideWhenUsed/>
    <w:rsid w:val="00E773C3"/>
    <w:pPr>
      <w:spacing w:after="100" w:afterAutospacing="1" w:line="240" w:lineRule="auto"/>
    </w:pPr>
    <w:rPr>
      <w:rFonts w:ascii="Times New Roman" w:hAnsi="Times New Roman"/>
      <w:sz w:val="24"/>
      <w:szCs w:val="24"/>
    </w:rPr>
  </w:style>
  <w:style w:type="paragraph" w:styleId="TOCHeading">
    <w:name w:val="TOC Heading"/>
    <w:basedOn w:val="Heading1"/>
    <w:next w:val="Normal"/>
    <w:uiPriority w:val="39"/>
    <w:unhideWhenUsed/>
    <w:qFormat/>
    <w:rsid w:val="006510A8"/>
    <w:pPr>
      <w:spacing w:before="240" w:beforeAutospacing="0" w:line="259" w:lineRule="auto"/>
      <w:jc w:val="left"/>
      <w:outlineLvl w:val="9"/>
    </w:pPr>
    <w:rPr>
      <w:rFonts w:asciiTheme="majorHAnsi" w:hAnsiTheme="majorHAnsi"/>
      <w:b w:val="0"/>
      <w:color w:val="2F5496" w:themeColor="accent1" w:themeShade="BF"/>
    </w:rPr>
  </w:style>
  <w:style w:type="character" w:styleId="FollowedHyperlink">
    <w:name w:val="FollowedHyperlink"/>
    <w:basedOn w:val="DefaultParagraphFont"/>
    <w:uiPriority w:val="99"/>
    <w:semiHidden/>
    <w:unhideWhenUsed/>
    <w:rsid w:val="001024B7"/>
    <w:rPr>
      <w:color w:val="954F72" w:themeColor="followedHyperlink"/>
      <w:u w:val="single"/>
    </w:rPr>
  </w:style>
  <w:style w:type="paragraph" w:styleId="TOC4">
    <w:name w:val="toc 4"/>
    <w:basedOn w:val="Normal"/>
    <w:next w:val="Normal"/>
    <w:autoRedefine/>
    <w:uiPriority w:val="39"/>
    <w:unhideWhenUsed/>
    <w:rsid w:val="001B7341"/>
    <w:pPr>
      <w:spacing w:after="100"/>
      <w:ind w:left="660"/>
    </w:pPr>
    <w:rPr>
      <w:rFonts w:ascii="Times New Roman" w:hAnsi="Times New Roman"/>
      <w:sz w:val="24"/>
    </w:rPr>
  </w:style>
  <w:style w:type="paragraph" w:styleId="TOC5">
    <w:name w:val="toc 5"/>
    <w:basedOn w:val="Normal"/>
    <w:next w:val="Normal"/>
    <w:autoRedefine/>
    <w:uiPriority w:val="39"/>
    <w:unhideWhenUsed/>
    <w:rsid w:val="001B7341"/>
    <w:pPr>
      <w:spacing w:after="100"/>
      <w:ind w:left="880"/>
    </w:pPr>
    <w:rPr>
      <w:rFonts w:ascii="Times New Roman" w:hAnsi="Times New Roman"/>
      <w:sz w:val="24"/>
    </w:rPr>
  </w:style>
  <w:style w:type="paragraph" w:styleId="TOC6">
    <w:name w:val="toc 6"/>
    <w:basedOn w:val="Normal"/>
    <w:next w:val="Normal"/>
    <w:autoRedefine/>
    <w:uiPriority w:val="39"/>
    <w:unhideWhenUsed/>
    <w:rsid w:val="001B7341"/>
    <w:pPr>
      <w:spacing w:after="100"/>
      <w:ind w:left="1100"/>
    </w:pPr>
    <w:rPr>
      <w:rFonts w:ascii="Times New Roman" w:hAnsi="Times New Roman"/>
      <w:sz w:val="24"/>
    </w:rPr>
  </w:style>
  <w:style w:type="paragraph" w:styleId="Caption">
    <w:name w:val="caption"/>
    <w:basedOn w:val="Normal"/>
    <w:next w:val="Normal"/>
    <w:uiPriority w:val="35"/>
    <w:unhideWhenUsed/>
    <w:qFormat/>
    <w:rsid w:val="00CE3669"/>
    <w:pPr>
      <w:spacing w:before="0" w:line="240" w:lineRule="auto"/>
    </w:pPr>
    <w:rPr>
      <w:i/>
      <w:iCs/>
      <w:color w:val="44546A" w:themeColor="text2"/>
      <w:sz w:val="18"/>
      <w:szCs w:val="18"/>
    </w:rPr>
  </w:style>
  <w:style w:type="paragraph" w:styleId="TableofFigures">
    <w:name w:val="table of figures"/>
    <w:basedOn w:val="Normal"/>
    <w:next w:val="Normal"/>
    <w:uiPriority w:val="99"/>
    <w:unhideWhenUsed/>
    <w:rsid w:val="0070586D"/>
    <w:pPr>
      <w:spacing w:after="0"/>
    </w:pPr>
  </w:style>
  <w:style w:type="paragraph" w:styleId="TOC7">
    <w:name w:val="toc 7"/>
    <w:basedOn w:val="Normal"/>
    <w:next w:val="Normal"/>
    <w:autoRedefine/>
    <w:uiPriority w:val="39"/>
    <w:unhideWhenUsed/>
    <w:rsid w:val="00D75F83"/>
    <w:pPr>
      <w:spacing w:before="0" w:beforeAutospacing="0" w:after="100" w:line="259" w:lineRule="auto"/>
      <w:ind w:left="1320"/>
    </w:pPr>
    <w:rPr>
      <w:rFonts w:asciiTheme="minorHAnsi" w:eastAsiaTheme="minorEastAsia" w:hAnsiTheme="minorHAnsi" w:cstheme="minorBidi"/>
    </w:rPr>
  </w:style>
  <w:style w:type="paragraph" w:styleId="TOC8">
    <w:name w:val="toc 8"/>
    <w:basedOn w:val="Normal"/>
    <w:next w:val="Normal"/>
    <w:autoRedefine/>
    <w:uiPriority w:val="39"/>
    <w:unhideWhenUsed/>
    <w:rsid w:val="00D75F83"/>
    <w:pPr>
      <w:spacing w:before="0" w:beforeAutospacing="0" w:after="100" w:line="259" w:lineRule="auto"/>
      <w:ind w:left="1540"/>
    </w:pPr>
    <w:rPr>
      <w:rFonts w:asciiTheme="minorHAnsi" w:eastAsiaTheme="minorEastAsia" w:hAnsiTheme="minorHAnsi" w:cstheme="minorBidi"/>
    </w:rPr>
  </w:style>
  <w:style w:type="paragraph" w:styleId="TOC9">
    <w:name w:val="toc 9"/>
    <w:basedOn w:val="Normal"/>
    <w:next w:val="Normal"/>
    <w:autoRedefine/>
    <w:uiPriority w:val="39"/>
    <w:unhideWhenUsed/>
    <w:rsid w:val="00D75F83"/>
    <w:pPr>
      <w:spacing w:before="0" w:beforeAutospacing="0" w:after="100" w:line="259" w:lineRule="auto"/>
      <w:ind w:left="1760"/>
    </w:pPr>
    <w:rPr>
      <w:rFonts w:asciiTheme="minorHAnsi" w:eastAsiaTheme="minorEastAsia" w:hAnsiTheme="minorHAnsi" w:cstheme="minorBidi"/>
    </w:rPr>
  </w:style>
  <w:style w:type="character" w:customStyle="1" w:styleId="UnresolvedMention">
    <w:name w:val="Unresolved Mention"/>
    <w:basedOn w:val="DefaultParagraphFont"/>
    <w:uiPriority w:val="99"/>
    <w:semiHidden/>
    <w:unhideWhenUsed/>
    <w:rsid w:val="00D75F8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17854">
      <w:bodyDiv w:val="1"/>
      <w:marLeft w:val="0"/>
      <w:marRight w:val="0"/>
      <w:marTop w:val="0"/>
      <w:marBottom w:val="0"/>
      <w:divBdr>
        <w:top w:val="none" w:sz="0" w:space="0" w:color="auto"/>
        <w:left w:val="none" w:sz="0" w:space="0" w:color="auto"/>
        <w:bottom w:val="none" w:sz="0" w:space="0" w:color="auto"/>
        <w:right w:val="none" w:sz="0" w:space="0" w:color="auto"/>
      </w:divBdr>
    </w:div>
    <w:div w:id="35354827">
      <w:bodyDiv w:val="1"/>
      <w:marLeft w:val="0"/>
      <w:marRight w:val="0"/>
      <w:marTop w:val="0"/>
      <w:marBottom w:val="0"/>
      <w:divBdr>
        <w:top w:val="none" w:sz="0" w:space="0" w:color="auto"/>
        <w:left w:val="none" w:sz="0" w:space="0" w:color="auto"/>
        <w:bottom w:val="none" w:sz="0" w:space="0" w:color="auto"/>
        <w:right w:val="none" w:sz="0" w:space="0" w:color="auto"/>
      </w:divBdr>
    </w:div>
    <w:div w:id="58746585">
      <w:bodyDiv w:val="1"/>
      <w:marLeft w:val="0"/>
      <w:marRight w:val="0"/>
      <w:marTop w:val="0"/>
      <w:marBottom w:val="0"/>
      <w:divBdr>
        <w:top w:val="none" w:sz="0" w:space="0" w:color="auto"/>
        <w:left w:val="none" w:sz="0" w:space="0" w:color="auto"/>
        <w:bottom w:val="none" w:sz="0" w:space="0" w:color="auto"/>
        <w:right w:val="none" w:sz="0" w:space="0" w:color="auto"/>
      </w:divBdr>
    </w:div>
    <w:div w:id="62916854">
      <w:bodyDiv w:val="1"/>
      <w:marLeft w:val="0"/>
      <w:marRight w:val="0"/>
      <w:marTop w:val="0"/>
      <w:marBottom w:val="0"/>
      <w:divBdr>
        <w:top w:val="none" w:sz="0" w:space="0" w:color="auto"/>
        <w:left w:val="none" w:sz="0" w:space="0" w:color="auto"/>
        <w:bottom w:val="none" w:sz="0" w:space="0" w:color="auto"/>
        <w:right w:val="none" w:sz="0" w:space="0" w:color="auto"/>
      </w:divBdr>
    </w:div>
    <w:div w:id="69500365">
      <w:bodyDiv w:val="1"/>
      <w:marLeft w:val="0"/>
      <w:marRight w:val="0"/>
      <w:marTop w:val="0"/>
      <w:marBottom w:val="0"/>
      <w:divBdr>
        <w:top w:val="none" w:sz="0" w:space="0" w:color="auto"/>
        <w:left w:val="none" w:sz="0" w:space="0" w:color="auto"/>
        <w:bottom w:val="none" w:sz="0" w:space="0" w:color="auto"/>
        <w:right w:val="none" w:sz="0" w:space="0" w:color="auto"/>
      </w:divBdr>
    </w:div>
    <w:div w:id="118690875">
      <w:bodyDiv w:val="1"/>
      <w:marLeft w:val="0"/>
      <w:marRight w:val="0"/>
      <w:marTop w:val="0"/>
      <w:marBottom w:val="0"/>
      <w:divBdr>
        <w:top w:val="none" w:sz="0" w:space="0" w:color="auto"/>
        <w:left w:val="none" w:sz="0" w:space="0" w:color="auto"/>
        <w:bottom w:val="none" w:sz="0" w:space="0" w:color="auto"/>
        <w:right w:val="none" w:sz="0" w:space="0" w:color="auto"/>
      </w:divBdr>
    </w:div>
    <w:div w:id="138350307">
      <w:bodyDiv w:val="1"/>
      <w:marLeft w:val="0"/>
      <w:marRight w:val="0"/>
      <w:marTop w:val="0"/>
      <w:marBottom w:val="0"/>
      <w:divBdr>
        <w:top w:val="none" w:sz="0" w:space="0" w:color="auto"/>
        <w:left w:val="none" w:sz="0" w:space="0" w:color="auto"/>
        <w:bottom w:val="none" w:sz="0" w:space="0" w:color="auto"/>
        <w:right w:val="none" w:sz="0" w:space="0" w:color="auto"/>
      </w:divBdr>
    </w:div>
    <w:div w:id="165750566">
      <w:bodyDiv w:val="1"/>
      <w:marLeft w:val="0"/>
      <w:marRight w:val="0"/>
      <w:marTop w:val="0"/>
      <w:marBottom w:val="0"/>
      <w:divBdr>
        <w:top w:val="none" w:sz="0" w:space="0" w:color="auto"/>
        <w:left w:val="none" w:sz="0" w:space="0" w:color="auto"/>
        <w:bottom w:val="none" w:sz="0" w:space="0" w:color="auto"/>
        <w:right w:val="none" w:sz="0" w:space="0" w:color="auto"/>
      </w:divBdr>
    </w:div>
    <w:div w:id="190849565">
      <w:bodyDiv w:val="1"/>
      <w:marLeft w:val="0"/>
      <w:marRight w:val="0"/>
      <w:marTop w:val="0"/>
      <w:marBottom w:val="0"/>
      <w:divBdr>
        <w:top w:val="none" w:sz="0" w:space="0" w:color="auto"/>
        <w:left w:val="none" w:sz="0" w:space="0" w:color="auto"/>
        <w:bottom w:val="none" w:sz="0" w:space="0" w:color="auto"/>
        <w:right w:val="none" w:sz="0" w:space="0" w:color="auto"/>
      </w:divBdr>
    </w:div>
    <w:div w:id="199172359">
      <w:bodyDiv w:val="1"/>
      <w:marLeft w:val="0"/>
      <w:marRight w:val="0"/>
      <w:marTop w:val="0"/>
      <w:marBottom w:val="0"/>
      <w:divBdr>
        <w:top w:val="none" w:sz="0" w:space="0" w:color="auto"/>
        <w:left w:val="none" w:sz="0" w:space="0" w:color="auto"/>
        <w:bottom w:val="none" w:sz="0" w:space="0" w:color="auto"/>
        <w:right w:val="none" w:sz="0" w:space="0" w:color="auto"/>
      </w:divBdr>
    </w:div>
    <w:div w:id="306084493">
      <w:bodyDiv w:val="1"/>
      <w:marLeft w:val="0"/>
      <w:marRight w:val="0"/>
      <w:marTop w:val="0"/>
      <w:marBottom w:val="0"/>
      <w:divBdr>
        <w:top w:val="none" w:sz="0" w:space="0" w:color="auto"/>
        <w:left w:val="none" w:sz="0" w:space="0" w:color="auto"/>
        <w:bottom w:val="none" w:sz="0" w:space="0" w:color="auto"/>
        <w:right w:val="none" w:sz="0" w:space="0" w:color="auto"/>
      </w:divBdr>
    </w:div>
    <w:div w:id="341206712">
      <w:bodyDiv w:val="1"/>
      <w:marLeft w:val="0"/>
      <w:marRight w:val="0"/>
      <w:marTop w:val="0"/>
      <w:marBottom w:val="0"/>
      <w:divBdr>
        <w:top w:val="none" w:sz="0" w:space="0" w:color="auto"/>
        <w:left w:val="none" w:sz="0" w:space="0" w:color="auto"/>
        <w:bottom w:val="none" w:sz="0" w:space="0" w:color="auto"/>
        <w:right w:val="none" w:sz="0" w:space="0" w:color="auto"/>
      </w:divBdr>
    </w:div>
    <w:div w:id="359745725">
      <w:bodyDiv w:val="1"/>
      <w:marLeft w:val="0"/>
      <w:marRight w:val="0"/>
      <w:marTop w:val="0"/>
      <w:marBottom w:val="0"/>
      <w:divBdr>
        <w:top w:val="none" w:sz="0" w:space="0" w:color="auto"/>
        <w:left w:val="none" w:sz="0" w:space="0" w:color="auto"/>
        <w:bottom w:val="none" w:sz="0" w:space="0" w:color="auto"/>
        <w:right w:val="none" w:sz="0" w:space="0" w:color="auto"/>
      </w:divBdr>
    </w:div>
    <w:div w:id="404106530">
      <w:bodyDiv w:val="1"/>
      <w:marLeft w:val="0"/>
      <w:marRight w:val="0"/>
      <w:marTop w:val="0"/>
      <w:marBottom w:val="0"/>
      <w:divBdr>
        <w:top w:val="none" w:sz="0" w:space="0" w:color="auto"/>
        <w:left w:val="none" w:sz="0" w:space="0" w:color="auto"/>
        <w:bottom w:val="none" w:sz="0" w:space="0" w:color="auto"/>
        <w:right w:val="none" w:sz="0" w:space="0" w:color="auto"/>
      </w:divBdr>
    </w:div>
    <w:div w:id="414673290">
      <w:bodyDiv w:val="1"/>
      <w:marLeft w:val="0"/>
      <w:marRight w:val="0"/>
      <w:marTop w:val="0"/>
      <w:marBottom w:val="0"/>
      <w:divBdr>
        <w:top w:val="none" w:sz="0" w:space="0" w:color="auto"/>
        <w:left w:val="none" w:sz="0" w:space="0" w:color="auto"/>
        <w:bottom w:val="none" w:sz="0" w:space="0" w:color="auto"/>
        <w:right w:val="none" w:sz="0" w:space="0" w:color="auto"/>
      </w:divBdr>
    </w:div>
    <w:div w:id="432434909">
      <w:bodyDiv w:val="1"/>
      <w:marLeft w:val="0"/>
      <w:marRight w:val="0"/>
      <w:marTop w:val="0"/>
      <w:marBottom w:val="0"/>
      <w:divBdr>
        <w:top w:val="none" w:sz="0" w:space="0" w:color="auto"/>
        <w:left w:val="none" w:sz="0" w:space="0" w:color="auto"/>
        <w:bottom w:val="none" w:sz="0" w:space="0" w:color="auto"/>
        <w:right w:val="none" w:sz="0" w:space="0" w:color="auto"/>
      </w:divBdr>
    </w:div>
    <w:div w:id="439685392">
      <w:bodyDiv w:val="1"/>
      <w:marLeft w:val="0"/>
      <w:marRight w:val="0"/>
      <w:marTop w:val="0"/>
      <w:marBottom w:val="0"/>
      <w:divBdr>
        <w:top w:val="none" w:sz="0" w:space="0" w:color="auto"/>
        <w:left w:val="none" w:sz="0" w:space="0" w:color="auto"/>
        <w:bottom w:val="none" w:sz="0" w:space="0" w:color="auto"/>
        <w:right w:val="none" w:sz="0" w:space="0" w:color="auto"/>
      </w:divBdr>
    </w:div>
    <w:div w:id="523984598">
      <w:bodyDiv w:val="1"/>
      <w:marLeft w:val="0"/>
      <w:marRight w:val="0"/>
      <w:marTop w:val="0"/>
      <w:marBottom w:val="0"/>
      <w:divBdr>
        <w:top w:val="none" w:sz="0" w:space="0" w:color="auto"/>
        <w:left w:val="none" w:sz="0" w:space="0" w:color="auto"/>
        <w:bottom w:val="none" w:sz="0" w:space="0" w:color="auto"/>
        <w:right w:val="none" w:sz="0" w:space="0" w:color="auto"/>
      </w:divBdr>
    </w:div>
    <w:div w:id="549076549">
      <w:bodyDiv w:val="1"/>
      <w:marLeft w:val="0"/>
      <w:marRight w:val="0"/>
      <w:marTop w:val="0"/>
      <w:marBottom w:val="0"/>
      <w:divBdr>
        <w:top w:val="none" w:sz="0" w:space="0" w:color="auto"/>
        <w:left w:val="none" w:sz="0" w:space="0" w:color="auto"/>
        <w:bottom w:val="none" w:sz="0" w:space="0" w:color="auto"/>
        <w:right w:val="none" w:sz="0" w:space="0" w:color="auto"/>
      </w:divBdr>
    </w:div>
    <w:div w:id="559941456">
      <w:bodyDiv w:val="1"/>
      <w:marLeft w:val="0"/>
      <w:marRight w:val="0"/>
      <w:marTop w:val="0"/>
      <w:marBottom w:val="0"/>
      <w:divBdr>
        <w:top w:val="none" w:sz="0" w:space="0" w:color="auto"/>
        <w:left w:val="none" w:sz="0" w:space="0" w:color="auto"/>
        <w:bottom w:val="none" w:sz="0" w:space="0" w:color="auto"/>
        <w:right w:val="none" w:sz="0" w:space="0" w:color="auto"/>
      </w:divBdr>
    </w:div>
    <w:div w:id="582685954">
      <w:bodyDiv w:val="1"/>
      <w:marLeft w:val="0"/>
      <w:marRight w:val="0"/>
      <w:marTop w:val="0"/>
      <w:marBottom w:val="0"/>
      <w:divBdr>
        <w:top w:val="none" w:sz="0" w:space="0" w:color="auto"/>
        <w:left w:val="none" w:sz="0" w:space="0" w:color="auto"/>
        <w:bottom w:val="none" w:sz="0" w:space="0" w:color="auto"/>
        <w:right w:val="none" w:sz="0" w:space="0" w:color="auto"/>
      </w:divBdr>
    </w:div>
    <w:div w:id="622923819">
      <w:bodyDiv w:val="1"/>
      <w:marLeft w:val="0"/>
      <w:marRight w:val="0"/>
      <w:marTop w:val="0"/>
      <w:marBottom w:val="0"/>
      <w:divBdr>
        <w:top w:val="none" w:sz="0" w:space="0" w:color="auto"/>
        <w:left w:val="none" w:sz="0" w:space="0" w:color="auto"/>
        <w:bottom w:val="none" w:sz="0" w:space="0" w:color="auto"/>
        <w:right w:val="none" w:sz="0" w:space="0" w:color="auto"/>
      </w:divBdr>
      <w:divsChild>
        <w:div w:id="47147545">
          <w:marLeft w:val="480"/>
          <w:marRight w:val="0"/>
          <w:marTop w:val="0"/>
          <w:marBottom w:val="0"/>
          <w:divBdr>
            <w:top w:val="none" w:sz="0" w:space="0" w:color="auto"/>
            <w:left w:val="none" w:sz="0" w:space="0" w:color="auto"/>
            <w:bottom w:val="none" w:sz="0" w:space="0" w:color="auto"/>
            <w:right w:val="none" w:sz="0" w:space="0" w:color="auto"/>
          </w:divBdr>
        </w:div>
        <w:div w:id="1487697786">
          <w:marLeft w:val="480"/>
          <w:marRight w:val="0"/>
          <w:marTop w:val="0"/>
          <w:marBottom w:val="0"/>
          <w:divBdr>
            <w:top w:val="none" w:sz="0" w:space="0" w:color="auto"/>
            <w:left w:val="none" w:sz="0" w:space="0" w:color="auto"/>
            <w:bottom w:val="none" w:sz="0" w:space="0" w:color="auto"/>
            <w:right w:val="none" w:sz="0" w:space="0" w:color="auto"/>
          </w:divBdr>
        </w:div>
        <w:div w:id="565840175">
          <w:marLeft w:val="480"/>
          <w:marRight w:val="0"/>
          <w:marTop w:val="0"/>
          <w:marBottom w:val="0"/>
          <w:divBdr>
            <w:top w:val="none" w:sz="0" w:space="0" w:color="auto"/>
            <w:left w:val="none" w:sz="0" w:space="0" w:color="auto"/>
            <w:bottom w:val="none" w:sz="0" w:space="0" w:color="auto"/>
            <w:right w:val="none" w:sz="0" w:space="0" w:color="auto"/>
          </w:divBdr>
        </w:div>
        <w:div w:id="1519075230">
          <w:marLeft w:val="480"/>
          <w:marRight w:val="0"/>
          <w:marTop w:val="0"/>
          <w:marBottom w:val="0"/>
          <w:divBdr>
            <w:top w:val="none" w:sz="0" w:space="0" w:color="auto"/>
            <w:left w:val="none" w:sz="0" w:space="0" w:color="auto"/>
            <w:bottom w:val="none" w:sz="0" w:space="0" w:color="auto"/>
            <w:right w:val="none" w:sz="0" w:space="0" w:color="auto"/>
          </w:divBdr>
        </w:div>
        <w:div w:id="880242910">
          <w:marLeft w:val="480"/>
          <w:marRight w:val="0"/>
          <w:marTop w:val="0"/>
          <w:marBottom w:val="0"/>
          <w:divBdr>
            <w:top w:val="none" w:sz="0" w:space="0" w:color="auto"/>
            <w:left w:val="none" w:sz="0" w:space="0" w:color="auto"/>
            <w:bottom w:val="none" w:sz="0" w:space="0" w:color="auto"/>
            <w:right w:val="none" w:sz="0" w:space="0" w:color="auto"/>
          </w:divBdr>
        </w:div>
        <w:div w:id="652413375">
          <w:marLeft w:val="480"/>
          <w:marRight w:val="0"/>
          <w:marTop w:val="0"/>
          <w:marBottom w:val="0"/>
          <w:divBdr>
            <w:top w:val="none" w:sz="0" w:space="0" w:color="auto"/>
            <w:left w:val="none" w:sz="0" w:space="0" w:color="auto"/>
            <w:bottom w:val="none" w:sz="0" w:space="0" w:color="auto"/>
            <w:right w:val="none" w:sz="0" w:space="0" w:color="auto"/>
          </w:divBdr>
        </w:div>
        <w:div w:id="1790586262">
          <w:marLeft w:val="480"/>
          <w:marRight w:val="0"/>
          <w:marTop w:val="0"/>
          <w:marBottom w:val="0"/>
          <w:divBdr>
            <w:top w:val="none" w:sz="0" w:space="0" w:color="auto"/>
            <w:left w:val="none" w:sz="0" w:space="0" w:color="auto"/>
            <w:bottom w:val="none" w:sz="0" w:space="0" w:color="auto"/>
            <w:right w:val="none" w:sz="0" w:space="0" w:color="auto"/>
          </w:divBdr>
        </w:div>
        <w:div w:id="1701466607">
          <w:marLeft w:val="480"/>
          <w:marRight w:val="0"/>
          <w:marTop w:val="0"/>
          <w:marBottom w:val="0"/>
          <w:divBdr>
            <w:top w:val="none" w:sz="0" w:space="0" w:color="auto"/>
            <w:left w:val="none" w:sz="0" w:space="0" w:color="auto"/>
            <w:bottom w:val="none" w:sz="0" w:space="0" w:color="auto"/>
            <w:right w:val="none" w:sz="0" w:space="0" w:color="auto"/>
          </w:divBdr>
        </w:div>
        <w:div w:id="1843274025">
          <w:marLeft w:val="480"/>
          <w:marRight w:val="0"/>
          <w:marTop w:val="0"/>
          <w:marBottom w:val="0"/>
          <w:divBdr>
            <w:top w:val="none" w:sz="0" w:space="0" w:color="auto"/>
            <w:left w:val="none" w:sz="0" w:space="0" w:color="auto"/>
            <w:bottom w:val="none" w:sz="0" w:space="0" w:color="auto"/>
            <w:right w:val="none" w:sz="0" w:space="0" w:color="auto"/>
          </w:divBdr>
        </w:div>
        <w:div w:id="970131305">
          <w:marLeft w:val="480"/>
          <w:marRight w:val="0"/>
          <w:marTop w:val="0"/>
          <w:marBottom w:val="0"/>
          <w:divBdr>
            <w:top w:val="none" w:sz="0" w:space="0" w:color="auto"/>
            <w:left w:val="none" w:sz="0" w:space="0" w:color="auto"/>
            <w:bottom w:val="none" w:sz="0" w:space="0" w:color="auto"/>
            <w:right w:val="none" w:sz="0" w:space="0" w:color="auto"/>
          </w:divBdr>
        </w:div>
        <w:div w:id="1532568056">
          <w:marLeft w:val="480"/>
          <w:marRight w:val="0"/>
          <w:marTop w:val="0"/>
          <w:marBottom w:val="0"/>
          <w:divBdr>
            <w:top w:val="none" w:sz="0" w:space="0" w:color="auto"/>
            <w:left w:val="none" w:sz="0" w:space="0" w:color="auto"/>
            <w:bottom w:val="none" w:sz="0" w:space="0" w:color="auto"/>
            <w:right w:val="none" w:sz="0" w:space="0" w:color="auto"/>
          </w:divBdr>
        </w:div>
        <w:div w:id="962728900">
          <w:marLeft w:val="480"/>
          <w:marRight w:val="0"/>
          <w:marTop w:val="0"/>
          <w:marBottom w:val="0"/>
          <w:divBdr>
            <w:top w:val="none" w:sz="0" w:space="0" w:color="auto"/>
            <w:left w:val="none" w:sz="0" w:space="0" w:color="auto"/>
            <w:bottom w:val="none" w:sz="0" w:space="0" w:color="auto"/>
            <w:right w:val="none" w:sz="0" w:space="0" w:color="auto"/>
          </w:divBdr>
        </w:div>
        <w:div w:id="1545020022">
          <w:marLeft w:val="480"/>
          <w:marRight w:val="0"/>
          <w:marTop w:val="0"/>
          <w:marBottom w:val="0"/>
          <w:divBdr>
            <w:top w:val="none" w:sz="0" w:space="0" w:color="auto"/>
            <w:left w:val="none" w:sz="0" w:space="0" w:color="auto"/>
            <w:bottom w:val="none" w:sz="0" w:space="0" w:color="auto"/>
            <w:right w:val="none" w:sz="0" w:space="0" w:color="auto"/>
          </w:divBdr>
        </w:div>
      </w:divsChild>
    </w:div>
    <w:div w:id="693650580">
      <w:bodyDiv w:val="1"/>
      <w:marLeft w:val="0"/>
      <w:marRight w:val="0"/>
      <w:marTop w:val="0"/>
      <w:marBottom w:val="0"/>
      <w:divBdr>
        <w:top w:val="none" w:sz="0" w:space="0" w:color="auto"/>
        <w:left w:val="none" w:sz="0" w:space="0" w:color="auto"/>
        <w:bottom w:val="none" w:sz="0" w:space="0" w:color="auto"/>
        <w:right w:val="none" w:sz="0" w:space="0" w:color="auto"/>
      </w:divBdr>
    </w:div>
    <w:div w:id="740366762">
      <w:bodyDiv w:val="1"/>
      <w:marLeft w:val="0"/>
      <w:marRight w:val="0"/>
      <w:marTop w:val="0"/>
      <w:marBottom w:val="0"/>
      <w:divBdr>
        <w:top w:val="none" w:sz="0" w:space="0" w:color="auto"/>
        <w:left w:val="none" w:sz="0" w:space="0" w:color="auto"/>
        <w:bottom w:val="none" w:sz="0" w:space="0" w:color="auto"/>
        <w:right w:val="none" w:sz="0" w:space="0" w:color="auto"/>
      </w:divBdr>
    </w:div>
    <w:div w:id="741951319">
      <w:bodyDiv w:val="1"/>
      <w:marLeft w:val="0"/>
      <w:marRight w:val="0"/>
      <w:marTop w:val="0"/>
      <w:marBottom w:val="0"/>
      <w:divBdr>
        <w:top w:val="none" w:sz="0" w:space="0" w:color="auto"/>
        <w:left w:val="none" w:sz="0" w:space="0" w:color="auto"/>
        <w:bottom w:val="none" w:sz="0" w:space="0" w:color="auto"/>
        <w:right w:val="none" w:sz="0" w:space="0" w:color="auto"/>
      </w:divBdr>
    </w:div>
    <w:div w:id="805398041">
      <w:bodyDiv w:val="1"/>
      <w:marLeft w:val="0"/>
      <w:marRight w:val="0"/>
      <w:marTop w:val="0"/>
      <w:marBottom w:val="0"/>
      <w:divBdr>
        <w:top w:val="none" w:sz="0" w:space="0" w:color="auto"/>
        <w:left w:val="none" w:sz="0" w:space="0" w:color="auto"/>
        <w:bottom w:val="none" w:sz="0" w:space="0" w:color="auto"/>
        <w:right w:val="none" w:sz="0" w:space="0" w:color="auto"/>
      </w:divBdr>
    </w:div>
    <w:div w:id="834684295">
      <w:bodyDiv w:val="1"/>
      <w:marLeft w:val="0"/>
      <w:marRight w:val="0"/>
      <w:marTop w:val="0"/>
      <w:marBottom w:val="0"/>
      <w:divBdr>
        <w:top w:val="none" w:sz="0" w:space="0" w:color="auto"/>
        <w:left w:val="none" w:sz="0" w:space="0" w:color="auto"/>
        <w:bottom w:val="none" w:sz="0" w:space="0" w:color="auto"/>
        <w:right w:val="none" w:sz="0" w:space="0" w:color="auto"/>
      </w:divBdr>
    </w:div>
    <w:div w:id="864444207">
      <w:bodyDiv w:val="1"/>
      <w:marLeft w:val="0"/>
      <w:marRight w:val="0"/>
      <w:marTop w:val="0"/>
      <w:marBottom w:val="0"/>
      <w:divBdr>
        <w:top w:val="none" w:sz="0" w:space="0" w:color="auto"/>
        <w:left w:val="none" w:sz="0" w:space="0" w:color="auto"/>
        <w:bottom w:val="none" w:sz="0" w:space="0" w:color="auto"/>
        <w:right w:val="none" w:sz="0" w:space="0" w:color="auto"/>
      </w:divBdr>
    </w:div>
    <w:div w:id="939029152">
      <w:bodyDiv w:val="1"/>
      <w:marLeft w:val="0"/>
      <w:marRight w:val="0"/>
      <w:marTop w:val="0"/>
      <w:marBottom w:val="0"/>
      <w:divBdr>
        <w:top w:val="none" w:sz="0" w:space="0" w:color="auto"/>
        <w:left w:val="none" w:sz="0" w:space="0" w:color="auto"/>
        <w:bottom w:val="none" w:sz="0" w:space="0" w:color="auto"/>
        <w:right w:val="none" w:sz="0" w:space="0" w:color="auto"/>
      </w:divBdr>
    </w:div>
    <w:div w:id="949311962">
      <w:bodyDiv w:val="1"/>
      <w:marLeft w:val="0"/>
      <w:marRight w:val="0"/>
      <w:marTop w:val="0"/>
      <w:marBottom w:val="0"/>
      <w:divBdr>
        <w:top w:val="none" w:sz="0" w:space="0" w:color="auto"/>
        <w:left w:val="none" w:sz="0" w:space="0" w:color="auto"/>
        <w:bottom w:val="none" w:sz="0" w:space="0" w:color="auto"/>
        <w:right w:val="none" w:sz="0" w:space="0" w:color="auto"/>
      </w:divBdr>
    </w:div>
    <w:div w:id="984163559">
      <w:bodyDiv w:val="1"/>
      <w:marLeft w:val="0"/>
      <w:marRight w:val="0"/>
      <w:marTop w:val="0"/>
      <w:marBottom w:val="0"/>
      <w:divBdr>
        <w:top w:val="none" w:sz="0" w:space="0" w:color="auto"/>
        <w:left w:val="none" w:sz="0" w:space="0" w:color="auto"/>
        <w:bottom w:val="none" w:sz="0" w:space="0" w:color="auto"/>
        <w:right w:val="none" w:sz="0" w:space="0" w:color="auto"/>
      </w:divBdr>
    </w:div>
    <w:div w:id="1010716479">
      <w:bodyDiv w:val="1"/>
      <w:marLeft w:val="0"/>
      <w:marRight w:val="0"/>
      <w:marTop w:val="0"/>
      <w:marBottom w:val="0"/>
      <w:divBdr>
        <w:top w:val="none" w:sz="0" w:space="0" w:color="auto"/>
        <w:left w:val="none" w:sz="0" w:space="0" w:color="auto"/>
        <w:bottom w:val="none" w:sz="0" w:space="0" w:color="auto"/>
        <w:right w:val="none" w:sz="0" w:space="0" w:color="auto"/>
      </w:divBdr>
    </w:div>
    <w:div w:id="1019505487">
      <w:bodyDiv w:val="1"/>
      <w:marLeft w:val="0"/>
      <w:marRight w:val="0"/>
      <w:marTop w:val="0"/>
      <w:marBottom w:val="0"/>
      <w:divBdr>
        <w:top w:val="none" w:sz="0" w:space="0" w:color="auto"/>
        <w:left w:val="none" w:sz="0" w:space="0" w:color="auto"/>
        <w:bottom w:val="none" w:sz="0" w:space="0" w:color="auto"/>
        <w:right w:val="none" w:sz="0" w:space="0" w:color="auto"/>
      </w:divBdr>
    </w:div>
    <w:div w:id="1054810425">
      <w:bodyDiv w:val="1"/>
      <w:marLeft w:val="0"/>
      <w:marRight w:val="0"/>
      <w:marTop w:val="0"/>
      <w:marBottom w:val="0"/>
      <w:divBdr>
        <w:top w:val="none" w:sz="0" w:space="0" w:color="auto"/>
        <w:left w:val="none" w:sz="0" w:space="0" w:color="auto"/>
        <w:bottom w:val="none" w:sz="0" w:space="0" w:color="auto"/>
        <w:right w:val="none" w:sz="0" w:space="0" w:color="auto"/>
      </w:divBdr>
    </w:div>
    <w:div w:id="1123227051">
      <w:bodyDiv w:val="1"/>
      <w:marLeft w:val="0"/>
      <w:marRight w:val="0"/>
      <w:marTop w:val="0"/>
      <w:marBottom w:val="0"/>
      <w:divBdr>
        <w:top w:val="none" w:sz="0" w:space="0" w:color="auto"/>
        <w:left w:val="none" w:sz="0" w:space="0" w:color="auto"/>
        <w:bottom w:val="none" w:sz="0" w:space="0" w:color="auto"/>
        <w:right w:val="none" w:sz="0" w:space="0" w:color="auto"/>
      </w:divBdr>
    </w:div>
    <w:div w:id="1133864387">
      <w:bodyDiv w:val="1"/>
      <w:marLeft w:val="0"/>
      <w:marRight w:val="0"/>
      <w:marTop w:val="0"/>
      <w:marBottom w:val="0"/>
      <w:divBdr>
        <w:top w:val="none" w:sz="0" w:space="0" w:color="auto"/>
        <w:left w:val="none" w:sz="0" w:space="0" w:color="auto"/>
        <w:bottom w:val="none" w:sz="0" w:space="0" w:color="auto"/>
        <w:right w:val="none" w:sz="0" w:space="0" w:color="auto"/>
      </w:divBdr>
    </w:div>
    <w:div w:id="1149327262">
      <w:bodyDiv w:val="1"/>
      <w:marLeft w:val="0"/>
      <w:marRight w:val="0"/>
      <w:marTop w:val="0"/>
      <w:marBottom w:val="0"/>
      <w:divBdr>
        <w:top w:val="none" w:sz="0" w:space="0" w:color="auto"/>
        <w:left w:val="none" w:sz="0" w:space="0" w:color="auto"/>
        <w:bottom w:val="none" w:sz="0" w:space="0" w:color="auto"/>
        <w:right w:val="none" w:sz="0" w:space="0" w:color="auto"/>
      </w:divBdr>
    </w:div>
    <w:div w:id="1199514140">
      <w:bodyDiv w:val="1"/>
      <w:marLeft w:val="0"/>
      <w:marRight w:val="0"/>
      <w:marTop w:val="0"/>
      <w:marBottom w:val="0"/>
      <w:divBdr>
        <w:top w:val="none" w:sz="0" w:space="0" w:color="auto"/>
        <w:left w:val="none" w:sz="0" w:space="0" w:color="auto"/>
        <w:bottom w:val="none" w:sz="0" w:space="0" w:color="auto"/>
        <w:right w:val="none" w:sz="0" w:space="0" w:color="auto"/>
      </w:divBdr>
    </w:div>
    <w:div w:id="1199856029">
      <w:bodyDiv w:val="1"/>
      <w:marLeft w:val="0"/>
      <w:marRight w:val="0"/>
      <w:marTop w:val="0"/>
      <w:marBottom w:val="0"/>
      <w:divBdr>
        <w:top w:val="none" w:sz="0" w:space="0" w:color="auto"/>
        <w:left w:val="none" w:sz="0" w:space="0" w:color="auto"/>
        <w:bottom w:val="none" w:sz="0" w:space="0" w:color="auto"/>
        <w:right w:val="none" w:sz="0" w:space="0" w:color="auto"/>
      </w:divBdr>
    </w:div>
    <w:div w:id="1329090950">
      <w:bodyDiv w:val="1"/>
      <w:marLeft w:val="0"/>
      <w:marRight w:val="0"/>
      <w:marTop w:val="0"/>
      <w:marBottom w:val="0"/>
      <w:divBdr>
        <w:top w:val="none" w:sz="0" w:space="0" w:color="auto"/>
        <w:left w:val="none" w:sz="0" w:space="0" w:color="auto"/>
        <w:bottom w:val="none" w:sz="0" w:space="0" w:color="auto"/>
        <w:right w:val="none" w:sz="0" w:space="0" w:color="auto"/>
      </w:divBdr>
    </w:div>
    <w:div w:id="1333022796">
      <w:bodyDiv w:val="1"/>
      <w:marLeft w:val="0"/>
      <w:marRight w:val="0"/>
      <w:marTop w:val="0"/>
      <w:marBottom w:val="0"/>
      <w:divBdr>
        <w:top w:val="none" w:sz="0" w:space="0" w:color="auto"/>
        <w:left w:val="none" w:sz="0" w:space="0" w:color="auto"/>
        <w:bottom w:val="none" w:sz="0" w:space="0" w:color="auto"/>
        <w:right w:val="none" w:sz="0" w:space="0" w:color="auto"/>
      </w:divBdr>
    </w:div>
    <w:div w:id="1338341339">
      <w:bodyDiv w:val="1"/>
      <w:marLeft w:val="0"/>
      <w:marRight w:val="0"/>
      <w:marTop w:val="0"/>
      <w:marBottom w:val="0"/>
      <w:divBdr>
        <w:top w:val="none" w:sz="0" w:space="0" w:color="auto"/>
        <w:left w:val="none" w:sz="0" w:space="0" w:color="auto"/>
        <w:bottom w:val="none" w:sz="0" w:space="0" w:color="auto"/>
        <w:right w:val="none" w:sz="0" w:space="0" w:color="auto"/>
      </w:divBdr>
      <w:divsChild>
        <w:div w:id="476921914">
          <w:marLeft w:val="0"/>
          <w:marRight w:val="0"/>
          <w:marTop w:val="0"/>
          <w:marBottom w:val="0"/>
          <w:divBdr>
            <w:top w:val="none" w:sz="0" w:space="0" w:color="auto"/>
            <w:left w:val="none" w:sz="0" w:space="0" w:color="auto"/>
            <w:bottom w:val="none" w:sz="0" w:space="0" w:color="auto"/>
            <w:right w:val="none" w:sz="0" w:space="0" w:color="auto"/>
          </w:divBdr>
        </w:div>
        <w:div w:id="105348001">
          <w:marLeft w:val="0"/>
          <w:marRight w:val="0"/>
          <w:marTop w:val="0"/>
          <w:marBottom w:val="0"/>
          <w:divBdr>
            <w:top w:val="none" w:sz="0" w:space="0" w:color="auto"/>
            <w:left w:val="none" w:sz="0" w:space="0" w:color="auto"/>
            <w:bottom w:val="none" w:sz="0" w:space="0" w:color="auto"/>
            <w:right w:val="none" w:sz="0" w:space="0" w:color="auto"/>
          </w:divBdr>
        </w:div>
        <w:div w:id="1810974923">
          <w:marLeft w:val="0"/>
          <w:marRight w:val="0"/>
          <w:marTop w:val="0"/>
          <w:marBottom w:val="0"/>
          <w:divBdr>
            <w:top w:val="none" w:sz="0" w:space="0" w:color="auto"/>
            <w:left w:val="none" w:sz="0" w:space="0" w:color="auto"/>
            <w:bottom w:val="none" w:sz="0" w:space="0" w:color="auto"/>
            <w:right w:val="none" w:sz="0" w:space="0" w:color="auto"/>
          </w:divBdr>
        </w:div>
        <w:div w:id="1118187344">
          <w:marLeft w:val="0"/>
          <w:marRight w:val="0"/>
          <w:marTop w:val="0"/>
          <w:marBottom w:val="0"/>
          <w:divBdr>
            <w:top w:val="none" w:sz="0" w:space="0" w:color="auto"/>
            <w:left w:val="none" w:sz="0" w:space="0" w:color="auto"/>
            <w:bottom w:val="none" w:sz="0" w:space="0" w:color="auto"/>
            <w:right w:val="none" w:sz="0" w:space="0" w:color="auto"/>
          </w:divBdr>
        </w:div>
        <w:div w:id="882328851">
          <w:marLeft w:val="0"/>
          <w:marRight w:val="0"/>
          <w:marTop w:val="0"/>
          <w:marBottom w:val="0"/>
          <w:divBdr>
            <w:top w:val="none" w:sz="0" w:space="0" w:color="auto"/>
            <w:left w:val="none" w:sz="0" w:space="0" w:color="auto"/>
            <w:bottom w:val="none" w:sz="0" w:space="0" w:color="auto"/>
            <w:right w:val="none" w:sz="0" w:space="0" w:color="auto"/>
          </w:divBdr>
        </w:div>
      </w:divsChild>
    </w:div>
    <w:div w:id="1350371066">
      <w:bodyDiv w:val="1"/>
      <w:marLeft w:val="0"/>
      <w:marRight w:val="0"/>
      <w:marTop w:val="0"/>
      <w:marBottom w:val="0"/>
      <w:divBdr>
        <w:top w:val="none" w:sz="0" w:space="0" w:color="auto"/>
        <w:left w:val="none" w:sz="0" w:space="0" w:color="auto"/>
        <w:bottom w:val="none" w:sz="0" w:space="0" w:color="auto"/>
        <w:right w:val="none" w:sz="0" w:space="0" w:color="auto"/>
      </w:divBdr>
    </w:div>
    <w:div w:id="1412434513">
      <w:bodyDiv w:val="1"/>
      <w:marLeft w:val="0"/>
      <w:marRight w:val="0"/>
      <w:marTop w:val="0"/>
      <w:marBottom w:val="0"/>
      <w:divBdr>
        <w:top w:val="none" w:sz="0" w:space="0" w:color="auto"/>
        <w:left w:val="none" w:sz="0" w:space="0" w:color="auto"/>
        <w:bottom w:val="none" w:sz="0" w:space="0" w:color="auto"/>
        <w:right w:val="none" w:sz="0" w:space="0" w:color="auto"/>
      </w:divBdr>
    </w:div>
    <w:div w:id="1418789816">
      <w:bodyDiv w:val="1"/>
      <w:marLeft w:val="0"/>
      <w:marRight w:val="0"/>
      <w:marTop w:val="0"/>
      <w:marBottom w:val="0"/>
      <w:divBdr>
        <w:top w:val="none" w:sz="0" w:space="0" w:color="auto"/>
        <w:left w:val="none" w:sz="0" w:space="0" w:color="auto"/>
        <w:bottom w:val="none" w:sz="0" w:space="0" w:color="auto"/>
        <w:right w:val="none" w:sz="0" w:space="0" w:color="auto"/>
      </w:divBdr>
    </w:div>
    <w:div w:id="1451850717">
      <w:bodyDiv w:val="1"/>
      <w:marLeft w:val="0"/>
      <w:marRight w:val="0"/>
      <w:marTop w:val="0"/>
      <w:marBottom w:val="0"/>
      <w:divBdr>
        <w:top w:val="none" w:sz="0" w:space="0" w:color="auto"/>
        <w:left w:val="none" w:sz="0" w:space="0" w:color="auto"/>
        <w:bottom w:val="none" w:sz="0" w:space="0" w:color="auto"/>
        <w:right w:val="none" w:sz="0" w:space="0" w:color="auto"/>
      </w:divBdr>
    </w:div>
    <w:div w:id="1470514439">
      <w:bodyDiv w:val="1"/>
      <w:marLeft w:val="0"/>
      <w:marRight w:val="0"/>
      <w:marTop w:val="0"/>
      <w:marBottom w:val="0"/>
      <w:divBdr>
        <w:top w:val="none" w:sz="0" w:space="0" w:color="auto"/>
        <w:left w:val="none" w:sz="0" w:space="0" w:color="auto"/>
        <w:bottom w:val="none" w:sz="0" w:space="0" w:color="auto"/>
        <w:right w:val="none" w:sz="0" w:space="0" w:color="auto"/>
      </w:divBdr>
    </w:div>
    <w:div w:id="1478842690">
      <w:bodyDiv w:val="1"/>
      <w:marLeft w:val="0"/>
      <w:marRight w:val="0"/>
      <w:marTop w:val="0"/>
      <w:marBottom w:val="0"/>
      <w:divBdr>
        <w:top w:val="none" w:sz="0" w:space="0" w:color="auto"/>
        <w:left w:val="none" w:sz="0" w:space="0" w:color="auto"/>
        <w:bottom w:val="none" w:sz="0" w:space="0" w:color="auto"/>
        <w:right w:val="none" w:sz="0" w:space="0" w:color="auto"/>
      </w:divBdr>
    </w:div>
    <w:div w:id="1501778392">
      <w:bodyDiv w:val="1"/>
      <w:marLeft w:val="0"/>
      <w:marRight w:val="0"/>
      <w:marTop w:val="0"/>
      <w:marBottom w:val="0"/>
      <w:divBdr>
        <w:top w:val="none" w:sz="0" w:space="0" w:color="auto"/>
        <w:left w:val="none" w:sz="0" w:space="0" w:color="auto"/>
        <w:bottom w:val="none" w:sz="0" w:space="0" w:color="auto"/>
        <w:right w:val="none" w:sz="0" w:space="0" w:color="auto"/>
      </w:divBdr>
    </w:div>
    <w:div w:id="1514613075">
      <w:bodyDiv w:val="1"/>
      <w:marLeft w:val="0"/>
      <w:marRight w:val="0"/>
      <w:marTop w:val="0"/>
      <w:marBottom w:val="0"/>
      <w:divBdr>
        <w:top w:val="none" w:sz="0" w:space="0" w:color="auto"/>
        <w:left w:val="none" w:sz="0" w:space="0" w:color="auto"/>
        <w:bottom w:val="none" w:sz="0" w:space="0" w:color="auto"/>
        <w:right w:val="none" w:sz="0" w:space="0" w:color="auto"/>
      </w:divBdr>
      <w:divsChild>
        <w:div w:id="1631474020">
          <w:marLeft w:val="480"/>
          <w:marRight w:val="0"/>
          <w:marTop w:val="0"/>
          <w:marBottom w:val="0"/>
          <w:divBdr>
            <w:top w:val="none" w:sz="0" w:space="0" w:color="auto"/>
            <w:left w:val="none" w:sz="0" w:space="0" w:color="auto"/>
            <w:bottom w:val="none" w:sz="0" w:space="0" w:color="auto"/>
            <w:right w:val="none" w:sz="0" w:space="0" w:color="auto"/>
          </w:divBdr>
        </w:div>
        <w:div w:id="140201129">
          <w:marLeft w:val="480"/>
          <w:marRight w:val="0"/>
          <w:marTop w:val="0"/>
          <w:marBottom w:val="0"/>
          <w:divBdr>
            <w:top w:val="none" w:sz="0" w:space="0" w:color="auto"/>
            <w:left w:val="none" w:sz="0" w:space="0" w:color="auto"/>
            <w:bottom w:val="none" w:sz="0" w:space="0" w:color="auto"/>
            <w:right w:val="none" w:sz="0" w:space="0" w:color="auto"/>
          </w:divBdr>
        </w:div>
        <w:div w:id="538905855">
          <w:marLeft w:val="480"/>
          <w:marRight w:val="0"/>
          <w:marTop w:val="0"/>
          <w:marBottom w:val="0"/>
          <w:divBdr>
            <w:top w:val="none" w:sz="0" w:space="0" w:color="auto"/>
            <w:left w:val="none" w:sz="0" w:space="0" w:color="auto"/>
            <w:bottom w:val="none" w:sz="0" w:space="0" w:color="auto"/>
            <w:right w:val="none" w:sz="0" w:space="0" w:color="auto"/>
          </w:divBdr>
        </w:div>
        <w:div w:id="479810840">
          <w:marLeft w:val="480"/>
          <w:marRight w:val="0"/>
          <w:marTop w:val="0"/>
          <w:marBottom w:val="0"/>
          <w:divBdr>
            <w:top w:val="none" w:sz="0" w:space="0" w:color="auto"/>
            <w:left w:val="none" w:sz="0" w:space="0" w:color="auto"/>
            <w:bottom w:val="none" w:sz="0" w:space="0" w:color="auto"/>
            <w:right w:val="none" w:sz="0" w:space="0" w:color="auto"/>
          </w:divBdr>
        </w:div>
        <w:div w:id="755126070">
          <w:marLeft w:val="480"/>
          <w:marRight w:val="0"/>
          <w:marTop w:val="0"/>
          <w:marBottom w:val="0"/>
          <w:divBdr>
            <w:top w:val="none" w:sz="0" w:space="0" w:color="auto"/>
            <w:left w:val="none" w:sz="0" w:space="0" w:color="auto"/>
            <w:bottom w:val="none" w:sz="0" w:space="0" w:color="auto"/>
            <w:right w:val="none" w:sz="0" w:space="0" w:color="auto"/>
          </w:divBdr>
        </w:div>
        <w:div w:id="1810245502">
          <w:marLeft w:val="480"/>
          <w:marRight w:val="0"/>
          <w:marTop w:val="0"/>
          <w:marBottom w:val="0"/>
          <w:divBdr>
            <w:top w:val="none" w:sz="0" w:space="0" w:color="auto"/>
            <w:left w:val="none" w:sz="0" w:space="0" w:color="auto"/>
            <w:bottom w:val="none" w:sz="0" w:space="0" w:color="auto"/>
            <w:right w:val="none" w:sz="0" w:space="0" w:color="auto"/>
          </w:divBdr>
        </w:div>
        <w:div w:id="652608526">
          <w:marLeft w:val="480"/>
          <w:marRight w:val="0"/>
          <w:marTop w:val="0"/>
          <w:marBottom w:val="0"/>
          <w:divBdr>
            <w:top w:val="none" w:sz="0" w:space="0" w:color="auto"/>
            <w:left w:val="none" w:sz="0" w:space="0" w:color="auto"/>
            <w:bottom w:val="none" w:sz="0" w:space="0" w:color="auto"/>
            <w:right w:val="none" w:sz="0" w:space="0" w:color="auto"/>
          </w:divBdr>
        </w:div>
        <w:div w:id="402340810">
          <w:marLeft w:val="480"/>
          <w:marRight w:val="0"/>
          <w:marTop w:val="0"/>
          <w:marBottom w:val="0"/>
          <w:divBdr>
            <w:top w:val="none" w:sz="0" w:space="0" w:color="auto"/>
            <w:left w:val="none" w:sz="0" w:space="0" w:color="auto"/>
            <w:bottom w:val="none" w:sz="0" w:space="0" w:color="auto"/>
            <w:right w:val="none" w:sz="0" w:space="0" w:color="auto"/>
          </w:divBdr>
        </w:div>
        <w:div w:id="1174950919">
          <w:marLeft w:val="480"/>
          <w:marRight w:val="0"/>
          <w:marTop w:val="0"/>
          <w:marBottom w:val="0"/>
          <w:divBdr>
            <w:top w:val="none" w:sz="0" w:space="0" w:color="auto"/>
            <w:left w:val="none" w:sz="0" w:space="0" w:color="auto"/>
            <w:bottom w:val="none" w:sz="0" w:space="0" w:color="auto"/>
            <w:right w:val="none" w:sz="0" w:space="0" w:color="auto"/>
          </w:divBdr>
        </w:div>
        <w:div w:id="731775110">
          <w:marLeft w:val="480"/>
          <w:marRight w:val="0"/>
          <w:marTop w:val="0"/>
          <w:marBottom w:val="0"/>
          <w:divBdr>
            <w:top w:val="none" w:sz="0" w:space="0" w:color="auto"/>
            <w:left w:val="none" w:sz="0" w:space="0" w:color="auto"/>
            <w:bottom w:val="none" w:sz="0" w:space="0" w:color="auto"/>
            <w:right w:val="none" w:sz="0" w:space="0" w:color="auto"/>
          </w:divBdr>
        </w:div>
        <w:div w:id="722755827">
          <w:marLeft w:val="480"/>
          <w:marRight w:val="0"/>
          <w:marTop w:val="0"/>
          <w:marBottom w:val="0"/>
          <w:divBdr>
            <w:top w:val="none" w:sz="0" w:space="0" w:color="auto"/>
            <w:left w:val="none" w:sz="0" w:space="0" w:color="auto"/>
            <w:bottom w:val="none" w:sz="0" w:space="0" w:color="auto"/>
            <w:right w:val="none" w:sz="0" w:space="0" w:color="auto"/>
          </w:divBdr>
        </w:div>
        <w:div w:id="1693678076">
          <w:marLeft w:val="480"/>
          <w:marRight w:val="0"/>
          <w:marTop w:val="0"/>
          <w:marBottom w:val="0"/>
          <w:divBdr>
            <w:top w:val="none" w:sz="0" w:space="0" w:color="auto"/>
            <w:left w:val="none" w:sz="0" w:space="0" w:color="auto"/>
            <w:bottom w:val="none" w:sz="0" w:space="0" w:color="auto"/>
            <w:right w:val="none" w:sz="0" w:space="0" w:color="auto"/>
          </w:divBdr>
        </w:div>
        <w:div w:id="1484739245">
          <w:marLeft w:val="480"/>
          <w:marRight w:val="0"/>
          <w:marTop w:val="0"/>
          <w:marBottom w:val="0"/>
          <w:divBdr>
            <w:top w:val="none" w:sz="0" w:space="0" w:color="auto"/>
            <w:left w:val="none" w:sz="0" w:space="0" w:color="auto"/>
            <w:bottom w:val="none" w:sz="0" w:space="0" w:color="auto"/>
            <w:right w:val="none" w:sz="0" w:space="0" w:color="auto"/>
          </w:divBdr>
        </w:div>
      </w:divsChild>
    </w:div>
    <w:div w:id="1572615478">
      <w:bodyDiv w:val="1"/>
      <w:marLeft w:val="0"/>
      <w:marRight w:val="0"/>
      <w:marTop w:val="0"/>
      <w:marBottom w:val="0"/>
      <w:divBdr>
        <w:top w:val="none" w:sz="0" w:space="0" w:color="auto"/>
        <w:left w:val="none" w:sz="0" w:space="0" w:color="auto"/>
        <w:bottom w:val="none" w:sz="0" w:space="0" w:color="auto"/>
        <w:right w:val="none" w:sz="0" w:space="0" w:color="auto"/>
      </w:divBdr>
    </w:div>
    <w:div w:id="1583098662">
      <w:bodyDiv w:val="1"/>
      <w:marLeft w:val="0"/>
      <w:marRight w:val="0"/>
      <w:marTop w:val="0"/>
      <w:marBottom w:val="0"/>
      <w:divBdr>
        <w:top w:val="none" w:sz="0" w:space="0" w:color="auto"/>
        <w:left w:val="none" w:sz="0" w:space="0" w:color="auto"/>
        <w:bottom w:val="none" w:sz="0" w:space="0" w:color="auto"/>
        <w:right w:val="none" w:sz="0" w:space="0" w:color="auto"/>
      </w:divBdr>
    </w:div>
    <w:div w:id="1607544466">
      <w:bodyDiv w:val="1"/>
      <w:marLeft w:val="0"/>
      <w:marRight w:val="0"/>
      <w:marTop w:val="0"/>
      <w:marBottom w:val="0"/>
      <w:divBdr>
        <w:top w:val="none" w:sz="0" w:space="0" w:color="auto"/>
        <w:left w:val="none" w:sz="0" w:space="0" w:color="auto"/>
        <w:bottom w:val="none" w:sz="0" w:space="0" w:color="auto"/>
        <w:right w:val="none" w:sz="0" w:space="0" w:color="auto"/>
      </w:divBdr>
    </w:div>
    <w:div w:id="1631210446">
      <w:bodyDiv w:val="1"/>
      <w:marLeft w:val="0"/>
      <w:marRight w:val="0"/>
      <w:marTop w:val="0"/>
      <w:marBottom w:val="0"/>
      <w:divBdr>
        <w:top w:val="none" w:sz="0" w:space="0" w:color="auto"/>
        <w:left w:val="none" w:sz="0" w:space="0" w:color="auto"/>
        <w:bottom w:val="none" w:sz="0" w:space="0" w:color="auto"/>
        <w:right w:val="none" w:sz="0" w:space="0" w:color="auto"/>
      </w:divBdr>
    </w:div>
    <w:div w:id="1642423262">
      <w:bodyDiv w:val="1"/>
      <w:marLeft w:val="0"/>
      <w:marRight w:val="0"/>
      <w:marTop w:val="0"/>
      <w:marBottom w:val="0"/>
      <w:divBdr>
        <w:top w:val="none" w:sz="0" w:space="0" w:color="auto"/>
        <w:left w:val="none" w:sz="0" w:space="0" w:color="auto"/>
        <w:bottom w:val="none" w:sz="0" w:space="0" w:color="auto"/>
        <w:right w:val="none" w:sz="0" w:space="0" w:color="auto"/>
      </w:divBdr>
    </w:div>
    <w:div w:id="1652755791">
      <w:bodyDiv w:val="1"/>
      <w:marLeft w:val="0"/>
      <w:marRight w:val="0"/>
      <w:marTop w:val="0"/>
      <w:marBottom w:val="0"/>
      <w:divBdr>
        <w:top w:val="none" w:sz="0" w:space="0" w:color="auto"/>
        <w:left w:val="none" w:sz="0" w:space="0" w:color="auto"/>
        <w:bottom w:val="none" w:sz="0" w:space="0" w:color="auto"/>
        <w:right w:val="none" w:sz="0" w:space="0" w:color="auto"/>
      </w:divBdr>
    </w:div>
    <w:div w:id="1716001164">
      <w:bodyDiv w:val="1"/>
      <w:marLeft w:val="0"/>
      <w:marRight w:val="0"/>
      <w:marTop w:val="0"/>
      <w:marBottom w:val="0"/>
      <w:divBdr>
        <w:top w:val="none" w:sz="0" w:space="0" w:color="auto"/>
        <w:left w:val="none" w:sz="0" w:space="0" w:color="auto"/>
        <w:bottom w:val="none" w:sz="0" w:space="0" w:color="auto"/>
        <w:right w:val="none" w:sz="0" w:space="0" w:color="auto"/>
      </w:divBdr>
      <w:divsChild>
        <w:div w:id="1657799235">
          <w:marLeft w:val="0"/>
          <w:marRight w:val="0"/>
          <w:marTop w:val="0"/>
          <w:marBottom w:val="0"/>
          <w:divBdr>
            <w:top w:val="none" w:sz="0" w:space="0" w:color="auto"/>
            <w:left w:val="none" w:sz="0" w:space="0" w:color="auto"/>
            <w:bottom w:val="none" w:sz="0" w:space="0" w:color="auto"/>
            <w:right w:val="none" w:sz="0" w:space="0" w:color="auto"/>
          </w:divBdr>
        </w:div>
        <w:div w:id="1526361496">
          <w:marLeft w:val="0"/>
          <w:marRight w:val="0"/>
          <w:marTop w:val="0"/>
          <w:marBottom w:val="0"/>
          <w:divBdr>
            <w:top w:val="none" w:sz="0" w:space="0" w:color="auto"/>
            <w:left w:val="none" w:sz="0" w:space="0" w:color="auto"/>
            <w:bottom w:val="none" w:sz="0" w:space="0" w:color="auto"/>
            <w:right w:val="none" w:sz="0" w:space="0" w:color="auto"/>
          </w:divBdr>
        </w:div>
        <w:div w:id="393895455">
          <w:marLeft w:val="0"/>
          <w:marRight w:val="0"/>
          <w:marTop w:val="0"/>
          <w:marBottom w:val="0"/>
          <w:divBdr>
            <w:top w:val="none" w:sz="0" w:space="0" w:color="auto"/>
            <w:left w:val="none" w:sz="0" w:space="0" w:color="auto"/>
            <w:bottom w:val="none" w:sz="0" w:space="0" w:color="auto"/>
            <w:right w:val="none" w:sz="0" w:space="0" w:color="auto"/>
          </w:divBdr>
        </w:div>
      </w:divsChild>
    </w:div>
    <w:div w:id="1716272352">
      <w:bodyDiv w:val="1"/>
      <w:marLeft w:val="0"/>
      <w:marRight w:val="0"/>
      <w:marTop w:val="0"/>
      <w:marBottom w:val="0"/>
      <w:divBdr>
        <w:top w:val="none" w:sz="0" w:space="0" w:color="auto"/>
        <w:left w:val="none" w:sz="0" w:space="0" w:color="auto"/>
        <w:bottom w:val="none" w:sz="0" w:space="0" w:color="auto"/>
        <w:right w:val="none" w:sz="0" w:space="0" w:color="auto"/>
      </w:divBdr>
    </w:div>
    <w:div w:id="1750736904">
      <w:bodyDiv w:val="1"/>
      <w:marLeft w:val="0"/>
      <w:marRight w:val="0"/>
      <w:marTop w:val="0"/>
      <w:marBottom w:val="0"/>
      <w:divBdr>
        <w:top w:val="none" w:sz="0" w:space="0" w:color="auto"/>
        <w:left w:val="none" w:sz="0" w:space="0" w:color="auto"/>
        <w:bottom w:val="none" w:sz="0" w:space="0" w:color="auto"/>
        <w:right w:val="none" w:sz="0" w:space="0" w:color="auto"/>
      </w:divBdr>
    </w:div>
    <w:div w:id="1756052548">
      <w:bodyDiv w:val="1"/>
      <w:marLeft w:val="0"/>
      <w:marRight w:val="0"/>
      <w:marTop w:val="0"/>
      <w:marBottom w:val="0"/>
      <w:divBdr>
        <w:top w:val="none" w:sz="0" w:space="0" w:color="auto"/>
        <w:left w:val="none" w:sz="0" w:space="0" w:color="auto"/>
        <w:bottom w:val="none" w:sz="0" w:space="0" w:color="auto"/>
        <w:right w:val="none" w:sz="0" w:space="0" w:color="auto"/>
      </w:divBdr>
    </w:div>
    <w:div w:id="1759868337">
      <w:bodyDiv w:val="1"/>
      <w:marLeft w:val="0"/>
      <w:marRight w:val="0"/>
      <w:marTop w:val="0"/>
      <w:marBottom w:val="0"/>
      <w:divBdr>
        <w:top w:val="none" w:sz="0" w:space="0" w:color="auto"/>
        <w:left w:val="none" w:sz="0" w:space="0" w:color="auto"/>
        <w:bottom w:val="none" w:sz="0" w:space="0" w:color="auto"/>
        <w:right w:val="none" w:sz="0" w:space="0" w:color="auto"/>
      </w:divBdr>
    </w:div>
    <w:div w:id="1771928111">
      <w:bodyDiv w:val="1"/>
      <w:marLeft w:val="0"/>
      <w:marRight w:val="0"/>
      <w:marTop w:val="0"/>
      <w:marBottom w:val="0"/>
      <w:divBdr>
        <w:top w:val="none" w:sz="0" w:space="0" w:color="auto"/>
        <w:left w:val="none" w:sz="0" w:space="0" w:color="auto"/>
        <w:bottom w:val="none" w:sz="0" w:space="0" w:color="auto"/>
        <w:right w:val="none" w:sz="0" w:space="0" w:color="auto"/>
      </w:divBdr>
    </w:div>
    <w:div w:id="1785802429">
      <w:bodyDiv w:val="1"/>
      <w:marLeft w:val="0"/>
      <w:marRight w:val="0"/>
      <w:marTop w:val="0"/>
      <w:marBottom w:val="0"/>
      <w:divBdr>
        <w:top w:val="none" w:sz="0" w:space="0" w:color="auto"/>
        <w:left w:val="none" w:sz="0" w:space="0" w:color="auto"/>
        <w:bottom w:val="none" w:sz="0" w:space="0" w:color="auto"/>
        <w:right w:val="none" w:sz="0" w:space="0" w:color="auto"/>
      </w:divBdr>
    </w:div>
    <w:div w:id="1794904588">
      <w:bodyDiv w:val="1"/>
      <w:marLeft w:val="0"/>
      <w:marRight w:val="0"/>
      <w:marTop w:val="0"/>
      <w:marBottom w:val="0"/>
      <w:divBdr>
        <w:top w:val="none" w:sz="0" w:space="0" w:color="auto"/>
        <w:left w:val="none" w:sz="0" w:space="0" w:color="auto"/>
        <w:bottom w:val="none" w:sz="0" w:space="0" w:color="auto"/>
        <w:right w:val="none" w:sz="0" w:space="0" w:color="auto"/>
      </w:divBdr>
    </w:div>
    <w:div w:id="1813907409">
      <w:bodyDiv w:val="1"/>
      <w:marLeft w:val="0"/>
      <w:marRight w:val="0"/>
      <w:marTop w:val="0"/>
      <w:marBottom w:val="0"/>
      <w:divBdr>
        <w:top w:val="none" w:sz="0" w:space="0" w:color="auto"/>
        <w:left w:val="none" w:sz="0" w:space="0" w:color="auto"/>
        <w:bottom w:val="none" w:sz="0" w:space="0" w:color="auto"/>
        <w:right w:val="none" w:sz="0" w:space="0" w:color="auto"/>
      </w:divBdr>
    </w:div>
    <w:div w:id="1900172191">
      <w:bodyDiv w:val="1"/>
      <w:marLeft w:val="0"/>
      <w:marRight w:val="0"/>
      <w:marTop w:val="0"/>
      <w:marBottom w:val="0"/>
      <w:divBdr>
        <w:top w:val="none" w:sz="0" w:space="0" w:color="auto"/>
        <w:left w:val="none" w:sz="0" w:space="0" w:color="auto"/>
        <w:bottom w:val="none" w:sz="0" w:space="0" w:color="auto"/>
        <w:right w:val="none" w:sz="0" w:space="0" w:color="auto"/>
      </w:divBdr>
    </w:div>
    <w:div w:id="1940408159">
      <w:bodyDiv w:val="1"/>
      <w:marLeft w:val="0"/>
      <w:marRight w:val="0"/>
      <w:marTop w:val="0"/>
      <w:marBottom w:val="0"/>
      <w:divBdr>
        <w:top w:val="none" w:sz="0" w:space="0" w:color="auto"/>
        <w:left w:val="none" w:sz="0" w:space="0" w:color="auto"/>
        <w:bottom w:val="none" w:sz="0" w:space="0" w:color="auto"/>
        <w:right w:val="none" w:sz="0" w:space="0" w:color="auto"/>
      </w:divBdr>
    </w:div>
    <w:div w:id="20045093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Admin\Downloads\AFTER%20POST%20FIELD%20JUNE%209TH%20(2).docx" TargetMode="External"/><Relationship Id="rId18" Type="http://schemas.openxmlformats.org/officeDocument/2006/relationships/hyperlink" Target="https://doi.org/10.1108/jbsed-03-2021-0026" TargetMode="External"/><Relationship Id="rId26" Type="http://schemas.openxmlformats.org/officeDocument/2006/relationships/hyperlink" Target="https://doi.org/10.1086/707238" TargetMode="External"/><Relationship Id="rId39" Type="http://schemas.openxmlformats.org/officeDocument/2006/relationships/hyperlink" Target="https://doi.org/10.1108/IMEFM-03-2019-0089" TargetMode="External"/><Relationship Id="rId21" Type="http://schemas.openxmlformats.org/officeDocument/2006/relationships/hyperlink" Target="https://doi.org/10.2139/ssrn.2361944" TargetMode="External"/><Relationship Id="rId34" Type="http://schemas.openxmlformats.org/officeDocument/2006/relationships/hyperlink" Target="https://doi.org/%2010.1108/JFC-07-2020-0140" TargetMode="External"/><Relationship Id="rId42" Type="http://schemas.openxmlformats.org/officeDocument/2006/relationships/image" Target="media/image4.png"/><Relationship Id="rId47" Type="http://schemas.openxmlformats.org/officeDocument/2006/relationships/image" Target="media/image9.png"/><Relationship Id="rId50" Type="http://schemas.openxmlformats.org/officeDocument/2006/relationships/image" Target="media/image12.png"/><Relationship Id="rId55" Type="http://schemas.openxmlformats.org/officeDocument/2006/relationships/image" Target="media/image17.png"/><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2.jpeg"/><Relationship Id="rId29" Type="http://schemas.openxmlformats.org/officeDocument/2006/relationships/hyperlink" Target="https://doi.org/10.5539/ibr.v11n3p66" TargetMode="External"/><Relationship Id="rId11" Type="http://schemas.openxmlformats.org/officeDocument/2006/relationships/hyperlink" Target="file:///C:\Users\Admin\Downloads\AFTER%20POST%20FIELD%20JUNE%209TH%20(2).docx" TargetMode="External"/><Relationship Id="rId24" Type="http://schemas.openxmlformats.org/officeDocument/2006/relationships/hyperlink" Target="https://doi.org/10.26794/2408-9303-2019-6-3-25-31" TargetMode="External"/><Relationship Id="rId32" Type="http://schemas.openxmlformats.org/officeDocument/2006/relationships/hyperlink" Target="https://doi.org/10.2308/iace.2008.23.4.521" TargetMode="External"/><Relationship Id="rId37" Type="http://schemas.openxmlformats.org/officeDocument/2006/relationships/hyperlink" Target="http://www.telegraph.co.uk/news/uknews/1531108/Chancellor-throws-his-forensicaccountants-into-the-fray.html" TargetMode="External"/><Relationship Id="rId40" Type="http://schemas.openxmlformats.org/officeDocument/2006/relationships/hyperlink" Target="http://hdl.handle.net/11610/22448" TargetMode="External"/><Relationship Id="rId45" Type="http://schemas.openxmlformats.org/officeDocument/2006/relationships/image" Target="media/image7.png"/><Relationship Id="rId53" Type="http://schemas.openxmlformats.org/officeDocument/2006/relationships/image" Target="media/image15.png"/><Relationship Id="rId58" Type="http://schemas.openxmlformats.org/officeDocument/2006/relationships/fontTable" Target="fontTable.xml"/><Relationship Id="rId5" Type="http://schemas.openxmlformats.org/officeDocument/2006/relationships/settings" Target="settings.xml"/><Relationship Id="rId19" Type="http://schemas.openxmlformats.org/officeDocument/2006/relationships/hyperlink" Target="https://doi.org/10.1108/s1569-375920200000102007" TargetMode="External"/><Relationship Id="rId4" Type="http://schemas.openxmlformats.org/officeDocument/2006/relationships/styles" Target="styles.xml"/><Relationship Id="rId9" Type="http://schemas.openxmlformats.org/officeDocument/2006/relationships/hyperlink" Target="file:///C:\Users\Admin\Downloads\AFTER%20POST%20FIELD%20JUNE%209TH%20(2).docx" TargetMode="External"/><Relationship Id="rId14" Type="http://schemas.openxmlformats.org/officeDocument/2006/relationships/footer" Target="footer1.xml"/><Relationship Id="rId22" Type="http://schemas.openxmlformats.org/officeDocument/2006/relationships/hyperlink" Target="http://doi.org/10.1108/JSBED-08-2012-0094" TargetMode="External"/><Relationship Id="rId27" Type="http://schemas.openxmlformats.org/officeDocument/2006/relationships/hyperlink" Target="https://doi.org/10.1108%20/14691930510592825" TargetMode="External"/><Relationship Id="rId30" Type="http://schemas.openxmlformats.org/officeDocument/2006/relationships/hyperlink" Target="http://www.ippa.org/ippc4_proceedings1.html" TargetMode="External"/><Relationship Id="rId35" Type="http://schemas.openxmlformats.org/officeDocument/2006/relationships/hyperlink" Target="https://doi.org/%2010.1108/%20JFC-04-2020-0075" TargetMode="External"/><Relationship Id="rId43" Type="http://schemas.openxmlformats.org/officeDocument/2006/relationships/image" Target="media/image5.png"/><Relationship Id="rId48" Type="http://schemas.openxmlformats.org/officeDocument/2006/relationships/image" Target="media/image10.png"/><Relationship Id="rId56" Type="http://schemas.openxmlformats.org/officeDocument/2006/relationships/image" Target="media/image18.png"/><Relationship Id="rId8" Type="http://schemas.openxmlformats.org/officeDocument/2006/relationships/endnotes" Target="endnotes.xml"/><Relationship Id="rId51" Type="http://schemas.openxmlformats.org/officeDocument/2006/relationships/image" Target="media/image13.png"/><Relationship Id="rId3" Type="http://schemas.openxmlformats.org/officeDocument/2006/relationships/numbering" Target="numbering.xml"/><Relationship Id="rId12" Type="http://schemas.openxmlformats.org/officeDocument/2006/relationships/hyperlink" Target="file:///C:\Users\Admin\Downloads\AFTER%20POST%20FIELD%20JUNE%209TH%20(2).docx" TargetMode="External"/><Relationship Id="rId17" Type="http://schemas.openxmlformats.org/officeDocument/2006/relationships/hyperlink" Target="https://doi.org/10.1108/JFC-04-2020-0053" TargetMode="External"/><Relationship Id="rId25" Type="http://schemas.openxmlformats.org/officeDocument/2006/relationships/hyperlink" Target="https://doi.org/10.5539/ijbm.v12n7p146" TargetMode="External"/><Relationship Id="rId33" Type="http://schemas.openxmlformats.org/officeDocument/2006/relationships/hyperlink" Target="https://doi.org/10.4018/978-1-7998-8754-6.ch014" TargetMode="External"/><Relationship Id="rId38" Type="http://schemas.openxmlformats.org/officeDocument/2006/relationships/hyperlink" Target="http://www.transparency.org" TargetMode="External"/><Relationship Id="rId46" Type="http://schemas.openxmlformats.org/officeDocument/2006/relationships/image" Target="media/image8.png"/><Relationship Id="rId59" Type="http://schemas.openxmlformats.org/officeDocument/2006/relationships/theme" Target="theme/theme1.xml"/><Relationship Id="rId20" Type="http://schemas.openxmlformats.org/officeDocument/2006/relationships/hyperlink" Target="https://doi.org/10.4018/978-1-7998-8754-6.ch008" TargetMode="External"/><Relationship Id="rId41" Type="http://schemas.openxmlformats.org/officeDocument/2006/relationships/image" Target="media/image3.png"/><Relationship Id="rId54"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1.png"/><Relationship Id="rId23" Type="http://schemas.openxmlformats.org/officeDocument/2006/relationships/hyperlink" Target="http://www.iiste.org" TargetMode="External"/><Relationship Id="rId28" Type="http://schemas.openxmlformats.org/officeDocument/2006/relationships/hyperlink" Target="https://doi.org/10.7719/ijgc.v1i1.230" TargetMode="External"/><Relationship Id="rId36" Type="http://schemas.openxmlformats.org/officeDocument/2006/relationships/hyperlink" Target="https://doi.org/10.6007/ijarafms/v8-i3/4450" TargetMode="External"/><Relationship Id="rId49" Type="http://schemas.openxmlformats.org/officeDocument/2006/relationships/image" Target="media/image11.png"/><Relationship Id="rId57" Type="http://schemas.openxmlformats.org/officeDocument/2006/relationships/footer" Target="footer2.xml"/><Relationship Id="rId10" Type="http://schemas.openxmlformats.org/officeDocument/2006/relationships/hyperlink" Target="file:///C:\Users\Admin\Downloads\AFTER%20POST%20FIELD%20JUNE%209TH%20(2).docx" TargetMode="External"/><Relationship Id="rId31" Type="http://schemas.openxmlformats.org/officeDocument/2006/relationships/hyperlink" Target="http://www.pwc.com/extraweb/ncsurvers.nsf" TargetMode="External"/><Relationship Id="rId44" Type="http://schemas.openxmlformats.org/officeDocument/2006/relationships/image" Target="media/image6.png"/><Relationship Id="rId52" Type="http://schemas.openxmlformats.org/officeDocument/2006/relationships/image" Target="media/image1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6">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A3561A66-9236-47E0-B546-9B413A982376}">
  <we:reference id="wa104382081" version="1.46.0.0" store="en-US" storeType="OMEX"/>
  <we:alternateReferences>
    <we:reference id="wa104382081" version="1.46.0.0" store="en-US" storeType="OMEX"/>
  </we:alternateReferences>
  <we:properties>
    <we:property name="MENDELEY_CITATIONS" value="[{&quot;citationID&quot;:&quot;MENDELEY_CITATION_da0beec2-e8b5-4d4b-adec-2dd26070a289&quot;,&quot;properties&quot;:{&quot;noteIndex&quot;:0},&quot;isEdited&quot;:false,&quot;manualOverride&quot;:{&quot;citeprocText&quot;:&quot;(Awolowo, 2019; Haun MBA, CPA, CMA, CFE et al., 2018)&quot;,&quot;isManuallyOverridden&quot;:true,&quot;manualOverrideText&quot;:&quot;(Awolowo, 2019)&quot;},&quot;citationTag&quot;:&quot;MENDELEY_CITATION_v3_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&quot;,&quot;citationItems&quot;:[{&quot;id&quot;:&quot;53727c8c-b1cf-537a-abe9-71eee8be9550&quot;,&quot;itemData&quot;:{&quot;author&quot;:[{&quot;dropping-particle&quot;:&quot;&quot;,&quot;family&quot;:&quot;Awolowo&quot;,&quot;given&quot;:&quot;Dr Ifedapo Francis&quot;,&quot;non-dropping-particle&quot;:&quot;&quot;,&quot;parse-names&quot;:false,&quot;suffix&quot;:&quot;&quot;}],&quot;container-title&quot;:&quot;Sheffield Hallam University Research Archive&quot;,&quot;id&quot;:&quot;53727c8c-b1cf-537a-abe9-71eee8be9550&quot;,&quot;issued&quot;:{&quot;date-parts&quot;:[[&quot;2019&quot;]]},&quot;title&quot;:&quot;A Sheffield Hallam University thesis Financial Statement Fraud : The Need for a Paradigm Shift to Forensic Accounting Ifedapo Francis Awolowo A thesis submitted in partial fulfilment of the requirements of Sheffield Hallam University For the degree of Doc&quot;,&quot;type&quot;:&quot;article-journal&quot;,&quot;container-title-short&quot;:&quot;&quot;},&quot;uris&quot;:[&quot;http://www.mendeley.com/documents/?uuid=9fc7e534-e3b2-40f3-bdb3-0c9a46541472&quot;],&quot;isTemporary&quot;:false,&quot;legacyDesktopId&quot;:&quot;9fc7e534-e3b2-40f3-bdb3-0c9a46541472&quot;},{&quot;id&quot;:&quot;685e2d11-8fe2-3deb-9be9-57a4a69006f3&quot;,&quot;itemData&quot;:{&quot;abstract&quot;:&quot;The September 11th attacks on the World Trade Center directed international attention to the financial component of terrorist operations. The demand for forensic accounts has continued to increase because of a growing intolerance for fraud and terrorist activity. Forensic accountants have and will continue to have a vital role in United States' counterterrorism efforts in the post9/11 era by detecting acts of fraud and money laundering. Comprehensive review of relevant literature including books, peer-reviewed articles, government databases, court records and news media confirms that forensic accountants are equipped with special skills and analytical tools that make them valuable members of terrorism task forces. The soft skills of forensic accountants typically include attention to detail, self-motivation, professional communication, and integrity. Technical skills include broad industry knowledge, data gathering techniques, advanced financial statement interpretation, and ratio analysis. Literature review also indicates that government organizations are increasingly reliant on financial analysts for gathering evidence and preparing summary reports for investigations, prosecutions, and court proceedings. Additionally, a demand exists for forensic accountants in private-sector companies to implement and monitor systems of internal control (e.g. fraud and enterprises risk management frameworks) and communicate threats to the FBI or Department of Homeland Security. While past research mainly includes retrospective analysis of terrorist financing, this paper will argue that forensic accounting will continue to be relevant due to technological change and shifting political, legal, and financial climates.&quot;,&quot;author&quot;:[{&quot;dropping-particle&quot;:&quot;&quot;,&quot;family&quot;:&quot;Haun MBA, CPA, CMA, CFE&quot;,&quot;given&quot;:&quot;Amie L&quot;,&quot;non-dropping-particle&quot;:&quot;&quot;,&quot;parse-names&quot;:false,&quot;suffix&quot;:&quot;&quot;},{&quot;dropping-particle&quot;:&quot;&quot;,&quot;family&quot;:&quot;Gaither&quot;,&quot;given&quot;:&quot;Madison&quot;,&quot;non-dropping-particle&quot;:&quot;&quot;,&quot;parse-names&quot;:false,&quot;suffix&quot;:&quot;&quot;},{&quot;dropping-particle&quot;:&quot;&quot;,&quot;family&quot;:&quot;Sompayrac JD, CPA, CGMA&quot;,&quot;given&quot;:&quot;Joanie&quot;,&quot;non-dropping-particle&quot;:&quot;&quot;,&quot;parse-names&quot;:false,&quot;suffix&quot;:&quot;&quot;}],&quot;container-title&quot;:&quot;The Coastal Business Journal&quot;,&quot;id&quot;:&quot;685e2d11-8fe2-3deb-9be9-57a4a69006f3&quot;,&quot;issue&quot;:&quot;1&quot;,&quot;issued&quot;:{&quot;date-parts&quot;:[[&quot;2018&quot;]]},&quot;title&quot;:&quot;The Role of Forensic Accounting in U.S. Counterterrorism Efforts&quot;,&quot;type&quot;:&quot;article-journal&quot;,&quot;volume&quot;:&quot;16&quot;,&quot;container-title-short&quot;:&quot;&quot;},&quot;uris&quot;:[&quot;http://www.mendeley.com/documents/?uuid=685e2d11-8fe2-3deb-9be9-57a4a69006f3&quot;],&quot;isTemporary&quot;:false,&quot;legacyDesktopId&quot;:&quot;685e2d11-8fe2-3deb-9be9-57a4a69006f3&quot;}]},{&quot;citationID&quot;:&quot;MENDELEY_CITATION_5aeffe76-9043-47ec-a006-291824163b08&quot;,&quot;properties&quot;:{&quot;noteIndex&quot;:0},&quot;isEdited&quot;:false,&quot;manualOverride&quot;:{&quot;citeprocText&quot;:&quot;(Atabay &amp;#38; Dinç, 2020)&quot;,&quot;isManuallyOverridden&quot;:false,&quot;manualOverrideText&quot;:&quot;&quot;},&quot;citationTag&quot;:&quot;MENDELEY_CITATION_v3_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&quot;,&quot;citationItems&quot;:[{&quot;id&quot;:&quot;baa59f48-6a1f-3e48-beb4-8b7cd52b901c&quot;,&quot;itemData&quot;:{&quot;DOI&quot;:&quot;10.1108/s1569-375920200000102007&quot;,&quot;abstract&quot;:&quot;Financial manipulation means the modification made knowingly and willfully by businesses in accounting records and transactions, in financial statements, through addition and subtraction, for the purpose of misleading financial information users. Financial manipulations are expected to have an effect on the decisions of financial information users. The present study was established on the basis of two main objectives. The first objective is to determine whether banks, which are Public Interest Entities (PIE), manipulate their financial statements. As for the second objective, it is to reveal whether the detected financial manipulations have an effect on investor decisions. The research conducted to achieve the first objective is based on the examination of independent audit reports for the periods between 2009 and 2017, pertaining to 45 banks registered to the Banks Association of Turkey, in terms of presented opinions. Data acquired from examined reports were subjected to content analysis via the Microsoft Excel program. In line with the second objective of the study, investor numbers for the periods between 2010 and 2017, of 13 banks, which are within the scope of BIST BANK, were included in the analysis, according to data acquired from the Central Registry Agency. Financial statements of banks, with audit reports in which a qualified opinion is expressed, were considered to have been manipulated. SPSS 22.0 statistics pack software was used to analyze whether investment demands toward these banks had an effect on decisions of domestic and foreign investors. In the analysis, frequency and One-Way ANOVA tests were used. In consequence of the analyses conducted, it was determined that, around one fifth of financial statements of PIE banks, pertaining to the periods between 2009 and 2017, were manipulated; it was mostly committed by private banks, and majority of the manipulations were committed due to free provisions made. It was also observed that manipulations did not have an effect on decisions of neither domestic nor foreign investors. The reason behind the latter is the fact that while the level of manipulations in financial statements is significant, it is not a widespread occurrence.&quot;,&quot;author&quot;:[{&quot;dropping-particle&quot;:&quot;&quot;,&quot;family&quot;:&quot;Atabay&quot;,&quot;given&quot;:&quot;Esra&quot;,&quot;non-dropping-particle&quot;:&quot;&quot;,&quot;parse-names&quot;:false,&quot;suffix&quot;:&quot;&quot;},{&quot;dropping-particle&quot;:&quot;&quot;,&quot;family&quot;:&quot;Dinç&quot;,&quot;given&quot;:&quot;Engin&quot;,&quot;non-dropping-particle&quot;:&quot;&quot;,&quot;parse-names&quot;:false,&quot;suffix&quot;:&quot;&quot;}],&quot;id&quot;:&quot;baa59f48-6a1f-3e48-beb4-8b7cd52b901c&quot;,&quot;issue&quot;:&quot;February 2020&quot;,&quot;issued&quot;:{&quot;date-parts&quot;:[[&quot;2020&quot;]]},&quot;page&quot;:&quot;41-56&quot;,&quot;title&quot;:&quot;Financial Information Manipulation and Its Effects on Investor Demands: The Case of BIST Bank&quot;,&quot;type&quot;:&quot;article-journal&quot;,&quot;container-title-short&quot;:&quot;&quot;},&quot;uris&quot;:[&quot;http://www.mendeley.com/documents/?uuid=0b7b64ce-40e8-4a8f-bf64-222cf11f24ba&quot;],&quot;isTemporary&quot;:false,&quot;legacyDesktopId&quot;:&quot;0b7b64ce-40e8-4a8f-bf64-222cf11f24ba&quot;}]},{&quot;citationID&quot;:&quot;MENDELEY_CITATION_e4d8aaa4-c1ea-420c-ab64-d5790273dfab&quot;,&quot;properties&quot;:{&quot;noteIndex&quot;:0},&quot;isEdited&quot;:false,&quot;manualOverride&quot;:{&quot;citeprocText&quot;:&quot;(Owojori &amp;#38; Asaolu, 2009)&quot;,&quot;isManuallyOverridden&quot;:false,&quot;manualOverrideText&quot;:&quot;&quot;},&quot;citationTag&quot;:&quot;MENDELEY_CITATION_v3_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&quot;,&quot;citationItems&quot;:[{&quot;id&quot;:&quot;cd558add-ab67-38cf-9c70-1309faf85844&quot;,&quot;itemData&quot;:{&quot;ISSN&quot;:&quot;1450202X&quot;,&quot;abstract&quot;:&quot;Several instances of corporate scandals and failure in resent past have put the professional accounting bodies into a new perception that goes beyond statutory audit and in some ways even the trend of corporate governance. This article discusses the concept, need and role of forensic accounting in solving the vexed problem of corporate world. © EuroJournals Publishing, Inc. 2009.&quot;,&quot;author&quot;:[{&quot;dropping-particle&quot;:&quot;&quot;,&quot;family&quot;:&quot;Owojori&quot;,&quot;given&quot;:&quot;A. A.&quot;,&quot;non-dropping-particle&quot;:&quot;&quot;,&quot;parse-names&quot;:false,&quot;suffix&quot;:&quot;&quot;},{&quot;dropping-particle&quot;:&quot;&quot;,&quot;family&quot;:&quot;Asaolu&quot;,&quot;given&quot;:&quot;T. O.&quot;,&quot;non-dropping-particle&quot;:&quot;&quot;,&quot;parse-names&quot;:false,&quot;suffix&quot;:&quot;&quot;}],&quot;container-title&quot;:&quot;European Journal of Scientific Research&quot;,&quot;id&quot;:&quot;cd558add-ab67-38cf-9c70-1309faf85844&quot;,&quot;issue&quot;:&quot;2&quot;,&quot;issued&quot;:{&quot;date-parts&quot;:[[&quot;2009&quot;]]},&quot;page&quot;:&quot;183-187&quot;,&quot;title&quot;:&quot;The role of forensic accounting in solving the vexed problem of corporate world&quot;,&quot;type&quot;:&quot;article-journal&quot;,&quot;volume&quot;:&quot;29&quot;,&quot;container-title-short&quot;:&quot;&quot;},&quot;uris&quot;:[&quot;http://www.mendeley.com/documents/?uuid=cd558add-ab67-38cf-9c70-1309faf85844&quot;],&quot;isTemporary&quot;:false,&quot;legacyDesktopId&quot;:&quot;cd558add-ab67-38cf-9c70-1309faf85844&quot;}]},{&quot;citationID&quot;:&quot;MENDELEY_CITATION_4da36927-4792-4bf4-8592-1135d561c54d&quot;,&quot;properties&quot;:{&quot;noteIndex&quot;:0},&quot;isEdited&quot;:false,&quot;manualOverride&quot;:{&quot;citeprocText&quot;:&quot;(DiGabriele &amp;#38; Huber, 2018)&quot;,&quot;isManuallyOverridden&quot;:false,&quot;manualOverrideText&quot;:&quot;&quot;},&quot;citationTag&quot;:&quot;MENDELEY_CITATION_v3_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&quot;,&quot;citationItems&quot;:[{&quot;id&quot;:&quot;c5256438-4204-3d95-85c4-732114532c79&quot;,&quot;itemData&quot;:{&quot;DOI&quot;:&quot;10.2139/ssrn.2361944&quot;,&quot;abstract&quot;:&quot;Purpose: The purposes of this paper are to (1) highlight those topics of forensic accounting that have received little or no attention in the forensic accounting research that has been published in forensic accounting research journals; (2) discover what research methods have been most commonly used; and (3) identify research methods that have been infrequently used.  Design/methodology/approach: This is a descriptive study that explores the topics and methods used in forensic accounting research published in forensic accounting journals.  Findings: Fraud and quantitative methods make up largest percentage of topics and research methods published in forensic accounting journals.  Research limitations/implications: Results suggest forensic accounting researchers are using mimetic topics and methods of accounting research. The absence of diversity in forensic accounting research topics and methods has the potential to compromise the overall contribution of forensic accounting research.  Practical implications: Identifies gaps in topics and research methods in forensic accounting research to encourage research in diverse topics using diverse methods that will be valuable to forensic accountants.  Social implications: Results should encourage more research into forensic accounting topics using a variety of research methods.&quot;,&quot;author&quot;:[{&quot;dropping-particle&quot;:&quot;&quot;,&quot;family&quot;:&quot;DiGabriele&quot;,&quot;given&quot;:&quot;James A.&quot;,&quot;non-dropping-particle&quot;:&quot;&quot;,&quot;parse-names&quot;:false,&quot;suffix&quot;:&quot;&quot;},{&quot;dropping-particle&quot;:&quot;&quot;,&quot;family&quot;:&quot;Huber&quot;,&quot;given&quot;:&quot;Wm. Dennis&quot;,&quot;non-dropping-particle&quot;:&quot;&quot;,&quot;parse-names&quot;:false,&quot;suffix&quot;:&quot;&quot;}],&quot;container-title&quot;:&quot;SSRN Electronic Journal&quot;,&quot;id&quot;:&quot;c5256438-4204-3d95-85c4-732114532c79&quot;,&quot;issue&quot;:&quot;January&quot;,&quot;issued&quot;:{&quot;date-parts&quot;:[[&quot;2018&quot;]]},&quot;title&quot;:&quot;Topics and Methods in Forensic Accounting Research&quot;,&quot;type&quot;:&quot;article-journal&quot;,&quot;container-title-short&quot;:&quot;&quot;},&quot;uris&quot;:[&quot;http://www.mendeley.com/documents/?uuid=949daa7d-de1c-40e9-a8d5-3a9f3c43fcbc&quot;],&quot;isTemporary&quot;:false,&quot;legacyDesktopId&quot;:&quot;949daa7d-de1c-40e9-a8d5-3a9f3c43fcbc&quot;}]},{&quot;citationID&quot;:&quot;MENDELEY_CITATION_5c42171c-0b2d-4e71-930d-4efd234ceff6&quot;,&quot;properties&quot;:{&quot;noteIndex&quot;:0},&quot;isEdited&quot;:false,&quot;manualOverride&quot;:{&quot;citeprocText&quot;:&quot;(Smith &amp;#38; Crumbley, 2009)&quot;,&quot;isManuallyOverridden&quot;:false,&quot;manualOverrideText&quot;:&quot;&quot;},&quot;citationTag&quot;:&quot;MENDELEY_CITATION_v3_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&quot;,&quot;citationItems&quot;:[{&quot;id&quot;:&quot;d48ede9e-eab3-3788-bdae-79c56c2afa7d&quot;,&quot;itemData&quot;:{&quot;ISBN&quot;:&quot;15432955&quot;,&quot;PMID&quot;:&quot;203140643&quot;,&quot;abstract&quot;:&quot;To evaluate the content covered in fraud/forensic accounting courses, a sample of 111 faculty members who were identified as teaching fraud/forensic accounting courses at four-year universities was selected. The content having the highest degree of interest to the survey respondents is related to the fraud examination areas and not the wider-ranging forensic accounting topics. The fraud/forensic curriculum is being defined as fraud examination. Even those instructors who teach in the \&quot;forensic\&quot; accounting area cover topics more closely related to fraud examination than forensics. The implications are that fraud and forensics accounting courses are not two distinct areas of accounting pedagogy. From this perspective, it means that areas beyond financial statement fraud such as digital investigations, criminology, and to some degree litigation services are considered to be outside the fraud/forensic curriculum. Course developers need to know that there are conceptual differences between fraud examination and forensic accounting. Forensic investigations are broad and far-ranging. Accounting curriculum developers need to determine whether they should base their program revisions on a fraud model, a more wide-ranging forensics model, or a combination of the two approaches.&quot;,&quot;author&quot;:[{&quot;dropping-particle&quot;:&quot;&quot;,&quot;family&quot;:&quot;Smith&quot;,&quot;given&quot;:&quot;G Stevenson&quot;,&quot;non-dropping-particle&quot;:&quot;&quot;,&quot;parse-names&quot;:false,&quot;suffix&quot;:&quot;&quot;},{&quot;dropping-particle&quot;:&quot;&quot;,&quot;family&quot;:&quot;Crumbley&quot;,&quot;given&quot;:&quot;D Larry&quot;,&quot;non-dropping-particle&quot;:&quot;&quot;,&quot;parse-names&quot;:false,&quot;suffix&quot;:&quot;&quot;}],&quot;container-title&quot;:&quot;Global Perspectives on Accounting Education&quot;,&quot;id&quot;:&quot;d48ede9e-eab3-3788-bdae-79c56c2afa7d&quot;,&quot;issued&quot;:{&quot;date-parts&quot;:[[&quot;2009&quot;]]},&quot;page&quot;:&quot;1-24&quot;,&quot;title&quot;:&quot;How Divergent Are Pedagogical Views Toward the Fraud/Forensic Accounting Curriculum?&quot;,&quot;type&quot;:&quot;article-journal&quot;,&quot;volume&quot;:&quot;6&quot;,&quot;container-title-short&quot;:&quot;&quot;},&quot;uris&quot;:[&quot;http://www.mendeley.com/documents/?uuid=929e8b7b-1ad5-4c6f-a63c-0a313c30a3b3&quot;],&quot;isTemporary&quot;:false,&quot;legacyDesktopId&quot;:&quot;929e8b7b-1ad5-4c6f-a63c-0a313c30a3b3&quot;}]},{&quot;citationID&quot;:&quot;MENDELEY_CITATION_40311fa4-8f2d-420a-a7f3-10db3e27bf90&quot;,&quot;properties&quot;:{&quot;noteIndex&quot;:0},&quot;isEdited&quot;:false,&quot;manualOverride&quot;:{&quot;citeprocText&quot;:&quot;(Accounting et al., 2007)&quot;,&quot;isManuallyOverridden&quot;:true,&quot;manualOverrideText&quot;:&quot;(Bhasin, 2007).&quot;},&quot;citationTag&quot;:&quot;MENDELEY_CITATION_v3_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&quot;,&quot;citationItems&quot;:[{&quot;id&quot;:&quot;51f123cb-08ab-5390-a42a-7c8e91939009&quot;,&quot;itemData&quot;:{&quot;abstract&quot;:&quot;Forensic accounting has come into limelight due to rapid increase in financial frauds and white-collar crimes. But, it is a largely untrodden area in India. The integration of accounting, auditing and investigative skills creates the speciality known as forensic accounting. The opportunities for the forensic accountants are growing fast; they are being engaged in public practice and are being employed by insurance companies, banks, police forces, government agencies, etc. This article seeks to examine the meaning and nature, activities and services rendered, core knowledge and personal skills required for forensic accounting as a specialised field in the accountancy profession. Indeed, there is a future in forensic accounting as a separate niche consulting.&quot;,&quot;author&quot;:[{&quot;dropping-particle&quot;:&quot;&quot;,&quot;family&quot;:&quot;Accounting&quot;,&quot;given&quot;:&quot;Forensic&quot;,&quot;non-dropping-particle&quot;:&quot;&quot;,&quot;parse-names&quot;:false,&quot;suffix&quot;:&quot;&quot;},{&quot;dropping-particle&quot;:&quot;&quot;,&quot;family&quot;:&quot;Paradigm&quot;,&quot;given&quot;:&quot;New&quot;,&quot;non-dropping-particle&quot;:&quot;&quot;,&quot;parse-names&quot;:false,&quot;suffix&quot;:&quot;&quot;},{&quot;dropping-particle&quot;:&quot;&quot;,&quot;family&quot;:&quot;Niche&quot;,&quot;given&quot;:&quot;For&quot;,&quot;non-dropping-particle&quot;:&quot;&quot;,&quot;parse-names&quot;:false,&quot;suffix&quot;:&quot;&quot;},{&quot;dropping-particle&quot;:&quot;&quot;,&quot;family&quot;:&quot;Bhasin&quot;,&quot;given&quot;:&quot;Madan&quot;,&quot;non-dropping-particle&quot;:&quot;&quot;,&quot;parse-names&quot;:false,&quot;suffix&quot;:&quot;&quot;}],&quot;container-title&quot;:&quot;The Chartered Accountant&quot;,&quot;id&quot;:&quot;51f123cb-08ab-5390-a42a-7c8e91939009&quot;,&quot;issue&quot;:&quot;January&quot;,&quot;issued&quot;:{&quot;date-parts&quot;:[[&quot;2007&quot;]]},&quot;page&quot;:&quot;1000-1010&quot;,&quot;title&quot;:&quot;Forensic Accounting: A New Paradigm For Niche Consulting&quot;,&quot;type&quot;:&quot;article-journal&quot;,&quot;container-title-short&quot;:&quot;&quot;},&quot;uris&quot;:[&quot;http://www.mendeley.com/documents/?uuid=b3a2fe95-cb5b-4c18-99c6-df5f0b7f1cf5&quot;],&quot;isTemporary&quot;:false,&quot;legacyDesktopId&quot;:&quot;b3a2fe95-cb5b-4c18-99c6-df5f0b7f1cf5&quot;}]},{&quot;citationID&quot;:&quot;MENDELEY_CITATION_46e47c6f-36c1-4fcc-80f4-415eec56bf03&quot;,&quot;properties&quot;:{&quot;noteIndex&quot;:0},&quot;isEdited&quot;:false,&quot;manualOverride&quot;:{&quot;citeprocText&quot;:&quot;(Huang &amp;#38; Lui, 2005)&quot;,&quot;isManuallyOverridden&quot;:false,&quot;manualOverrideText&quot;:&quot;&quot;},&quot;citationTag&quot;:&quot;MENDELEY_CITATION_v3_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&quot;,&quot;citationItems&quot;:[{&quot;id&quot;:&quot;53ac7c18-7973-337a-bc99-88736f3649db&quot;,&quot;itemData&quot;:{&quot;DOI&quot;:&quot;10.1108/14691930510592825&quot;,&quot;ISBN&quot;:&quot;1469193051&quot;,&quot;ISSN&quot;:&quot;14691930&quot;,&quot;abstract&quot;:&quot;Purpose - This study aims to ask two important research questions; \&quot; Do the investments of innovation capital and information technology (IT) capital have a non-linear relationship with firm performance? \&quot; and \&quot;Does the interaction between innovation capital and IT capital have synergy effects on firm performance?\&quot; Design/methodology/approach - The authors employ multiple regression models and add the squared terms of research and development (R&amp;D) intensity and IT intensity to examine the non-linear relationship between innovation capital, IT capital and performance. The research sample includes the top 1,000 companies in Taiwan. Findings - The main findings of the study are that: innovation capital has a non-linear relationship (inverted U-shape) with firm performance; and IT capital has no significant impact on firm performance. However, after considering the interaction between innovation capital and IT capital, there is a positive effect on firms' performance. Research limitations/implications - This study can be extended in the following ways; researchers can adopt panel data and use more representative measures to examine the dynamic relationship between intellectual capital and performance; and future research should seek to examine the interaction effects of other perspectives of intellectual capital to understand further the comprehensive influence on performance. Practical implications - The research results suggest that more investment in intellectual capital is not always better. Companies should coordinate different perspectives of intellectual capital to improve firm performance. Originality/value - This paper extends prior research's viewpoint and suggests the non-linear relationship between innovation capital and performance with empirical evidence. The results can provide the reference for further research about the relationship between intellectual capital and performance. © Emerald Group Publishing Limited.&quot;,&quot;author&quot;:[{&quot;dropping-particle&quot;:&quot;&quot;,&quot;family&quot;:&quot;Huang&quot;,&quot;given&quot;:&quot;Cheng Jen&quot;,&quot;non-dropping-particle&quot;:&quot;&quot;,&quot;parse-names&quot;:false,&quot;suffix&quot;:&quot;&quot;},{&quot;dropping-particle&quot;:&quot;&quot;,&quot;family&quot;:&quot;Lui&quot;,&quot;given&quot;:&quot;Chun Ju&quot;,&quot;non-dropping-particle&quot;:&quot;&quot;,&quot;parse-names&quot;:false,&quot;suffix&quot;:&quot;&quot;}],&quot;container-title&quot;:&quot;Journal of Intellectual Capital&quot;,&quot;id&quot;:&quot;53ac7c18-7973-337a-bc99-88736f3649db&quot;,&quot;issue&quot;:&quot;2&quot;,&quot;issued&quot;:{&quot;date-parts&quot;:[[&quot;2005&quot;]]},&quot;page&quot;:&quot;237-252&quot;,&quot;title&quot;:&quot;Exploration for the relationship between innovation, IT and performance&quot;,&quot;type&quot;:&quot;article-journal&quot;,&quot;volume&quot;:&quot;6&quot;,&quot;container-title-short&quot;:&quot;&quot;},&quot;uris&quot;:[&quot;http://www.mendeley.com/documents/?uuid=cb43d501-ab3c-4cc5-8686-9a16a4a24ccb&quot;],&quot;isTemporary&quot;:false,&quot;legacyDesktopId&quot;:&quot;cb43d501-ab3c-4cc5-8686-9a16a4a24ccb&quot;}]},{&quot;citationID&quot;:&quot;MENDELEY_CITATION_84ef26f3-c280-4d76-af10-532ca0a275c8&quot;,&quot;properties&quot;:{&quot;noteIndex&quot;:0},&quot;isEdited&quot;:false,&quot;manualOverride&quot;:{&quot;citeprocText&quot;:&quot;(Honigsberg et al., 2020)&quot;,&quot;isManuallyOverridden&quot;:false,&quot;manualOverrideText&quot;:&quot;&quot;},&quot;citationTag&quot;:&quot;MENDELEY_CITATION_v3_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&quot;,&quot;citationItems&quot;:[{&quot;id&quot;:&quot;975c2882-3ed3-3083-aa82-38799894b9d8&quot;,&quot;itemData&quot;:{&quot;DOI&quot;:&quot;10.1086/707238&quot;,&quot;ISSN&quot;:&quot;00222186&quot;,&quot;abstract&quot;:&quot;We provide a comprehensive overview of shareholder litigation against auditors since the passage of the Private Securities Litigation Reform Act. The number of lawsuits per year has declined, dismissals have increased, and settlements in recent years have declined. Our study asks why. Tests indicate that the decline cannot be attributed solely to increases in audit quality, leading us to consider whether Supreme Court cases limiting the scope of Rule 10b-5 against private actors may have led to the decline. To study this possibility, we focus on the Supreme Court’s 2007 and 2011 rulings in Tellabs v. Makor and Janus v. First Derivative, respectively. Our analysis provides strong evidence that the higher liability standards imposed by Janus significantly reduced auditors’ liability exposure, but we find only limited evidence that the pleading standards imposed by Tellabs had a significant effect.&quot;,&quot;author&quot;:[{&quot;dropping-particle&quot;:&quot;&quot;,&quot;family&quot;:&quot;Honigsberg&quot;,&quot;given&quot;:&quot;Colleen&quot;,&quot;non-dropping-particle&quot;:&quot;&quot;,&quot;parse-names&quot;:false,&quot;suffix&quot;:&quot;&quot;},{&quot;dropping-particle&quot;:&quot;&quot;,&quot;family&quot;:&quot;Rajgopal&quot;,&quot;given&quot;:&quot;Shivaram&quot;,&quot;non-dropping-particle&quot;:&quot;&quot;,&quot;parse-names&quot;:false,&quot;suffix&quot;:&quot;&quot;},{&quot;dropping-particle&quot;:&quot;&quot;,&quot;family&quot;:&quot;Srinivasan&quot;,&quot;given&quot;:&quot;Suraj&quot;,&quot;non-dropping-particle&quot;:&quot;&quot;,&quot;parse-names&quot;:false,&quot;suffix&quot;:&quot;&quot;}],&quot;container-title&quot;:&quot;Journal of Law and Economics&quot;,&quot;id&quot;:&quot;975c2882-3ed3-3083-aa82-38799894b9d8&quot;,&quot;issue&quot;:&quot;2&quot;,&quot;issued&quot;:{&quot;date-parts&quot;:[[&quot;2020&quot;]]},&quot;page&quot;:&quot;367-410&quot;,&quot;title&quot;:&quot;The changing landscape of auditors’ liability&quot;,&quot;type&quot;:&quot;article-journal&quot;,&quot;volume&quot;:&quot;63&quot;,&quot;container-title-short&quot;:&quot;&quot;},&quot;uris&quot;:[&quot;http://www.mendeley.com/documents/?uuid=6b080ba8-8054-4332-b9cb-f5347db99114&quot;],&quot;isTemporary&quot;:false,&quot;legacyDesktopId&quot;:&quot;6b080ba8-8054-4332-b9cb-f5347db99114&quot;}]},{&quot;citationID&quot;:&quot;MENDELEY_CITATION_8e2224e3-0d1f-464e-b738-e0629d2ac0ed&quot;,&quot;properties&quot;:{&quot;noteIndex&quot;:0},&quot;isEdited&quot;:false,&quot;manualOverride&quot;:{&quot;citeprocText&quot;:&quot;(Sanchez, 2012)&quot;,&quot;isManuallyOverridden&quot;:false,&quot;manualOverrideText&quot;:&quot;&quot;},&quot;citationTag&quot;:&quot;MENDELEY_CITATION_v3_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&quot;,&quot;citationItems&quot;:[{&quot;id&quot;:&quot;5b17b769-9166-3cf8-89f8-7597c8744696&quot;,&quot;itemData&quot;:{&quot;ISBN&quot;:&quot;19310277&quot;,&quot;PMID&quot;:&quot;67065940&quot;,&quot;abstract&quot;:&quot;Identity theft is a rampant problem in the United States. It occurs when one's personal information is stolen for the purpose of impersonating that person, making unauthorized purchases, taking money from bank accounts, opening new lines of credit with the stolen information, or using that information for other financial gain. According to a recent survey by the Javelin Strategy and Research Center, at least one in ten people have been the victim of identity theft. Forensic accountants and fraud specialists can help to prevent, detect and prosecute identity theft. This study examines a case of identity theft involving Medicare fraud. The role that the forensic accountant may play in the prosecution is discussed. The forensic accountant is important in these types of cases because the financial trail must be traced and will lead back to the criminal. The forensic accountant also has the important job of preparing the evidence exhibits for the prosecutors to use in court. [ABSTRACT FROM AUTHOR] Copyright of Global Journal of Business Research (GJBR) is the property of Institute for Business &amp; Finance Research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quot;,&quot;author&quot;:[{&quot;dropping-particle&quot;:&quot;&quot;,&quot;family&quot;:&quot;Sanchez&quot;,&quot;given&quot;:&quot;Maria&quot;,&quot;non-dropping-particle&quot;:&quot;&quot;,&quot;parse-names&quot;:false,&quot;suffix&quot;:&quot;&quot;}],&quot;container-title&quot;:&quot;Global Journal of Business Research (GJBR)&quot;,&quot;id&quot;:&quot;5b17b769-9166-3cf8-89f8-7597c8744696&quot;,&quot;issue&quot;:&quot;3&quot;,&quot;issued&quot;:{&quot;date-parts&quot;:[[&quot;2012&quot;]]},&quot;page&quot;:&quot;85-92&quot;,&quot;title&quot;:&quot;the Role of the Forensic Accountant in a Medicare Fraud Identity Theft Case&quot;,&quot;type&quot;:&quot;article-journal&quot;,&quot;volume&quot;:&quot;6&quot;,&quot;container-title-short&quot;:&quot;&quot;},&quot;uris&quot;:[&quot;http://www.mendeley.com/documents/?uuid=aa0182fe-0096-4323-8ec4-df865aef3e88&quot;],&quot;isTemporary&quot;:false,&quot;legacyDesktopId&quot;:&quot;aa0182fe-0096-4323-8ec4-df865aef3e88&quot;}]},{&quot;citationID&quot;:&quot;MENDELEY_CITATION_7c967b3c-527d-46e4-90be-dedbbbaf080f&quot;,&quot;properties&quot;:{&quot;noteIndex&quot;:0},&quot;isEdited&quot;:false,&quot;manualOverride&quot;:{&quot;citeprocText&quot;:&quot;(Braithwaite, 2009)&quot;,&quot;isManuallyOverridden&quot;:false,&quot;manualOverrideText&quot;:&quot;&quot;},&quot;citationTag&quot;:&quot;MENDELEY_CITATION_v3_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&quot;,&quot;citationItems&quot;:[{&quot;id&quot;:&quot;6a259aa0-221f-3d43-8e80-b90216ab510c&quot;,&quot;itemData&quot;:{&quot;author&quot;:[{&quot;dropping-particle&quot;:&quot;&quot;,&quot;family&quot;:&quot;Braithwaite&quot;,&quot;given&quot;:&quot;John&quot;,&quot;non-dropping-particle&quot;:&quot;&quot;,&quot;parse-names&quot;:false,&quot;suffix&quot;:&quot;&quot;}],&quot;container-title&quot;:&quot;Annual Review of Sociology , Vol . 11 ( 1985 ), pp . 1-25 Published by : Annual Reviews&quot;,&quot;id&quot;:&quot;6a259aa0-221f-3d43-8e80-b90216ab510c&quot;,&quot;issue&quot;:&quot;1985&quot;,&quot;issued&quot;:{&quot;date-parts&quot;:[[&quot;2009&quot;]]},&quot;page&quot;:&quot;1-25&quot;,&quot;title&quot;:&quot;White Collar Crime Source&quot;,&quot;type&quot;:&quot;article-journal&quot;,&quot;volume&quot;:&quot;11&quot;,&quot;container-title-short&quot;:&quot;&quot;},&quot;uris&quot;:[&quot;http://www.mendeley.com/documents/?uuid=39f0b93d-def4-4d65-8ea1-501759091df0&quot;],&quot;isTemporary&quot;:false,&quot;legacyDesktopId&quot;:&quot;39f0b93d-def4-4d65-8ea1-501759091df0&quot;}]},{&quot;citationID&quot;:&quot;MENDELEY_CITATION_d3339ca8-256e-4d52-a1c5-19adda087618&quot;,&quot;properties&quot;:{&quot;noteIndex&quot;:0},&quot;isEdited&quot;:false,&quot;manualOverride&quot;:{&quot;citeprocText&quot;:&quot;(Suleiman &amp;#38; Othman, 2016)&quot;,&quot;isManuallyOverridden&quot;:false,&quot;manualOverrideText&quot;:&quot;&quot;},&quot;citationTag&quot;:&quot;MENDELEY_CITATION_v3_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&quot;,&quot;citationItems&quot;:[{&quot;id&quot;:&quot;afa3fee0-c8c4-3c69-8702-895cdf8c3826&quot;,&quot;itemData&quot;:{&quot;ISBN&quot;:&quot;0000000000&quot;,&quot;abstract&quot;:&quot;Corruption is a global phenomenon affecting almost every part of the world and often considered as the most talked issue in the world. However, the developing nations are reportedly seen to be more hit by the menace of corruption. The incidences and magnitude of corruption is virtually much more prevalent in the developing nations and have negatively impacted on the socio-economic and political developments of these nations. Nigeria as a developing country is characterized by high level of corruption since its independence in 1960. Corruption has been the greatest obstacle to the attainment of the country’s socio-economic development despite the huge potentials of natural and human capital resources the country is endowed with. Throughout the history of the nationhood of Nigeria, corruption has been singled out as responsible for nearly all the woes the country has undergone through and has been the cause of the incessant change of governments in Nigeria including the military-takeovers. The paper explores the nature of corruption with particular reference to the Nigerian experience and subsequently identifies forensic accounting as the effective means to address the ever increasing and continuing devastating effects of corruption in Nigeria. The aim is to bring to a halt the growing scourge of corruption that has been ravaging the country for decades.&quot;,&quot;author&quot;:[{&quot;dropping-particle&quot;:&quot;&quot;,&quot;family&quot;:&quot;Suleiman&quot;,&quot;given&quot;:&quot;Naziru&quot;,&quot;non-dropping-particle&quot;:&quot;&quot;,&quot;parse-names&quot;:false,&quot;suffix&quot;:&quot;&quot;},{&quot;dropping-particle&quot;:&quot;&quot;,&quot;family&quot;:&quot;Othman&quot;,&quot;given&quot;:&quot;Zaleha&quot;,&quot;non-dropping-particle&quot;:&quot;&quot;,&quot;parse-names&quot;:false,&quot;suffix&quot;:&quot;&quot;}],&quot;container-title&quot;:&quot;Qualitative Research Conference (QRC)&quot;,&quot;id&quot;:&quot;afa3fee0-c8c4-3c69-8702-895cdf8c3826&quot;,&quot;issue&quot;:&quot;May&quot;,&quot;issued&quot;:{&quot;date-parts&quot;:[[&quot;2016&quot;]]},&quot;page&quot;:&quot;194-202&quot;,&quot;title&quot;:&quot;Forensic Accounting Investigation for Fighting Public Sector Corruption in Nigeria: A Conceptual Paper&quot;,&quot;type&quot;:&quot;article-journal&quot;,&quot;container-title-short&quot;:&quot;&quot;},&quot;uris&quot;:[&quot;http://www.mendeley.com/documents/?uuid=e06b05da-3b15-4c90-b0f0-406620bedba8&quot;],&quot;isTemporary&quot;:false,&quot;legacyDesktopId&quot;:&quot;e06b05da-3b15-4c90-b0f0-406620bedba8&quot;}]},{&quot;citationID&quot;:&quot;MENDELEY_CITATION_fdc34f2a-5e59-4b05-9956-6d8c23ca3fb2&quot;,&quot;properties&quot;:{&quot;noteIndex&quot;:0},&quot;isEdited&quot;:false,&quot;manualOverride&quot;:{&quot;citeprocText&quot;:&quot;(Alhusban et al., 2020)&quot;,&quot;isManuallyOverridden&quot;:true,&quot;manualOverrideText&quot;:&quot; Alhusban et al., (2020) &quot;},&quot;citationTag&quot;:&quot;MENDELEY_CITATION_v3_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&quot;,&quot;citationItems&quot;:[{&quot;id&quot;:&quot;5b711fb8-8596-3460-95f6-58457347028e&quot;,&quot;itemData&quot;:{&quot;DOI&quot;:&quot;10.22495/jgrv9i4art13&quot;,&quot;ISSN&quot;:&quot;23066784&quot;,&quot;abstract&quot;:&quot;Forensic accounting is a rather vague term that combines the investigative role with the adversarial role of accountants (Botes &amp; Saadeh, 2018). Jordan lacks regulatory provisions for forensic accountants. Nevertheless, the profession is indirectly exercised in Jordan without giving special legal attention to such job title. Consequently, forensic accounting services are performed with minimal service quality from those who are not specialists in the field. Since forensics accountant involves to assist in legal matters (Arslan, 2020), this research examines the available regulations, standard laws, and codes of conduct that might guide a forensic accountant in performing forensic accounting services in Jordan. Furthermore, this article investigates the applicability of the general rules of contract and tort law in addition to the Companies Act in order to provide adequate protection for forensic accountants in Jordan. As far as the authors are aware, the issue of forensic accounting in Jordan has not been researched comprehensively in a theoretical and institutional fashion before from technical and legal standpoints. This article represents the first attempt to examine the issues arising in this difficult and important subject, and the findings of this research can serve as a prototype for other Arab and developing countries.&quot;,&quot;author&quot;:[{&quot;dropping-particle&quot;:&quot;&quot;,&quot;family&quot;:&quot;Alhusban&quot;,&quot;given&quot;:&quot;Ahmad Abed Alla&quot;,&quot;non-dropping-particle&quot;:&quot;&quot;,&quot;parse-names&quot;:false,&quot;suffix&quot;:&quot;&quot;},{&quot;dropping-particle&quot;:&quot;&quot;,&quot;family&quot;:&quot;Haloush&quot;,&quot;given&quot;:&quot;Haitham A.&quot;,&quot;non-dropping-particle&quot;:&quot;&quot;,&quot;parse-names&quot;:false,&quot;suffix&quot;:&quot;&quot;},{&quot;dropping-particle&quot;:&quot;&quot;,&quot;family&quot;:&quot;Alshurafat&quot;,&quot;given&quot;:&quot;Hashem&quot;,&quot;non-dropping-particle&quot;:&quot;&quot;,&quot;parse-names&quot;:false,&quot;suffix&quot;:&quot;&quot;},{&quot;dropping-particle&quot;:&quot;&quot;,&quot;family&quot;:&quot;Al-Msiedeen&quot;,&quot;given&quot;:&quot;Jebreel Mohammad&quot;,&quot;non-dropping-particle&quot;:&quot;&quot;,&quot;parse-names&quot;:false,&quot;suffix&quot;:&quot;&quot;},{&quot;dropping-particle&quot;:&quot;&quot;,&quot;family&quot;:&quot;Massadeh&quot;,&quot;given&quot;:&quot;Ali Abdel Mahdi&quot;,&quot;non-dropping-particle&quot;:&quot;&quot;,&quot;parse-names&quot;:false,&quot;suffix&quot;:&quot;&quot;},{&quot;dropping-particle&quot;:&quot;&quot;,&quot;family&quot;:&quot;Alhmoud&quot;,&quot;given&quot;:&quot;Rawan J.&quot;,&quot;non-dropping-particle&quot;:&quot;&quot;,&quot;parse-names&quot;:false,&quot;suffix&quot;:&quot;&quot;}],&quot;container-title&quot;:&quot;Journal of Governance and Regulation&quot;,&quot;id&quot;:&quot;5b711fb8-8596-3460-95f6-58457347028e&quot;,&quot;issue&quot;:&quot;4&quot;,&quot;issued&quot;:{&quot;date-parts&quot;:[[&quot;2020&quot;]]},&quot;title&quot;:&quot;The regulatory structure and governance of forensic accountancy in the emerging market: Challenges and opportunities&quot;,&quot;type&quot;:&quot;article-journal&quot;,&quot;volume&quot;:&quot;9&quot;,&quot;container-title-short&quot;:&quot;&quot;},&quot;uris&quot;:[&quot;http://www.mendeley.com/documents/?uuid=5b711fb8-8596-3460-95f6-58457347028e&quot;],&quot;isTemporary&quot;:false,&quot;legacyDesktopId&quot;:&quot;5b711fb8-8596-3460-95f6-58457347028e&quot;}]}]"/>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BECF6E1-8A01-40B1-9D0E-EC1A4B98B9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258</Pages>
  <Words>79568</Words>
  <Characters>453541</Characters>
  <Application>Microsoft Office Word</Application>
  <DocSecurity>0</DocSecurity>
  <Lines>3779</Lines>
  <Paragraphs>1064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532045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Microsoft account</cp:lastModifiedBy>
  <cp:revision>2</cp:revision>
  <cp:lastPrinted>2023-07-12T10:04:00Z</cp:lastPrinted>
  <dcterms:created xsi:type="dcterms:W3CDTF">2024-06-27T13:46:00Z</dcterms:created>
  <dcterms:modified xsi:type="dcterms:W3CDTF">2024-06-27T13:46:00Z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11th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b861f3c3-4365-36ac-99e3-172d3f3d778c</vt:lpwstr>
  </property>
  <property fmtid="{D5CDD505-2E9C-101B-9397-08002B2CF9AE}" pid="24" name="GrammarlyDocumentId">
    <vt:lpwstr>4f1ac41bff092f9ca34615ffdd277c7f95a0483ede9dfabbfebe836257ce5d0a</vt:lpwstr>
  </property>
  <property fmtid="{D5CDD505-2E9C-101B-9397-08002B2CF9AE}" pid="25" name="KSOProductBuildVer">
    <vt:lpwstr>1033-11.2.0.11440</vt:lpwstr>
  </property>
  <property fmtid="{D5CDD505-2E9C-101B-9397-08002B2CF9AE}" pid="26" name="ICV">
    <vt:lpwstr>C94FCB6515BD414491FAE7209A6A9227</vt:lpwstr>
  </property>
  <property fmtid="{D5CDD505-2E9C-101B-9397-08002B2CF9AE}" pid="27" name="Mendeley Citation Style_1">
    <vt:lpwstr>http://www.zotero.org/styles/la-trobe-university-apa</vt:lpwstr>
  </property>
</Properties>
</file>